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SDMDocRef"/>
    <w:p w14:paraId="0C8D5946" w14:textId="3F3E53A6" w:rsidR="00A12E1C" w:rsidRPr="005B1E09" w:rsidRDefault="003F6646" w:rsidP="1B9B8B3D">
      <w:pPr>
        <w:pStyle w:val="SDMDocRef"/>
        <w:rPr>
          <w:highlight w:val="yellow"/>
        </w:rPr>
      </w:pPr>
      <w:sdt>
        <w:sdtPr>
          <w:alias w:val="SDMDocRef"/>
          <w:tag w:val="SDMDocRef"/>
          <w:id w:val="-136729641"/>
          <w:lock w:val="sdtLocked"/>
          <w:placeholder>
            <w:docPart w:val="734F7489B6C645BE8C2B7D9415DD2522"/>
          </w:placeholder>
        </w:sdtPr>
        <w:sdtEndPr/>
        <w:sdtContent>
          <w:bookmarkStart w:id="1" w:name="_Ref219921815"/>
          <w:bookmarkEnd w:id="0"/>
          <w:bookmarkEnd w:id="1"/>
          <w:r w:rsidR="001E0EA7" w:rsidRPr="001E0EA7">
            <w:t>A6.4-AMT-007</w:t>
          </w:r>
        </w:sdtContent>
      </w:sdt>
    </w:p>
    <w:bookmarkStart w:id="2" w:name="SDMConfidentialMark" w:displacedByCustomXml="next"/>
    <w:sdt>
      <w:sdtPr>
        <w:alias w:val="SDMConfidentialMark"/>
        <w:tag w:val="SDMConfidentialMark"/>
        <w:id w:val="174698408"/>
        <w:lock w:val="sdtLocked"/>
        <w:placeholder>
          <w:docPart w:val="4D08D16AF5F140AAB73A0F79BF2C8F3E"/>
        </w:placeholder>
        <w:dropDownList>
          <w:listItem w:displayText="Confidential" w:value="Confidential"/>
          <w:listItem w:displayText=" " w:value="  "/>
        </w:dropDownList>
      </w:sdtPr>
      <w:sdtEndPr/>
      <w:sdtContent>
        <w:p w14:paraId="25A685E8" w14:textId="524B1A0F" w:rsidR="00B527EA" w:rsidRPr="00312CAA" w:rsidRDefault="003E0B70" w:rsidP="00802CB9">
          <w:pPr>
            <w:pStyle w:val="SDMConfidentialMark"/>
            <w:tabs>
              <w:tab w:val="left" w:pos="1843"/>
            </w:tabs>
          </w:pPr>
          <w:r>
            <w:t xml:space="preserve"> </w:t>
          </w:r>
        </w:p>
      </w:sdtContent>
    </w:sdt>
    <w:bookmarkEnd w:id="2" w:displacedByCustomXml="prev"/>
    <w:bookmarkStart w:id="3" w:name="SDMDocType" w:displacedByCustomXml="prev"/>
    <w:bookmarkStart w:id="4" w:name="SDMTitle1" w:displacedByCustomXml="next"/>
    <w:sdt>
      <w:sdtPr>
        <w:alias w:val="SDMTitle1"/>
        <w:tag w:val="SDMTitle1"/>
        <w:id w:val="-2079670800"/>
        <w:lock w:val="sdtLocked"/>
        <w:placeholder>
          <w:docPart w:val="4749300D354F4E5B89482C4B3694DD2E"/>
        </w:placeholder>
      </w:sdtPr>
      <w:sdtEndPr/>
      <w:sdtContent>
        <w:p w14:paraId="006BE6F5" w14:textId="3295BEE2" w:rsidR="001A1BDD" w:rsidRPr="002C4666" w:rsidRDefault="003F6646" w:rsidP="00705EF6">
          <w:pPr>
            <w:pStyle w:val="SDMTitle1"/>
          </w:pPr>
          <w:sdt>
            <w:sdtPr>
              <w:alias w:val="SDMDocType"/>
              <w:tag w:val="SDMDocType"/>
              <w:id w:val="-1347470451"/>
              <w:lock w:val="sdtContentLocked"/>
              <w:placeholder>
                <w:docPart w:val="E4B7961FB81D4C16B97D6D21FF0D7795"/>
              </w:placeholder>
              <w:dropDownList>
                <w:listItem w:displayText="Standard" w:value="Standard"/>
                <w:listItem w:displayText="Guideline" w:value="Guideline"/>
                <w:listItem w:displayText="Procedure" w:value="Procedure"/>
                <w:listItem w:displayText="Information note" w:value="Information note"/>
                <w:listItem w:displayText="Methodology" w:value="Methodology"/>
                <w:listItem w:displayText="Methodological tool" w:value="Methodological tool"/>
                <w:listItem w:displayText="Meeting report" w:value="Meeting report"/>
              </w:dropDownList>
            </w:sdtPr>
            <w:sdtEndPr/>
            <w:sdtContent>
              <w:r w:rsidR="00D77CC3">
                <w:t>Methodological tool</w:t>
              </w:r>
            </w:sdtContent>
          </w:sdt>
        </w:p>
      </w:sdtContent>
    </w:sdt>
    <w:bookmarkEnd w:id="4" w:displacedByCustomXml="prev"/>
    <w:bookmarkEnd w:id="3" w:displacedByCustomXml="next"/>
    <w:bookmarkStart w:id="5" w:name="SDMTitle2" w:displacedByCustomXml="next"/>
    <w:sdt>
      <w:sdtPr>
        <w:rPr>
          <w:lang w:val="de-DE"/>
        </w:rPr>
        <w:alias w:val="SDMTitle2"/>
        <w:tag w:val="SDMTitle2"/>
        <w:id w:val="1664893790"/>
        <w:lock w:val="sdtLocked"/>
        <w:placeholder>
          <w:docPart w:val="62597BBFFFC64953A66E570A71B93527"/>
        </w:placeholder>
      </w:sdtPr>
      <w:sdtEndPr/>
      <w:sdtContent>
        <w:sdt>
          <w:sdtPr>
            <w:rPr>
              <w:lang w:val="de-DE"/>
            </w:rPr>
            <w:alias w:val="SDMTitle2"/>
            <w:tag w:val="SDMTitle2"/>
            <w:id w:val="939257648"/>
            <w:lock w:val="sdtLocked"/>
            <w:placeholder>
              <w:docPart w:val="317B7105C08742AB9C545C33D8AB4CC3"/>
            </w:placeholder>
          </w:sdtPr>
          <w:sdtEndPr/>
          <w:sdtContent>
            <w:p w14:paraId="30E834D9" w14:textId="37208A56" w:rsidR="00D344DB" w:rsidRPr="00D9066E" w:rsidRDefault="00335746" w:rsidP="001A1BDD">
              <w:pPr>
                <w:pStyle w:val="SDMTitle2"/>
                <w:rPr>
                  <w:rFonts w:cs="Times New Roman"/>
                  <w:sz w:val="22"/>
                  <w:szCs w:val="22"/>
                  <w:lang w:val="en-US"/>
                </w:rPr>
              </w:pPr>
              <w:r w:rsidRPr="00335746">
                <w:rPr>
                  <w:lang w:val="en-US"/>
                </w:rPr>
                <w:t>Emissions from electricity generation and consumption</w:t>
              </w:r>
            </w:p>
          </w:sdtContent>
        </w:sdt>
      </w:sdtContent>
    </w:sdt>
    <w:bookmarkStart w:id="6" w:name="SDMDocVerLab"/>
    <w:bookmarkEnd w:id="5"/>
    <w:p w14:paraId="4E280491" w14:textId="32545DCB" w:rsidR="006F5B88" w:rsidRPr="00260651" w:rsidRDefault="003F6646" w:rsidP="00F74E46">
      <w:pPr>
        <w:pStyle w:val="SDMTiInfo"/>
        <w:rPr>
          <w:vanish/>
          <w:specVanish/>
        </w:rPr>
      </w:pPr>
      <w:sdt>
        <w:sdtPr>
          <w:alias w:val="SDMDocVersionLabel"/>
          <w:tag w:val="SDMDocVersionLabel"/>
          <w:id w:val="-334845484"/>
          <w:lock w:val="sdtLocked"/>
          <w:placeholder>
            <w:docPart w:val="5A3100E1B7214021BB4C4D0BE6428D77"/>
          </w:placeholder>
        </w:sdtPr>
        <w:sdtEndPr/>
        <w:sdtContent>
          <w:r w:rsidR="00787CC6" w:rsidRPr="00152FB5">
            <w:t>Version</w:t>
          </w:r>
          <w:r w:rsidR="007B03AF">
            <w:t xml:space="preserve"> </w:t>
          </w:r>
        </w:sdtContent>
      </w:sdt>
      <w:bookmarkStart w:id="7" w:name="SDMDocVer"/>
      <w:bookmarkEnd w:id="6"/>
      <w:sdt>
        <w:sdtPr>
          <w:alias w:val="SDMDocVer"/>
          <w:tag w:val="SDMDocVer"/>
          <w:id w:val="-2119430389"/>
          <w:lock w:val="sdtLocked"/>
          <w:placeholder>
            <w:docPart w:val="C249ADBE03F04533AA34C8A8C9A0D93F"/>
          </w:placeholder>
        </w:sdtPr>
        <w:sdtEndPr/>
        <w:sdtContent>
          <w:r w:rsidR="00D15794">
            <w:t>0</w:t>
          </w:r>
          <w:r w:rsidR="00490E8E">
            <w:t>2</w:t>
          </w:r>
          <w:r w:rsidR="00D15794">
            <w:t>.0</w:t>
          </w:r>
        </w:sdtContent>
      </w:sdt>
      <w:bookmarkEnd w:id="7"/>
    </w:p>
    <w:p w14:paraId="704418FF" w14:textId="77777777" w:rsidR="006F5B88" w:rsidRPr="00260651" w:rsidRDefault="006F5B88" w:rsidP="001E266E">
      <w:pPr>
        <w:sectPr w:rsidR="006F5B88" w:rsidRPr="00260651" w:rsidSect="005307EB">
          <w:headerReference w:type="even" r:id="rId12"/>
          <w:headerReference w:type="default" r:id="rId13"/>
          <w:footerReference w:type="even" r:id="rId14"/>
          <w:footerReference w:type="default" r:id="rId15"/>
          <w:headerReference w:type="first" r:id="rId16"/>
          <w:footerReference w:type="first" r:id="rId17"/>
          <w:footnotePr>
            <w:numRestart w:val="eachSect"/>
          </w:footnotePr>
          <w:pgSz w:w="11907" w:h="16840" w:code="9"/>
          <w:pgMar w:top="1985" w:right="1134" w:bottom="1418" w:left="1418" w:header="1418" w:footer="1418" w:gutter="0"/>
          <w:cols w:space="720"/>
          <w:docGrid w:linePitch="299"/>
        </w:sectPr>
      </w:pPr>
    </w:p>
    <w:p w14:paraId="0B6A6894" w14:textId="15062E7C" w:rsidR="00235FD4" w:rsidRPr="00216E5B" w:rsidRDefault="009F4007" w:rsidP="00B86493">
      <w:pPr>
        <w:pStyle w:val="SDMTOCHeading"/>
      </w:pPr>
      <w:r w:rsidRPr="000E63FD">
        <w:lastRenderedPageBreak/>
        <w:t>TABLE OF CONTENTS</w:t>
      </w:r>
      <w:r w:rsidR="007344BA" w:rsidRPr="00216E5B">
        <w:tab/>
      </w:r>
      <w:r w:rsidR="00A37ABA" w:rsidRPr="00216E5B">
        <w:t>Page</w:t>
      </w:r>
    </w:p>
    <w:p w14:paraId="5CD6FE3D" w14:textId="044F85C8" w:rsidR="00F62D64" w:rsidRDefault="00F62D64" w:rsidP="00F62D64">
      <w:pPr>
        <w:pStyle w:val="TOC1"/>
        <w:rPr>
          <w:rFonts w:asciiTheme="minorHAnsi" w:eastAsiaTheme="minorEastAsia" w:hAnsiTheme="minorHAnsi" w:cstheme="minorBidi"/>
          <w:b w:val="0"/>
          <w:caps w:val="0"/>
          <w:noProof/>
          <w:kern w:val="2"/>
          <w:sz w:val="24"/>
          <w:szCs w:val="24"/>
          <w:lang w:val="en-US" w:eastAsia="zh-CN"/>
          <w14:ligatures w14:val="standardContextual"/>
        </w:rPr>
      </w:pPr>
      <w:r>
        <w:fldChar w:fldCharType="begin"/>
      </w:r>
      <w:r>
        <w:instrText xml:space="preserve"> TOC \o "1-3" \h \z \t "Heading 1,1, SDMHead1,1,SDMHead2,2,SDMHead3,3,SDMAppTitle,6" </w:instrText>
      </w:r>
      <w:r>
        <w:fldChar w:fldCharType="separate"/>
      </w:r>
      <w:hyperlink w:anchor="_Toc240576880" w:history="1">
        <w:r w:rsidRPr="007A26DC">
          <w:rPr>
            <w:rStyle w:val="Hyperlink"/>
            <w:noProof/>
          </w:rPr>
          <w:t>1.</w:t>
        </w:r>
        <w:r>
          <w:rPr>
            <w:rFonts w:asciiTheme="minorHAnsi" w:eastAsiaTheme="minorEastAsia" w:hAnsiTheme="minorHAnsi" w:cstheme="minorBidi"/>
            <w:b w:val="0"/>
            <w:caps w:val="0"/>
            <w:noProof/>
            <w:kern w:val="2"/>
            <w:sz w:val="24"/>
            <w:szCs w:val="24"/>
            <w:lang w:val="en-US" w:eastAsia="zh-CN"/>
            <w14:ligatures w14:val="standardContextual"/>
          </w:rPr>
          <w:tab/>
        </w:r>
        <w:r w:rsidRPr="007A26DC">
          <w:rPr>
            <w:rStyle w:val="Hyperlink"/>
            <w:noProof/>
          </w:rPr>
          <w:t>Introduction</w:t>
        </w:r>
        <w:r>
          <w:rPr>
            <w:noProof/>
            <w:webHidden/>
          </w:rPr>
          <w:tab/>
        </w:r>
        <w:r>
          <w:rPr>
            <w:rStyle w:val="Hyperlink"/>
            <w:noProof/>
          </w:rPr>
          <w:tab/>
        </w:r>
        <w:r>
          <w:rPr>
            <w:noProof/>
            <w:webHidden/>
          </w:rPr>
          <w:fldChar w:fldCharType="begin"/>
        </w:r>
        <w:r>
          <w:rPr>
            <w:noProof/>
            <w:webHidden/>
          </w:rPr>
          <w:instrText xml:space="preserve"> PAGEREF _Toc240576880 \h </w:instrText>
        </w:r>
        <w:r>
          <w:rPr>
            <w:noProof/>
            <w:webHidden/>
          </w:rPr>
        </w:r>
        <w:r>
          <w:rPr>
            <w:noProof/>
            <w:webHidden/>
          </w:rPr>
          <w:fldChar w:fldCharType="separate"/>
        </w:r>
        <w:r w:rsidR="003B0135">
          <w:rPr>
            <w:noProof/>
            <w:webHidden/>
          </w:rPr>
          <w:t>4</w:t>
        </w:r>
        <w:r>
          <w:rPr>
            <w:noProof/>
            <w:webHidden/>
          </w:rPr>
          <w:fldChar w:fldCharType="end"/>
        </w:r>
      </w:hyperlink>
    </w:p>
    <w:p w14:paraId="3EE45203" w14:textId="397C94F6" w:rsidR="00F62D64" w:rsidRDefault="00F62D64" w:rsidP="00F62D64">
      <w:pPr>
        <w:pStyle w:val="TOC2"/>
        <w:rPr>
          <w:rFonts w:asciiTheme="minorHAnsi" w:eastAsiaTheme="minorEastAsia" w:hAnsiTheme="minorHAnsi" w:cstheme="minorBidi"/>
          <w:noProof/>
          <w:kern w:val="2"/>
          <w:sz w:val="24"/>
          <w:szCs w:val="24"/>
          <w:lang w:val="en-US" w:eastAsia="zh-CN"/>
          <w14:ligatures w14:val="standardContextual"/>
        </w:rPr>
      </w:pPr>
      <w:hyperlink w:anchor="_Toc240576881" w:history="1">
        <w:r w:rsidRPr="007A26DC">
          <w:rPr>
            <w:rStyle w:val="Hyperlink"/>
            <w:noProof/>
          </w:rPr>
          <w:t>1.1.</w:t>
        </w:r>
        <w:r>
          <w:rPr>
            <w:rFonts w:asciiTheme="minorHAnsi" w:eastAsiaTheme="minorEastAsia" w:hAnsiTheme="minorHAnsi" w:cstheme="minorBidi"/>
            <w:noProof/>
            <w:kern w:val="2"/>
            <w:sz w:val="24"/>
            <w:szCs w:val="24"/>
            <w:lang w:val="en-US" w:eastAsia="zh-CN"/>
            <w14:ligatures w14:val="standardContextual"/>
          </w:rPr>
          <w:tab/>
        </w:r>
        <w:r w:rsidRPr="007A26DC">
          <w:rPr>
            <w:rStyle w:val="Hyperlink"/>
            <w:noProof/>
          </w:rPr>
          <w:t>Scope</w:t>
        </w:r>
        <w:r>
          <w:rPr>
            <w:noProof/>
            <w:webHidden/>
          </w:rPr>
          <w:tab/>
        </w:r>
        <w:r>
          <w:rPr>
            <w:rStyle w:val="Hyperlink"/>
            <w:noProof/>
          </w:rPr>
          <w:tab/>
        </w:r>
        <w:r>
          <w:rPr>
            <w:noProof/>
            <w:webHidden/>
          </w:rPr>
          <w:fldChar w:fldCharType="begin"/>
        </w:r>
        <w:r>
          <w:rPr>
            <w:noProof/>
            <w:webHidden/>
          </w:rPr>
          <w:instrText xml:space="preserve"> PAGEREF _Toc240576881 \h </w:instrText>
        </w:r>
        <w:r>
          <w:rPr>
            <w:noProof/>
            <w:webHidden/>
          </w:rPr>
        </w:r>
        <w:r>
          <w:rPr>
            <w:noProof/>
            <w:webHidden/>
          </w:rPr>
          <w:fldChar w:fldCharType="separate"/>
        </w:r>
        <w:r w:rsidR="003B0135">
          <w:rPr>
            <w:noProof/>
            <w:webHidden/>
          </w:rPr>
          <w:t>4</w:t>
        </w:r>
        <w:r>
          <w:rPr>
            <w:noProof/>
            <w:webHidden/>
          </w:rPr>
          <w:fldChar w:fldCharType="end"/>
        </w:r>
      </w:hyperlink>
    </w:p>
    <w:p w14:paraId="582B0D7D" w14:textId="6584F05F" w:rsidR="00F62D64" w:rsidRDefault="00F62D64" w:rsidP="00F62D64">
      <w:pPr>
        <w:pStyle w:val="TOC2"/>
        <w:rPr>
          <w:rFonts w:asciiTheme="minorHAnsi" w:eastAsiaTheme="minorEastAsia" w:hAnsiTheme="minorHAnsi" w:cstheme="minorBidi"/>
          <w:noProof/>
          <w:kern w:val="2"/>
          <w:sz w:val="24"/>
          <w:szCs w:val="24"/>
          <w:lang w:val="en-US" w:eastAsia="zh-CN"/>
          <w14:ligatures w14:val="standardContextual"/>
        </w:rPr>
      </w:pPr>
      <w:hyperlink w:anchor="_Toc240576882" w:history="1">
        <w:r w:rsidRPr="007A26DC">
          <w:rPr>
            <w:rStyle w:val="Hyperlink"/>
            <w:noProof/>
          </w:rPr>
          <w:t>1.2.</w:t>
        </w:r>
        <w:r>
          <w:rPr>
            <w:rFonts w:asciiTheme="minorHAnsi" w:eastAsiaTheme="minorEastAsia" w:hAnsiTheme="minorHAnsi" w:cstheme="minorBidi"/>
            <w:noProof/>
            <w:kern w:val="2"/>
            <w:sz w:val="24"/>
            <w:szCs w:val="24"/>
            <w:lang w:val="en-US" w:eastAsia="zh-CN"/>
            <w14:ligatures w14:val="standardContextual"/>
          </w:rPr>
          <w:tab/>
        </w:r>
        <w:r w:rsidRPr="007A26DC">
          <w:rPr>
            <w:rStyle w:val="Hyperlink"/>
            <w:noProof/>
          </w:rPr>
          <w:t>Entry into force and validity</w:t>
        </w:r>
        <w:r>
          <w:rPr>
            <w:noProof/>
            <w:webHidden/>
          </w:rPr>
          <w:tab/>
        </w:r>
        <w:r>
          <w:rPr>
            <w:rStyle w:val="Hyperlink"/>
            <w:noProof/>
          </w:rPr>
          <w:tab/>
        </w:r>
        <w:r>
          <w:rPr>
            <w:noProof/>
            <w:webHidden/>
          </w:rPr>
          <w:fldChar w:fldCharType="begin"/>
        </w:r>
        <w:r>
          <w:rPr>
            <w:noProof/>
            <w:webHidden/>
          </w:rPr>
          <w:instrText xml:space="preserve"> PAGEREF _Toc240576882 \h </w:instrText>
        </w:r>
        <w:r>
          <w:rPr>
            <w:noProof/>
            <w:webHidden/>
          </w:rPr>
        </w:r>
        <w:r>
          <w:rPr>
            <w:noProof/>
            <w:webHidden/>
          </w:rPr>
          <w:fldChar w:fldCharType="separate"/>
        </w:r>
        <w:r w:rsidR="003B0135">
          <w:rPr>
            <w:noProof/>
            <w:webHidden/>
          </w:rPr>
          <w:t>5</w:t>
        </w:r>
        <w:r>
          <w:rPr>
            <w:noProof/>
            <w:webHidden/>
          </w:rPr>
          <w:fldChar w:fldCharType="end"/>
        </w:r>
      </w:hyperlink>
    </w:p>
    <w:p w14:paraId="06B14A6F" w14:textId="67D08DCF" w:rsidR="00F62D64" w:rsidRDefault="00F62D64" w:rsidP="00F62D64">
      <w:pPr>
        <w:pStyle w:val="TOC1"/>
        <w:rPr>
          <w:rFonts w:asciiTheme="minorHAnsi" w:eastAsiaTheme="minorEastAsia" w:hAnsiTheme="minorHAnsi" w:cstheme="minorBidi"/>
          <w:b w:val="0"/>
          <w:caps w:val="0"/>
          <w:noProof/>
          <w:kern w:val="2"/>
          <w:sz w:val="24"/>
          <w:szCs w:val="24"/>
          <w:lang w:val="en-US" w:eastAsia="zh-CN"/>
          <w14:ligatures w14:val="standardContextual"/>
        </w:rPr>
      </w:pPr>
      <w:hyperlink w:anchor="_Toc240576883" w:history="1">
        <w:r w:rsidRPr="007A26DC">
          <w:rPr>
            <w:rStyle w:val="Hyperlink"/>
            <w:noProof/>
          </w:rPr>
          <w:t>2.</w:t>
        </w:r>
        <w:r>
          <w:rPr>
            <w:rFonts w:asciiTheme="minorHAnsi" w:eastAsiaTheme="minorEastAsia" w:hAnsiTheme="minorHAnsi" w:cstheme="minorBidi"/>
            <w:b w:val="0"/>
            <w:caps w:val="0"/>
            <w:noProof/>
            <w:kern w:val="2"/>
            <w:sz w:val="24"/>
            <w:szCs w:val="24"/>
            <w:lang w:val="en-US" w:eastAsia="zh-CN"/>
            <w14:ligatures w14:val="standardContextual"/>
          </w:rPr>
          <w:tab/>
        </w:r>
        <w:r w:rsidRPr="007A26DC">
          <w:rPr>
            <w:rStyle w:val="Hyperlink"/>
            <w:noProof/>
          </w:rPr>
          <w:t>Definitions</w:t>
        </w:r>
        <w:r>
          <w:rPr>
            <w:noProof/>
            <w:webHidden/>
          </w:rPr>
          <w:tab/>
        </w:r>
        <w:r>
          <w:rPr>
            <w:rStyle w:val="Hyperlink"/>
            <w:noProof/>
          </w:rPr>
          <w:tab/>
        </w:r>
        <w:r>
          <w:rPr>
            <w:noProof/>
            <w:webHidden/>
          </w:rPr>
          <w:fldChar w:fldCharType="begin"/>
        </w:r>
        <w:r>
          <w:rPr>
            <w:noProof/>
            <w:webHidden/>
          </w:rPr>
          <w:instrText xml:space="preserve"> PAGEREF _Toc240576883 \h </w:instrText>
        </w:r>
        <w:r>
          <w:rPr>
            <w:noProof/>
            <w:webHidden/>
          </w:rPr>
        </w:r>
        <w:r>
          <w:rPr>
            <w:noProof/>
            <w:webHidden/>
          </w:rPr>
          <w:fldChar w:fldCharType="separate"/>
        </w:r>
        <w:r w:rsidR="003B0135">
          <w:rPr>
            <w:noProof/>
            <w:webHidden/>
          </w:rPr>
          <w:t>5</w:t>
        </w:r>
        <w:r>
          <w:rPr>
            <w:noProof/>
            <w:webHidden/>
          </w:rPr>
          <w:fldChar w:fldCharType="end"/>
        </w:r>
      </w:hyperlink>
    </w:p>
    <w:p w14:paraId="5A812584" w14:textId="2CC1B45B" w:rsidR="00F62D64" w:rsidRDefault="00F62D64" w:rsidP="00F62D64">
      <w:pPr>
        <w:pStyle w:val="TOC2"/>
        <w:rPr>
          <w:rFonts w:asciiTheme="minorHAnsi" w:eastAsiaTheme="minorEastAsia" w:hAnsiTheme="minorHAnsi" w:cstheme="minorBidi"/>
          <w:noProof/>
          <w:kern w:val="2"/>
          <w:sz w:val="24"/>
          <w:szCs w:val="24"/>
          <w:lang w:val="en-US" w:eastAsia="zh-CN"/>
          <w14:ligatures w14:val="standardContextual"/>
        </w:rPr>
      </w:pPr>
      <w:hyperlink w:anchor="_Toc240576884" w:history="1">
        <w:r w:rsidRPr="007A26DC">
          <w:rPr>
            <w:rStyle w:val="Hyperlink"/>
            <w:noProof/>
          </w:rPr>
          <w:t>2.1.</w:t>
        </w:r>
        <w:r>
          <w:rPr>
            <w:rFonts w:asciiTheme="minorHAnsi" w:eastAsiaTheme="minorEastAsia" w:hAnsiTheme="minorHAnsi" w:cstheme="minorBidi"/>
            <w:noProof/>
            <w:kern w:val="2"/>
            <w:sz w:val="24"/>
            <w:szCs w:val="24"/>
            <w:lang w:val="en-US" w:eastAsia="zh-CN"/>
            <w14:ligatures w14:val="standardContextual"/>
          </w:rPr>
          <w:tab/>
        </w:r>
        <w:r w:rsidRPr="007A26DC">
          <w:rPr>
            <w:rStyle w:val="Hyperlink"/>
            <w:noProof/>
          </w:rPr>
          <w:t>General terms</w:t>
        </w:r>
        <w:r>
          <w:rPr>
            <w:noProof/>
            <w:webHidden/>
          </w:rPr>
          <w:tab/>
        </w:r>
        <w:r>
          <w:rPr>
            <w:rStyle w:val="Hyperlink"/>
            <w:noProof/>
          </w:rPr>
          <w:tab/>
        </w:r>
        <w:r>
          <w:rPr>
            <w:noProof/>
            <w:webHidden/>
          </w:rPr>
          <w:fldChar w:fldCharType="begin"/>
        </w:r>
        <w:r>
          <w:rPr>
            <w:noProof/>
            <w:webHidden/>
          </w:rPr>
          <w:instrText xml:space="preserve"> PAGEREF _Toc240576884 \h </w:instrText>
        </w:r>
        <w:r>
          <w:rPr>
            <w:noProof/>
            <w:webHidden/>
          </w:rPr>
        </w:r>
        <w:r>
          <w:rPr>
            <w:noProof/>
            <w:webHidden/>
          </w:rPr>
          <w:fldChar w:fldCharType="separate"/>
        </w:r>
        <w:r w:rsidR="003B0135">
          <w:rPr>
            <w:noProof/>
            <w:webHidden/>
          </w:rPr>
          <w:t>5</w:t>
        </w:r>
        <w:r>
          <w:rPr>
            <w:noProof/>
            <w:webHidden/>
          </w:rPr>
          <w:fldChar w:fldCharType="end"/>
        </w:r>
      </w:hyperlink>
    </w:p>
    <w:p w14:paraId="278924B4" w14:textId="51CF44A5" w:rsidR="00F62D64" w:rsidRDefault="00F62D64" w:rsidP="00F62D64">
      <w:pPr>
        <w:pStyle w:val="TOC2"/>
        <w:rPr>
          <w:rFonts w:asciiTheme="minorHAnsi" w:eastAsiaTheme="minorEastAsia" w:hAnsiTheme="minorHAnsi" w:cstheme="minorBidi"/>
          <w:noProof/>
          <w:kern w:val="2"/>
          <w:sz w:val="24"/>
          <w:szCs w:val="24"/>
          <w:lang w:val="en-US" w:eastAsia="zh-CN"/>
          <w14:ligatures w14:val="standardContextual"/>
        </w:rPr>
      </w:pPr>
      <w:hyperlink w:anchor="_Toc240576885" w:history="1">
        <w:r w:rsidRPr="007A26DC">
          <w:rPr>
            <w:rStyle w:val="Hyperlink"/>
            <w:noProof/>
          </w:rPr>
          <w:t>2.2.</w:t>
        </w:r>
        <w:r>
          <w:rPr>
            <w:rFonts w:asciiTheme="minorHAnsi" w:eastAsiaTheme="minorEastAsia" w:hAnsiTheme="minorHAnsi" w:cstheme="minorBidi"/>
            <w:noProof/>
            <w:kern w:val="2"/>
            <w:sz w:val="24"/>
            <w:szCs w:val="24"/>
            <w:lang w:val="en-US" w:eastAsia="zh-CN"/>
            <w14:ligatures w14:val="standardContextual"/>
          </w:rPr>
          <w:tab/>
        </w:r>
        <w:r w:rsidRPr="007A26DC">
          <w:rPr>
            <w:rStyle w:val="Hyperlink"/>
            <w:noProof/>
          </w:rPr>
          <w:t>Methodological terms and definitions</w:t>
        </w:r>
        <w:r>
          <w:rPr>
            <w:noProof/>
            <w:webHidden/>
          </w:rPr>
          <w:tab/>
        </w:r>
        <w:r>
          <w:rPr>
            <w:rStyle w:val="Hyperlink"/>
            <w:noProof/>
          </w:rPr>
          <w:tab/>
        </w:r>
        <w:r>
          <w:rPr>
            <w:noProof/>
            <w:webHidden/>
          </w:rPr>
          <w:fldChar w:fldCharType="begin"/>
        </w:r>
        <w:r>
          <w:rPr>
            <w:noProof/>
            <w:webHidden/>
          </w:rPr>
          <w:instrText xml:space="preserve"> PAGEREF _Toc240576885 \h </w:instrText>
        </w:r>
        <w:r>
          <w:rPr>
            <w:noProof/>
            <w:webHidden/>
          </w:rPr>
        </w:r>
        <w:r>
          <w:rPr>
            <w:noProof/>
            <w:webHidden/>
          </w:rPr>
          <w:fldChar w:fldCharType="separate"/>
        </w:r>
        <w:r w:rsidR="003B0135">
          <w:rPr>
            <w:noProof/>
            <w:webHidden/>
          </w:rPr>
          <w:t>5</w:t>
        </w:r>
        <w:r>
          <w:rPr>
            <w:noProof/>
            <w:webHidden/>
          </w:rPr>
          <w:fldChar w:fldCharType="end"/>
        </w:r>
      </w:hyperlink>
    </w:p>
    <w:p w14:paraId="5351C882" w14:textId="0734E51C" w:rsidR="00F62D64" w:rsidRDefault="00F62D64" w:rsidP="00F62D64">
      <w:pPr>
        <w:pStyle w:val="TOC1"/>
        <w:rPr>
          <w:rFonts w:asciiTheme="minorHAnsi" w:eastAsiaTheme="minorEastAsia" w:hAnsiTheme="minorHAnsi" w:cstheme="minorBidi"/>
          <w:b w:val="0"/>
          <w:caps w:val="0"/>
          <w:noProof/>
          <w:kern w:val="2"/>
          <w:sz w:val="24"/>
          <w:szCs w:val="24"/>
          <w:lang w:val="en-US" w:eastAsia="zh-CN"/>
          <w14:ligatures w14:val="standardContextual"/>
        </w:rPr>
      </w:pPr>
      <w:hyperlink w:anchor="_Toc240576886" w:history="1">
        <w:r w:rsidRPr="007A26DC">
          <w:rPr>
            <w:rStyle w:val="Hyperlink"/>
            <w:noProof/>
          </w:rPr>
          <w:t>3.</w:t>
        </w:r>
        <w:r>
          <w:rPr>
            <w:rFonts w:asciiTheme="minorHAnsi" w:eastAsiaTheme="minorEastAsia" w:hAnsiTheme="minorHAnsi" w:cstheme="minorBidi"/>
            <w:b w:val="0"/>
            <w:caps w:val="0"/>
            <w:noProof/>
            <w:kern w:val="2"/>
            <w:sz w:val="24"/>
            <w:szCs w:val="24"/>
            <w:lang w:val="en-US" w:eastAsia="zh-CN"/>
            <w14:ligatures w14:val="standardContextual"/>
          </w:rPr>
          <w:tab/>
        </w:r>
        <w:r w:rsidRPr="007A26DC">
          <w:rPr>
            <w:rStyle w:val="Hyperlink"/>
            <w:noProof/>
          </w:rPr>
          <w:t>Applicability</w:t>
        </w:r>
        <w:r>
          <w:rPr>
            <w:noProof/>
            <w:webHidden/>
          </w:rPr>
          <w:tab/>
        </w:r>
        <w:r>
          <w:rPr>
            <w:rStyle w:val="Hyperlink"/>
            <w:noProof/>
          </w:rPr>
          <w:tab/>
        </w:r>
        <w:r>
          <w:rPr>
            <w:noProof/>
            <w:webHidden/>
          </w:rPr>
          <w:fldChar w:fldCharType="begin"/>
        </w:r>
        <w:r>
          <w:rPr>
            <w:noProof/>
            <w:webHidden/>
          </w:rPr>
          <w:instrText xml:space="preserve"> PAGEREF _Toc240576886 \h </w:instrText>
        </w:r>
        <w:r>
          <w:rPr>
            <w:noProof/>
            <w:webHidden/>
          </w:rPr>
        </w:r>
        <w:r>
          <w:rPr>
            <w:noProof/>
            <w:webHidden/>
          </w:rPr>
          <w:fldChar w:fldCharType="separate"/>
        </w:r>
        <w:r w:rsidR="003B0135">
          <w:rPr>
            <w:noProof/>
            <w:webHidden/>
          </w:rPr>
          <w:t>7</w:t>
        </w:r>
        <w:r>
          <w:rPr>
            <w:noProof/>
            <w:webHidden/>
          </w:rPr>
          <w:fldChar w:fldCharType="end"/>
        </w:r>
      </w:hyperlink>
    </w:p>
    <w:p w14:paraId="03860922" w14:textId="0369A9C6" w:rsidR="00F62D64" w:rsidRDefault="00F62D64" w:rsidP="00F62D64">
      <w:pPr>
        <w:pStyle w:val="TOC1"/>
        <w:rPr>
          <w:rFonts w:asciiTheme="minorHAnsi" w:eastAsiaTheme="minorEastAsia" w:hAnsiTheme="minorHAnsi" w:cstheme="minorBidi"/>
          <w:b w:val="0"/>
          <w:caps w:val="0"/>
          <w:noProof/>
          <w:kern w:val="2"/>
          <w:sz w:val="24"/>
          <w:szCs w:val="24"/>
          <w:lang w:val="en-US" w:eastAsia="zh-CN"/>
          <w14:ligatures w14:val="standardContextual"/>
        </w:rPr>
      </w:pPr>
      <w:hyperlink w:anchor="_Toc240576887" w:history="1">
        <w:r w:rsidRPr="007A26DC">
          <w:rPr>
            <w:rStyle w:val="Hyperlink"/>
            <w:noProof/>
          </w:rPr>
          <w:t>4.</w:t>
        </w:r>
        <w:r>
          <w:rPr>
            <w:rFonts w:asciiTheme="minorHAnsi" w:eastAsiaTheme="minorEastAsia" w:hAnsiTheme="minorHAnsi" w:cstheme="minorBidi"/>
            <w:b w:val="0"/>
            <w:caps w:val="0"/>
            <w:noProof/>
            <w:kern w:val="2"/>
            <w:sz w:val="24"/>
            <w:szCs w:val="24"/>
            <w:lang w:val="en-US" w:eastAsia="zh-CN"/>
            <w14:ligatures w14:val="standardContextual"/>
          </w:rPr>
          <w:tab/>
        </w:r>
        <w:r w:rsidRPr="007A26DC">
          <w:rPr>
            <w:rStyle w:val="Hyperlink"/>
            <w:noProof/>
          </w:rPr>
          <w:t>Normative and informative references</w:t>
        </w:r>
        <w:r>
          <w:rPr>
            <w:noProof/>
            <w:webHidden/>
          </w:rPr>
          <w:tab/>
        </w:r>
        <w:r>
          <w:rPr>
            <w:rStyle w:val="Hyperlink"/>
            <w:noProof/>
          </w:rPr>
          <w:tab/>
        </w:r>
        <w:r>
          <w:rPr>
            <w:noProof/>
            <w:webHidden/>
          </w:rPr>
          <w:fldChar w:fldCharType="begin"/>
        </w:r>
        <w:r>
          <w:rPr>
            <w:noProof/>
            <w:webHidden/>
          </w:rPr>
          <w:instrText xml:space="preserve"> PAGEREF _Toc240576887 \h </w:instrText>
        </w:r>
        <w:r>
          <w:rPr>
            <w:noProof/>
            <w:webHidden/>
          </w:rPr>
        </w:r>
        <w:r>
          <w:rPr>
            <w:noProof/>
            <w:webHidden/>
          </w:rPr>
          <w:fldChar w:fldCharType="separate"/>
        </w:r>
        <w:r w:rsidR="003B0135">
          <w:rPr>
            <w:noProof/>
            <w:webHidden/>
          </w:rPr>
          <w:t>8</w:t>
        </w:r>
        <w:r>
          <w:rPr>
            <w:noProof/>
            <w:webHidden/>
          </w:rPr>
          <w:fldChar w:fldCharType="end"/>
        </w:r>
      </w:hyperlink>
    </w:p>
    <w:p w14:paraId="48191207" w14:textId="095E6694" w:rsidR="00F62D64" w:rsidRDefault="00F62D64" w:rsidP="00F62D64">
      <w:pPr>
        <w:pStyle w:val="TOC1"/>
        <w:rPr>
          <w:rFonts w:asciiTheme="minorHAnsi" w:eastAsiaTheme="minorEastAsia" w:hAnsiTheme="minorHAnsi" w:cstheme="minorBidi"/>
          <w:b w:val="0"/>
          <w:caps w:val="0"/>
          <w:noProof/>
          <w:kern w:val="2"/>
          <w:sz w:val="24"/>
          <w:szCs w:val="24"/>
          <w:lang w:val="en-US" w:eastAsia="zh-CN"/>
          <w14:ligatures w14:val="standardContextual"/>
        </w:rPr>
      </w:pPr>
      <w:hyperlink w:anchor="_Toc240576888" w:history="1">
        <w:r w:rsidRPr="007A26DC">
          <w:rPr>
            <w:rStyle w:val="Hyperlink"/>
            <w:noProof/>
          </w:rPr>
          <w:t>5.</w:t>
        </w:r>
        <w:r>
          <w:rPr>
            <w:rFonts w:asciiTheme="minorHAnsi" w:eastAsiaTheme="minorEastAsia" w:hAnsiTheme="minorHAnsi" w:cstheme="minorBidi"/>
            <w:b w:val="0"/>
            <w:caps w:val="0"/>
            <w:noProof/>
            <w:kern w:val="2"/>
            <w:sz w:val="24"/>
            <w:szCs w:val="24"/>
            <w:lang w:val="en-US" w:eastAsia="zh-CN"/>
            <w14:ligatures w14:val="standardContextual"/>
          </w:rPr>
          <w:tab/>
        </w:r>
        <w:r w:rsidRPr="007A26DC">
          <w:rPr>
            <w:rStyle w:val="Hyperlink"/>
            <w:noProof/>
          </w:rPr>
          <w:t>Methodological approaches</w:t>
        </w:r>
        <w:r>
          <w:rPr>
            <w:noProof/>
            <w:webHidden/>
          </w:rPr>
          <w:tab/>
        </w:r>
        <w:r>
          <w:rPr>
            <w:rStyle w:val="Hyperlink"/>
            <w:noProof/>
          </w:rPr>
          <w:tab/>
        </w:r>
        <w:r>
          <w:rPr>
            <w:noProof/>
            <w:webHidden/>
          </w:rPr>
          <w:fldChar w:fldCharType="begin"/>
        </w:r>
        <w:r>
          <w:rPr>
            <w:noProof/>
            <w:webHidden/>
          </w:rPr>
          <w:instrText xml:space="preserve"> PAGEREF _Toc240576888 \h </w:instrText>
        </w:r>
        <w:r>
          <w:rPr>
            <w:noProof/>
            <w:webHidden/>
          </w:rPr>
        </w:r>
        <w:r>
          <w:rPr>
            <w:noProof/>
            <w:webHidden/>
          </w:rPr>
          <w:fldChar w:fldCharType="separate"/>
        </w:r>
        <w:r w:rsidR="003B0135">
          <w:rPr>
            <w:noProof/>
            <w:webHidden/>
          </w:rPr>
          <w:t>8</w:t>
        </w:r>
        <w:r>
          <w:rPr>
            <w:noProof/>
            <w:webHidden/>
          </w:rPr>
          <w:fldChar w:fldCharType="end"/>
        </w:r>
      </w:hyperlink>
    </w:p>
    <w:p w14:paraId="04D5649F" w14:textId="4BE16031" w:rsidR="00F62D64" w:rsidRDefault="00F62D64" w:rsidP="00F62D64">
      <w:pPr>
        <w:pStyle w:val="TOC2"/>
        <w:rPr>
          <w:rFonts w:asciiTheme="minorHAnsi" w:eastAsiaTheme="minorEastAsia" w:hAnsiTheme="minorHAnsi" w:cstheme="minorBidi"/>
          <w:noProof/>
          <w:kern w:val="2"/>
          <w:sz w:val="24"/>
          <w:szCs w:val="24"/>
          <w:lang w:val="en-US" w:eastAsia="zh-CN"/>
          <w14:ligatures w14:val="standardContextual"/>
        </w:rPr>
      </w:pPr>
      <w:hyperlink w:anchor="_Toc240576889" w:history="1">
        <w:r w:rsidRPr="007A26DC">
          <w:rPr>
            <w:rStyle w:val="Hyperlink"/>
            <w:noProof/>
          </w:rPr>
          <w:t>5.1.</w:t>
        </w:r>
        <w:r>
          <w:rPr>
            <w:rFonts w:asciiTheme="minorHAnsi" w:eastAsiaTheme="minorEastAsia" w:hAnsiTheme="minorHAnsi" w:cstheme="minorBidi"/>
            <w:noProof/>
            <w:kern w:val="2"/>
            <w:sz w:val="24"/>
            <w:szCs w:val="24"/>
            <w:lang w:val="en-US" w:eastAsia="zh-CN"/>
            <w14:ligatures w14:val="standardContextual"/>
          </w:rPr>
          <w:tab/>
        </w:r>
        <w:r w:rsidRPr="007A26DC">
          <w:rPr>
            <w:rStyle w:val="Hyperlink"/>
            <w:noProof/>
          </w:rPr>
          <w:t>Step 1: Identify all relevant electricity generation and consumption sources </w:t>
        </w:r>
        <w:r w:rsidRPr="007A26DC">
          <w:rPr>
            <w:rStyle w:val="Hyperlink"/>
            <w:i/>
            <w:iCs/>
            <w:noProof/>
          </w:rPr>
          <w:t>s</w:t>
        </w:r>
        <w:r w:rsidRPr="007A26DC">
          <w:rPr>
            <w:rStyle w:val="Hyperlink"/>
            <w:noProof/>
          </w:rPr>
          <w:t xml:space="preserve"> in relation to the Article 6.4 project or CP</w:t>
        </w:r>
        <w:r>
          <w:rPr>
            <w:noProof/>
            <w:webHidden/>
          </w:rPr>
          <w:tab/>
        </w:r>
        <w:r>
          <w:rPr>
            <w:rStyle w:val="Hyperlink"/>
            <w:noProof/>
          </w:rPr>
          <w:tab/>
        </w:r>
        <w:r>
          <w:rPr>
            <w:noProof/>
            <w:webHidden/>
          </w:rPr>
          <w:fldChar w:fldCharType="begin"/>
        </w:r>
        <w:r>
          <w:rPr>
            <w:noProof/>
            <w:webHidden/>
          </w:rPr>
          <w:instrText xml:space="preserve"> PAGEREF _Toc240576889 \h </w:instrText>
        </w:r>
        <w:r>
          <w:rPr>
            <w:noProof/>
            <w:webHidden/>
          </w:rPr>
        </w:r>
        <w:r>
          <w:rPr>
            <w:noProof/>
            <w:webHidden/>
          </w:rPr>
          <w:fldChar w:fldCharType="separate"/>
        </w:r>
        <w:r w:rsidR="003B0135">
          <w:rPr>
            <w:noProof/>
            <w:webHidden/>
          </w:rPr>
          <w:t>9</w:t>
        </w:r>
        <w:r>
          <w:rPr>
            <w:noProof/>
            <w:webHidden/>
          </w:rPr>
          <w:fldChar w:fldCharType="end"/>
        </w:r>
      </w:hyperlink>
    </w:p>
    <w:p w14:paraId="0981E595" w14:textId="0B9DAF56" w:rsidR="00F62D64" w:rsidRDefault="00F62D64" w:rsidP="00F62D64">
      <w:pPr>
        <w:pStyle w:val="TOC2"/>
        <w:rPr>
          <w:rFonts w:asciiTheme="minorHAnsi" w:eastAsiaTheme="minorEastAsia" w:hAnsiTheme="minorHAnsi" w:cstheme="minorBidi"/>
          <w:noProof/>
          <w:kern w:val="2"/>
          <w:sz w:val="24"/>
          <w:szCs w:val="24"/>
          <w:lang w:val="en-US" w:eastAsia="zh-CN"/>
          <w14:ligatures w14:val="standardContextual"/>
        </w:rPr>
      </w:pPr>
      <w:hyperlink w:anchor="_Toc240576890" w:history="1">
        <w:r w:rsidRPr="007A26DC">
          <w:rPr>
            <w:rStyle w:val="Hyperlink"/>
            <w:noProof/>
          </w:rPr>
          <w:t>5.2.</w:t>
        </w:r>
        <w:r>
          <w:rPr>
            <w:rFonts w:asciiTheme="minorHAnsi" w:eastAsiaTheme="minorEastAsia" w:hAnsiTheme="minorHAnsi" w:cstheme="minorBidi"/>
            <w:noProof/>
            <w:kern w:val="2"/>
            <w:sz w:val="24"/>
            <w:szCs w:val="24"/>
            <w:lang w:val="en-US" w:eastAsia="zh-CN"/>
            <w14:ligatures w14:val="standardContextual"/>
          </w:rPr>
          <w:tab/>
        </w:r>
        <w:r w:rsidRPr="007A26DC">
          <w:rPr>
            <w:rStyle w:val="Hyperlink"/>
            <w:noProof/>
            <w:lang w:eastAsia="ja-JP"/>
          </w:rPr>
          <w:t xml:space="preserve">Step 2: </w:t>
        </w:r>
        <w:r w:rsidRPr="007A26DC">
          <w:rPr>
            <w:rStyle w:val="Hyperlink"/>
            <w:noProof/>
          </w:rPr>
          <w:t>Determine, for each electricity generation or consumption source </w:t>
        </w:r>
        <w:r w:rsidRPr="007A26DC">
          <w:rPr>
            <w:rStyle w:val="Hyperlink"/>
            <w:i/>
            <w:iCs/>
            <w:noProof/>
          </w:rPr>
          <w:t>s,</w:t>
        </w:r>
        <w:r w:rsidRPr="007A26DC">
          <w:rPr>
            <w:rStyle w:val="Hyperlink"/>
            <w:noProof/>
          </w:rPr>
          <w:t xml:space="preserve"> whether electricity is consumed from or fed into an electricity system, or whether it is consumed from or avoids power generation by fossil-fuel fired captive power plant(s)</w:t>
        </w:r>
        <w:r>
          <w:rPr>
            <w:noProof/>
            <w:webHidden/>
          </w:rPr>
          <w:tab/>
        </w:r>
        <w:r>
          <w:rPr>
            <w:rStyle w:val="Hyperlink"/>
            <w:noProof/>
          </w:rPr>
          <w:tab/>
        </w:r>
        <w:r>
          <w:rPr>
            <w:noProof/>
            <w:webHidden/>
          </w:rPr>
          <w:fldChar w:fldCharType="begin"/>
        </w:r>
        <w:r>
          <w:rPr>
            <w:noProof/>
            <w:webHidden/>
          </w:rPr>
          <w:instrText xml:space="preserve"> PAGEREF _Toc240576890 \h </w:instrText>
        </w:r>
        <w:r>
          <w:rPr>
            <w:noProof/>
            <w:webHidden/>
          </w:rPr>
        </w:r>
        <w:r>
          <w:rPr>
            <w:noProof/>
            <w:webHidden/>
          </w:rPr>
          <w:fldChar w:fldCharType="separate"/>
        </w:r>
        <w:r w:rsidR="003B0135">
          <w:rPr>
            <w:noProof/>
            <w:webHidden/>
          </w:rPr>
          <w:t>10</w:t>
        </w:r>
        <w:r>
          <w:rPr>
            <w:noProof/>
            <w:webHidden/>
          </w:rPr>
          <w:fldChar w:fldCharType="end"/>
        </w:r>
      </w:hyperlink>
    </w:p>
    <w:p w14:paraId="575132FC" w14:textId="59A24A8D" w:rsidR="00F62D64" w:rsidRDefault="00F62D64" w:rsidP="00F62D64">
      <w:pPr>
        <w:pStyle w:val="TOC2"/>
        <w:rPr>
          <w:rFonts w:asciiTheme="minorHAnsi" w:eastAsiaTheme="minorEastAsia" w:hAnsiTheme="minorHAnsi" w:cstheme="minorBidi"/>
          <w:noProof/>
          <w:kern w:val="2"/>
          <w:sz w:val="24"/>
          <w:szCs w:val="24"/>
          <w:lang w:val="en-US" w:eastAsia="zh-CN"/>
          <w14:ligatures w14:val="standardContextual"/>
        </w:rPr>
      </w:pPr>
      <w:hyperlink w:anchor="_Toc240576891" w:history="1">
        <w:r w:rsidRPr="007A26DC">
          <w:rPr>
            <w:rStyle w:val="Hyperlink"/>
            <w:noProof/>
          </w:rPr>
          <w:t>5.3.</w:t>
        </w:r>
        <w:r>
          <w:rPr>
            <w:rFonts w:asciiTheme="minorHAnsi" w:eastAsiaTheme="minorEastAsia" w:hAnsiTheme="minorHAnsi" w:cstheme="minorBidi"/>
            <w:noProof/>
            <w:kern w:val="2"/>
            <w:sz w:val="24"/>
            <w:szCs w:val="24"/>
            <w:lang w:val="en-US" w:eastAsia="zh-CN"/>
            <w14:ligatures w14:val="standardContextual"/>
          </w:rPr>
          <w:tab/>
        </w:r>
        <w:r w:rsidRPr="007A26DC">
          <w:rPr>
            <w:rStyle w:val="Hyperlink"/>
            <w:noProof/>
          </w:rPr>
          <w:t>Step 3:</w:t>
        </w:r>
        <w:r w:rsidRPr="007A26DC">
          <w:rPr>
            <w:rStyle w:val="Hyperlink"/>
            <w:noProof/>
            <w:lang w:eastAsia="ja-JP"/>
          </w:rPr>
          <w:t xml:space="preserve"> Identify the relevant electricity system(s), where applicable</w:t>
        </w:r>
        <w:r>
          <w:rPr>
            <w:noProof/>
            <w:webHidden/>
          </w:rPr>
          <w:tab/>
        </w:r>
        <w:r>
          <w:rPr>
            <w:rStyle w:val="Hyperlink"/>
            <w:noProof/>
            <w:lang w:eastAsia="ja-JP"/>
          </w:rPr>
          <w:tab/>
        </w:r>
        <w:r>
          <w:rPr>
            <w:noProof/>
            <w:webHidden/>
          </w:rPr>
          <w:fldChar w:fldCharType="begin"/>
        </w:r>
        <w:r>
          <w:rPr>
            <w:noProof/>
            <w:webHidden/>
          </w:rPr>
          <w:instrText xml:space="preserve"> PAGEREF _Toc240576891 \h </w:instrText>
        </w:r>
        <w:r>
          <w:rPr>
            <w:noProof/>
            <w:webHidden/>
          </w:rPr>
        </w:r>
        <w:r>
          <w:rPr>
            <w:noProof/>
            <w:webHidden/>
          </w:rPr>
          <w:fldChar w:fldCharType="separate"/>
        </w:r>
        <w:r w:rsidR="003B0135">
          <w:rPr>
            <w:noProof/>
            <w:webHidden/>
          </w:rPr>
          <w:t>11</w:t>
        </w:r>
        <w:r>
          <w:rPr>
            <w:noProof/>
            <w:webHidden/>
          </w:rPr>
          <w:fldChar w:fldCharType="end"/>
        </w:r>
      </w:hyperlink>
    </w:p>
    <w:p w14:paraId="611DCDAE" w14:textId="67D74A92" w:rsidR="00F62D64" w:rsidRDefault="00F62D64" w:rsidP="00F62D64">
      <w:pPr>
        <w:pStyle w:val="TOC2"/>
        <w:rPr>
          <w:rFonts w:asciiTheme="minorHAnsi" w:eastAsiaTheme="minorEastAsia" w:hAnsiTheme="minorHAnsi" w:cstheme="minorBidi"/>
          <w:noProof/>
          <w:kern w:val="2"/>
          <w:sz w:val="24"/>
          <w:szCs w:val="24"/>
          <w:lang w:val="en-US" w:eastAsia="zh-CN"/>
          <w14:ligatures w14:val="standardContextual"/>
        </w:rPr>
      </w:pPr>
      <w:hyperlink w:anchor="_Toc240576892" w:history="1">
        <w:r w:rsidRPr="007A26DC">
          <w:rPr>
            <w:rStyle w:val="Hyperlink"/>
            <w:noProof/>
            <w:lang w:eastAsia="ja-JP"/>
          </w:rPr>
          <w:t>5.4.</w:t>
        </w:r>
        <w:r>
          <w:rPr>
            <w:rFonts w:asciiTheme="minorHAnsi" w:eastAsiaTheme="minorEastAsia" w:hAnsiTheme="minorHAnsi" w:cstheme="minorBidi"/>
            <w:noProof/>
            <w:kern w:val="2"/>
            <w:sz w:val="24"/>
            <w:szCs w:val="24"/>
            <w:lang w:val="en-US" w:eastAsia="zh-CN"/>
            <w14:ligatures w14:val="standardContextual"/>
          </w:rPr>
          <w:tab/>
        </w:r>
        <w:r w:rsidRPr="007A26DC">
          <w:rPr>
            <w:rStyle w:val="Hyperlink"/>
            <w:noProof/>
            <w:lang w:eastAsia="ja-JP"/>
          </w:rPr>
          <w:t>Step 4: Determine whether applying a higher or a lower value for emissions from electricity generation and/or consumption is more conservative</w:t>
        </w:r>
        <w:r>
          <w:rPr>
            <w:noProof/>
            <w:webHidden/>
          </w:rPr>
          <w:tab/>
        </w:r>
        <w:r>
          <w:rPr>
            <w:rStyle w:val="Hyperlink"/>
            <w:noProof/>
            <w:lang w:eastAsia="ja-JP"/>
          </w:rPr>
          <w:tab/>
        </w:r>
        <w:r>
          <w:rPr>
            <w:noProof/>
            <w:webHidden/>
          </w:rPr>
          <w:fldChar w:fldCharType="begin"/>
        </w:r>
        <w:r>
          <w:rPr>
            <w:noProof/>
            <w:webHidden/>
          </w:rPr>
          <w:instrText xml:space="preserve"> PAGEREF _Toc240576892 \h </w:instrText>
        </w:r>
        <w:r>
          <w:rPr>
            <w:noProof/>
            <w:webHidden/>
          </w:rPr>
        </w:r>
        <w:r>
          <w:rPr>
            <w:noProof/>
            <w:webHidden/>
          </w:rPr>
          <w:fldChar w:fldCharType="separate"/>
        </w:r>
        <w:r w:rsidR="003B0135">
          <w:rPr>
            <w:noProof/>
            <w:webHidden/>
          </w:rPr>
          <w:t>13</w:t>
        </w:r>
        <w:r>
          <w:rPr>
            <w:noProof/>
            <w:webHidden/>
          </w:rPr>
          <w:fldChar w:fldCharType="end"/>
        </w:r>
      </w:hyperlink>
    </w:p>
    <w:p w14:paraId="4F6867C6" w14:textId="502F9D19" w:rsidR="00F62D64" w:rsidRDefault="00F62D64" w:rsidP="00F62D64">
      <w:pPr>
        <w:pStyle w:val="TOC2"/>
        <w:rPr>
          <w:rFonts w:asciiTheme="minorHAnsi" w:eastAsiaTheme="minorEastAsia" w:hAnsiTheme="minorHAnsi" w:cstheme="minorBidi"/>
          <w:noProof/>
          <w:kern w:val="2"/>
          <w:sz w:val="24"/>
          <w:szCs w:val="24"/>
          <w:lang w:val="en-US" w:eastAsia="zh-CN"/>
          <w14:ligatures w14:val="standardContextual"/>
        </w:rPr>
      </w:pPr>
      <w:hyperlink w:anchor="_Toc240576893" w:history="1">
        <w:r w:rsidRPr="007A26DC">
          <w:rPr>
            <w:rStyle w:val="Hyperlink"/>
            <w:noProof/>
          </w:rPr>
          <w:t>5.5.</w:t>
        </w:r>
        <w:r>
          <w:rPr>
            <w:rFonts w:asciiTheme="minorHAnsi" w:eastAsiaTheme="minorEastAsia" w:hAnsiTheme="minorHAnsi" w:cstheme="minorBidi"/>
            <w:noProof/>
            <w:kern w:val="2"/>
            <w:sz w:val="24"/>
            <w:szCs w:val="24"/>
            <w:lang w:val="en-US" w:eastAsia="zh-CN"/>
            <w14:ligatures w14:val="standardContextual"/>
          </w:rPr>
          <w:tab/>
        </w:r>
        <w:r w:rsidRPr="007A26DC">
          <w:rPr>
            <w:rStyle w:val="Hyperlink"/>
            <w:noProof/>
          </w:rPr>
          <w:t>Step 5: Determine the amount of electricity generation and/or consumption</w:t>
        </w:r>
        <w:r>
          <w:rPr>
            <w:noProof/>
            <w:webHidden/>
          </w:rPr>
          <w:tab/>
        </w:r>
        <w:r>
          <w:rPr>
            <w:rStyle w:val="Hyperlink"/>
            <w:noProof/>
          </w:rPr>
          <w:tab/>
        </w:r>
        <w:r>
          <w:rPr>
            <w:noProof/>
            <w:webHidden/>
          </w:rPr>
          <w:fldChar w:fldCharType="begin"/>
        </w:r>
        <w:r>
          <w:rPr>
            <w:noProof/>
            <w:webHidden/>
          </w:rPr>
          <w:instrText xml:space="preserve"> PAGEREF _Toc240576893 \h </w:instrText>
        </w:r>
        <w:r>
          <w:rPr>
            <w:noProof/>
            <w:webHidden/>
          </w:rPr>
        </w:r>
        <w:r>
          <w:rPr>
            <w:noProof/>
            <w:webHidden/>
          </w:rPr>
          <w:fldChar w:fldCharType="separate"/>
        </w:r>
        <w:r w:rsidR="003B0135">
          <w:rPr>
            <w:noProof/>
            <w:webHidden/>
          </w:rPr>
          <w:t>14</w:t>
        </w:r>
        <w:r>
          <w:rPr>
            <w:noProof/>
            <w:webHidden/>
          </w:rPr>
          <w:fldChar w:fldCharType="end"/>
        </w:r>
      </w:hyperlink>
    </w:p>
    <w:p w14:paraId="7361EF6B" w14:textId="24E1FA1E" w:rsidR="00F62D64" w:rsidRDefault="00F62D64" w:rsidP="00F62D64">
      <w:pPr>
        <w:pStyle w:val="TOC2"/>
        <w:rPr>
          <w:rFonts w:asciiTheme="minorHAnsi" w:eastAsiaTheme="minorEastAsia" w:hAnsiTheme="minorHAnsi" w:cstheme="minorBidi"/>
          <w:noProof/>
          <w:kern w:val="2"/>
          <w:sz w:val="24"/>
          <w:szCs w:val="24"/>
          <w:lang w:val="en-US" w:eastAsia="zh-CN"/>
          <w14:ligatures w14:val="standardContextual"/>
        </w:rPr>
      </w:pPr>
      <w:hyperlink w:anchor="_Toc240576894" w:history="1">
        <w:r w:rsidRPr="007A26DC">
          <w:rPr>
            <w:rStyle w:val="Hyperlink"/>
            <w:noProof/>
          </w:rPr>
          <w:t>5.6.</w:t>
        </w:r>
        <w:r>
          <w:rPr>
            <w:rFonts w:asciiTheme="minorHAnsi" w:eastAsiaTheme="minorEastAsia" w:hAnsiTheme="minorHAnsi" w:cstheme="minorBidi"/>
            <w:noProof/>
            <w:kern w:val="2"/>
            <w:sz w:val="24"/>
            <w:szCs w:val="24"/>
            <w:lang w:val="en-US" w:eastAsia="zh-CN"/>
            <w14:ligatures w14:val="standardContextual"/>
          </w:rPr>
          <w:tab/>
        </w:r>
        <w:r w:rsidRPr="007A26DC">
          <w:rPr>
            <w:rStyle w:val="Hyperlink"/>
            <w:noProof/>
          </w:rPr>
          <w:t>Step 6. Determine which emission factor is applicable</w:t>
        </w:r>
        <w:r>
          <w:rPr>
            <w:noProof/>
            <w:webHidden/>
          </w:rPr>
          <w:tab/>
        </w:r>
        <w:r>
          <w:rPr>
            <w:rStyle w:val="Hyperlink"/>
            <w:noProof/>
          </w:rPr>
          <w:tab/>
        </w:r>
        <w:r>
          <w:rPr>
            <w:noProof/>
            <w:webHidden/>
          </w:rPr>
          <w:fldChar w:fldCharType="begin"/>
        </w:r>
        <w:r>
          <w:rPr>
            <w:noProof/>
            <w:webHidden/>
          </w:rPr>
          <w:instrText xml:space="preserve"> PAGEREF _Toc240576894 \h </w:instrText>
        </w:r>
        <w:r>
          <w:rPr>
            <w:noProof/>
            <w:webHidden/>
          </w:rPr>
        </w:r>
        <w:r>
          <w:rPr>
            <w:noProof/>
            <w:webHidden/>
          </w:rPr>
          <w:fldChar w:fldCharType="separate"/>
        </w:r>
        <w:r w:rsidR="003B0135">
          <w:rPr>
            <w:noProof/>
            <w:webHidden/>
          </w:rPr>
          <w:t>15</w:t>
        </w:r>
        <w:r>
          <w:rPr>
            <w:noProof/>
            <w:webHidden/>
          </w:rPr>
          <w:fldChar w:fldCharType="end"/>
        </w:r>
      </w:hyperlink>
    </w:p>
    <w:p w14:paraId="0F2AC992" w14:textId="50ED8FB7" w:rsidR="00F62D64" w:rsidRDefault="00F62D64" w:rsidP="00F62D64">
      <w:pPr>
        <w:pStyle w:val="TOC2"/>
        <w:rPr>
          <w:rFonts w:asciiTheme="minorHAnsi" w:eastAsiaTheme="minorEastAsia" w:hAnsiTheme="minorHAnsi" w:cstheme="minorBidi"/>
          <w:noProof/>
          <w:kern w:val="2"/>
          <w:sz w:val="24"/>
          <w:szCs w:val="24"/>
          <w:lang w:val="en-US" w:eastAsia="zh-CN"/>
          <w14:ligatures w14:val="standardContextual"/>
        </w:rPr>
      </w:pPr>
      <w:hyperlink w:anchor="_Toc240576895" w:history="1">
        <w:r w:rsidRPr="007A26DC">
          <w:rPr>
            <w:rStyle w:val="Hyperlink"/>
            <w:noProof/>
          </w:rPr>
          <w:t>5.7.</w:t>
        </w:r>
        <w:r>
          <w:rPr>
            <w:rFonts w:asciiTheme="minorHAnsi" w:eastAsiaTheme="minorEastAsia" w:hAnsiTheme="minorHAnsi" w:cstheme="minorBidi"/>
            <w:noProof/>
            <w:kern w:val="2"/>
            <w:sz w:val="24"/>
            <w:szCs w:val="24"/>
            <w:lang w:val="en-US" w:eastAsia="zh-CN"/>
            <w14:ligatures w14:val="standardContextual"/>
          </w:rPr>
          <w:tab/>
        </w:r>
        <w:r w:rsidRPr="007A26DC">
          <w:rPr>
            <w:rStyle w:val="Hyperlink"/>
            <w:noProof/>
          </w:rPr>
          <w:t>Step 7: Determine the emission factor of the electricity system, where applicable</w:t>
        </w:r>
        <w:r>
          <w:rPr>
            <w:noProof/>
            <w:webHidden/>
          </w:rPr>
          <w:tab/>
        </w:r>
        <w:r>
          <w:rPr>
            <w:rStyle w:val="Hyperlink"/>
            <w:noProof/>
          </w:rPr>
          <w:tab/>
        </w:r>
        <w:r>
          <w:rPr>
            <w:noProof/>
            <w:webHidden/>
          </w:rPr>
          <w:fldChar w:fldCharType="begin"/>
        </w:r>
        <w:r>
          <w:rPr>
            <w:noProof/>
            <w:webHidden/>
          </w:rPr>
          <w:instrText xml:space="preserve"> PAGEREF _Toc240576895 \h </w:instrText>
        </w:r>
        <w:r>
          <w:rPr>
            <w:noProof/>
            <w:webHidden/>
          </w:rPr>
        </w:r>
        <w:r>
          <w:rPr>
            <w:noProof/>
            <w:webHidden/>
          </w:rPr>
          <w:fldChar w:fldCharType="separate"/>
        </w:r>
        <w:r w:rsidR="003B0135">
          <w:rPr>
            <w:noProof/>
            <w:webHidden/>
          </w:rPr>
          <w:t>15</w:t>
        </w:r>
        <w:r>
          <w:rPr>
            <w:noProof/>
            <w:webHidden/>
          </w:rPr>
          <w:fldChar w:fldCharType="end"/>
        </w:r>
      </w:hyperlink>
    </w:p>
    <w:p w14:paraId="77839684" w14:textId="134D7869" w:rsidR="00F62D64" w:rsidRDefault="00F62D64" w:rsidP="00F62D64">
      <w:pPr>
        <w:pStyle w:val="TOC3"/>
        <w:rPr>
          <w:rFonts w:asciiTheme="minorHAnsi" w:eastAsiaTheme="minorEastAsia" w:hAnsiTheme="minorHAnsi" w:cstheme="minorBidi"/>
          <w:noProof/>
          <w:kern w:val="2"/>
          <w:sz w:val="24"/>
          <w:szCs w:val="24"/>
          <w:lang w:val="en-US" w:eastAsia="zh-CN"/>
          <w14:ligatures w14:val="standardContextual"/>
        </w:rPr>
      </w:pPr>
      <w:hyperlink w:anchor="_Toc240576896" w:history="1">
        <w:r w:rsidRPr="007A26DC">
          <w:rPr>
            <w:rStyle w:val="Hyperlink"/>
            <w:noProof/>
          </w:rPr>
          <w:t>5.7.1.</w:t>
        </w:r>
        <w:r>
          <w:rPr>
            <w:rFonts w:asciiTheme="minorHAnsi" w:eastAsiaTheme="minorEastAsia" w:hAnsiTheme="minorHAnsi" w:cstheme="minorBidi"/>
            <w:noProof/>
            <w:kern w:val="2"/>
            <w:sz w:val="24"/>
            <w:szCs w:val="24"/>
            <w:lang w:val="en-US" w:eastAsia="zh-CN"/>
            <w14:ligatures w14:val="standardContextual"/>
          </w:rPr>
          <w:tab/>
        </w:r>
        <w:r w:rsidRPr="007A26DC">
          <w:rPr>
            <w:rStyle w:val="Hyperlink"/>
            <w:noProof/>
          </w:rPr>
          <w:t>Option A: Calculate the combined margin emission factor of the electricity system</w:t>
        </w:r>
        <w:r>
          <w:rPr>
            <w:noProof/>
            <w:webHidden/>
          </w:rPr>
          <w:tab/>
        </w:r>
        <w:r>
          <w:rPr>
            <w:rStyle w:val="Hyperlink"/>
            <w:noProof/>
          </w:rPr>
          <w:tab/>
        </w:r>
        <w:r>
          <w:rPr>
            <w:noProof/>
            <w:webHidden/>
          </w:rPr>
          <w:fldChar w:fldCharType="begin"/>
        </w:r>
        <w:r>
          <w:rPr>
            <w:noProof/>
            <w:webHidden/>
          </w:rPr>
          <w:instrText xml:space="preserve"> PAGEREF _Toc240576896 \h </w:instrText>
        </w:r>
        <w:r>
          <w:rPr>
            <w:noProof/>
            <w:webHidden/>
          </w:rPr>
        </w:r>
        <w:r>
          <w:rPr>
            <w:noProof/>
            <w:webHidden/>
          </w:rPr>
          <w:fldChar w:fldCharType="separate"/>
        </w:r>
        <w:r w:rsidR="003B0135">
          <w:rPr>
            <w:noProof/>
            <w:webHidden/>
          </w:rPr>
          <w:t>16</w:t>
        </w:r>
        <w:r>
          <w:rPr>
            <w:noProof/>
            <w:webHidden/>
          </w:rPr>
          <w:fldChar w:fldCharType="end"/>
        </w:r>
      </w:hyperlink>
    </w:p>
    <w:p w14:paraId="0E3233CD" w14:textId="0E69AFEB" w:rsidR="00F62D64" w:rsidRDefault="00F62D64" w:rsidP="00F62D64">
      <w:pPr>
        <w:pStyle w:val="TOC3"/>
        <w:rPr>
          <w:rFonts w:asciiTheme="minorHAnsi" w:eastAsiaTheme="minorEastAsia" w:hAnsiTheme="minorHAnsi" w:cstheme="minorBidi"/>
          <w:noProof/>
          <w:kern w:val="2"/>
          <w:sz w:val="24"/>
          <w:szCs w:val="24"/>
          <w:lang w:val="en-US" w:eastAsia="zh-CN"/>
          <w14:ligatures w14:val="standardContextual"/>
        </w:rPr>
      </w:pPr>
      <w:hyperlink w:anchor="_Toc240576897" w:history="1">
        <w:r w:rsidRPr="007A26DC">
          <w:rPr>
            <w:rStyle w:val="Hyperlink"/>
            <w:noProof/>
          </w:rPr>
          <w:t>5.7.2.</w:t>
        </w:r>
        <w:r>
          <w:rPr>
            <w:rFonts w:asciiTheme="minorHAnsi" w:eastAsiaTheme="minorEastAsia" w:hAnsiTheme="minorHAnsi" w:cstheme="minorBidi"/>
            <w:noProof/>
            <w:kern w:val="2"/>
            <w:sz w:val="24"/>
            <w:szCs w:val="24"/>
            <w:lang w:val="en-US" w:eastAsia="zh-CN"/>
            <w14:ligatures w14:val="standardContextual"/>
          </w:rPr>
          <w:tab/>
        </w:r>
        <w:r w:rsidRPr="007A26DC">
          <w:rPr>
            <w:rStyle w:val="Hyperlink"/>
            <w:noProof/>
          </w:rPr>
          <w:t>Option B: Use a conservative default emission factor</w:t>
        </w:r>
        <w:r>
          <w:rPr>
            <w:noProof/>
            <w:webHidden/>
          </w:rPr>
          <w:tab/>
        </w:r>
        <w:r>
          <w:rPr>
            <w:rStyle w:val="Hyperlink"/>
            <w:noProof/>
          </w:rPr>
          <w:tab/>
        </w:r>
        <w:r>
          <w:rPr>
            <w:noProof/>
            <w:webHidden/>
          </w:rPr>
          <w:fldChar w:fldCharType="begin"/>
        </w:r>
        <w:r>
          <w:rPr>
            <w:noProof/>
            <w:webHidden/>
          </w:rPr>
          <w:instrText xml:space="preserve"> PAGEREF _Toc240576897 \h </w:instrText>
        </w:r>
        <w:r>
          <w:rPr>
            <w:noProof/>
            <w:webHidden/>
          </w:rPr>
        </w:r>
        <w:r>
          <w:rPr>
            <w:noProof/>
            <w:webHidden/>
          </w:rPr>
          <w:fldChar w:fldCharType="separate"/>
        </w:r>
        <w:r w:rsidR="003B0135">
          <w:rPr>
            <w:noProof/>
            <w:webHidden/>
          </w:rPr>
          <w:t>33</w:t>
        </w:r>
        <w:r>
          <w:rPr>
            <w:noProof/>
            <w:webHidden/>
          </w:rPr>
          <w:fldChar w:fldCharType="end"/>
        </w:r>
      </w:hyperlink>
    </w:p>
    <w:p w14:paraId="36F9FE0A" w14:textId="03B4DA85" w:rsidR="00F62D64" w:rsidRDefault="00F62D64" w:rsidP="00F62D64">
      <w:pPr>
        <w:pStyle w:val="TOC2"/>
        <w:rPr>
          <w:rFonts w:asciiTheme="minorHAnsi" w:eastAsiaTheme="minorEastAsia" w:hAnsiTheme="minorHAnsi" w:cstheme="minorBidi"/>
          <w:noProof/>
          <w:kern w:val="2"/>
          <w:sz w:val="24"/>
          <w:szCs w:val="24"/>
          <w:lang w:val="en-US" w:eastAsia="zh-CN"/>
          <w14:ligatures w14:val="standardContextual"/>
        </w:rPr>
      </w:pPr>
      <w:hyperlink w:anchor="_Toc240576898" w:history="1">
        <w:r w:rsidRPr="007A26DC">
          <w:rPr>
            <w:rStyle w:val="Hyperlink"/>
            <w:noProof/>
          </w:rPr>
          <w:t>5.8.</w:t>
        </w:r>
        <w:r>
          <w:rPr>
            <w:rFonts w:asciiTheme="minorHAnsi" w:eastAsiaTheme="minorEastAsia" w:hAnsiTheme="minorHAnsi" w:cstheme="minorBidi"/>
            <w:noProof/>
            <w:kern w:val="2"/>
            <w:sz w:val="24"/>
            <w:szCs w:val="24"/>
            <w:lang w:val="en-US" w:eastAsia="zh-CN"/>
            <w14:ligatures w14:val="standardContextual"/>
          </w:rPr>
          <w:tab/>
        </w:r>
        <w:r w:rsidRPr="007A26DC">
          <w:rPr>
            <w:rStyle w:val="Hyperlink"/>
            <w:noProof/>
          </w:rPr>
          <w:t>Step 8: Determine the emission factor for electricity sourced from captive fossil fuel power plant(s), where applicable</w:t>
        </w:r>
        <w:r>
          <w:rPr>
            <w:noProof/>
            <w:webHidden/>
          </w:rPr>
          <w:tab/>
        </w:r>
        <w:r>
          <w:rPr>
            <w:rStyle w:val="Hyperlink"/>
            <w:noProof/>
          </w:rPr>
          <w:tab/>
        </w:r>
        <w:r>
          <w:rPr>
            <w:noProof/>
            <w:webHidden/>
          </w:rPr>
          <w:fldChar w:fldCharType="begin"/>
        </w:r>
        <w:r>
          <w:rPr>
            <w:noProof/>
            <w:webHidden/>
          </w:rPr>
          <w:instrText xml:space="preserve"> PAGEREF _Toc240576898 \h </w:instrText>
        </w:r>
        <w:r>
          <w:rPr>
            <w:noProof/>
            <w:webHidden/>
          </w:rPr>
        </w:r>
        <w:r>
          <w:rPr>
            <w:noProof/>
            <w:webHidden/>
          </w:rPr>
          <w:fldChar w:fldCharType="separate"/>
        </w:r>
        <w:r w:rsidR="003B0135">
          <w:rPr>
            <w:noProof/>
            <w:webHidden/>
          </w:rPr>
          <w:t>35</w:t>
        </w:r>
        <w:r>
          <w:rPr>
            <w:noProof/>
            <w:webHidden/>
          </w:rPr>
          <w:fldChar w:fldCharType="end"/>
        </w:r>
      </w:hyperlink>
    </w:p>
    <w:p w14:paraId="2F9392CF" w14:textId="6363D2D4" w:rsidR="00F62D64" w:rsidRDefault="00F62D64" w:rsidP="00F62D64">
      <w:pPr>
        <w:pStyle w:val="TOC3"/>
        <w:rPr>
          <w:rFonts w:asciiTheme="minorHAnsi" w:eastAsiaTheme="minorEastAsia" w:hAnsiTheme="minorHAnsi" w:cstheme="minorBidi"/>
          <w:noProof/>
          <w:kern w:val="2"/>
          <w:sz w:val="24"/>
          <w:szCs w:val="24"/>
          <w:lang w:val="en-US" w:eastAsia="zh-CN"/>
          <w14:ligatures w14:val="standardContextual"/>
        </w:rPr>
      </w:pPr>
      <w:hyperlink w:anchor="_Toc240576899" w:history="1">
        <w:r w:rsidRPr="007A26DC">
          <w:rPr>
            <w:rStyle w:val="Hyperlink"/>
            <w:noProof/>
          </w:rPr>
          <w:t>5.8.1.</w:t>
        </w:r>
        <w:r>
          <w:rPr>
            <w:rFonts w:asciiTheme="minorHAnsi" w:eastAsiaTheme="minorEastAsia" w:hAnsiTheme="minorHAnsi" w:cstheme="minorBidi"/>
            <w:noProof/>
            <w:kern w:val="2"/>
            <w:sz w:val="24"/>
            <w:szCs w:val="24"/>
            <w:lang w:val="en-US" w:eastAsia="zh-CN"/>
            <w14:ligatures w14:val="standardContextual"/>
          </w:rPr>
          <w:tab/>
        </w:r>
        <w:r w:rsidRPr="007A26DC">
          <w:rPr>
            <w:rStyle w:val="Hyperlink"/>
            <w:noProof/>
          </w:rPr>
          <w:t>Option A: Calculate the actual emission factor of the fossil fuel fired captive power plant(s)</w:t>
        </w:r>
        <w:r>
          <w:rPr>
            <w:noProof/>
            <w:webHidden/>
          </w:rPr>
          <w:tab/>
        </w:r>
        <w:r>
          <w:rPr>
            <w:rStyle w:val="Hyperlink"/>
            <w:noProof/>
          </w:rPr>
          <w:tab/>
        </w:r>
        <w:r>
          <w:rPr>
            <w:noProof/>
            <w:webHidden/>
          </w:rPr>
          <w:fldChar w:fldCharType="begin"/>
        </w:r>
        <w:r>
          <w:rPr>
            <w:noProof/>
            <w:webHidden/>
          </w:rPr>
          <w:instrText xml:space="preserve"> PAGEREF _Toc240576899 \h </w:instrText>
        </w:r>
        <w:r>
          <w:rPr>
            <w:noProof/>
            <w:webHidden/>
          </w:rPr>
        </w:r>
        <w:r>
          <w:rPr>
            <w:noProof/>
            <w:webHidden/>
          </w:rPr>
          <w:fldChar w:fldCharType="separate"/>
        </w:r>
        <w:r w:rsidR="003B0135">
          <w:rPr>
            <w:noProof/>
            <w:webHidden/>
          </w:rPr>
          <w:t>35</w:t>
        </w:r>
        <w:r>
          <w:rPr>
            <w:noProof/>
            <w:webHidden/>
          </w:rPr>
          <w:fldChar w:fldCharType="end"/>
        </w:r>
      </w:hyperlink>
    </w:p>
    <w:p w14:paraId="4B73EC7C" w14:textId="056E9225" w:rsidR="00F62D64" w:rsidRDefault="00F62D64" w:rsidP="00F62D64">
      <w:pPr>
        <w:pStyle w:val="TOC3"/>
        <w:rPr>
          <w:rFonts w:asciiTheme="minorHAnsi" w:eastAsiaTheme="minorEastAsia" w:hAnsiTheme="minorHAnsi" w:cstheme="minorBidi"/>
          <w:noProof/>
          <w:kern w:val="2"/>
          <w:sz w:val="24"/>
          <w:szCs w:val="24"/>
          <w:lang w:val="en-US" w:eastAsia="zh-CN"/>
          <w14:ligatures w14:val="standardContextual"/>
        </w:rPr>
      </w:pPr>
      <w:hyperlink w:anchor="_Toc240576900" w:history="1">
        <w:r w:rsidRPr="007A26DC">
          <w:rPr>
            <w:rStyle w:val="Hyperlink"/>
            <w:noProof/>
          </w:rPr>
          <w:t>5.8.2.</w:t>
        </w:r>
        <w:r>
          <w:rPr>
            <w:rFonts w:asciiTheme="minorHAnsi" w:eastAsiaTheme="minorEastAsia" w:hAnsiTheme="minorHAnsi" w:cstheme="minorBidi"/>
            <w:noProof/>
            <w:kern w:val="2"/>
            <w:sz w:val="24"/>
            <w:szCs w:val="24"/>
            <w:lang w:val="en-US" w:eastAsia="zh-CN"/>
            <w14:ligatures w14:val="standardContextual"/>
          </w:rPr>
          <w:tab/>
        </w:r>
        <w:r w:rsidRPr="007A26DC">
          <w:rPr>
            <w:rStyle w:val="Hyperlink"/>
            <w:noProof/>
          </w:rPr>
          <w:t>Option B: Use a conservative default emission factor</w:t>
        </w:r>
        <w:r>
          <w:rPr>
            <w:noProof/>
            <w:webHidden/>
          </w:rPr>
          <w:tab/>
        </w:r>
        <w:r>
          <w:rPr>
            <w:rStyle w:val="Hyperlink"/>
            <w:noProof/>
          </w:rPr>
          <w:tab/>
        </w:r>
        <w:r>
          <w:rPr>
            <w:noProof/>
            <w:webHidden/>
          </w:rPr>
          <w:fldChar w:fldCharType="begin"/>
        </w:r>
        <w:r>
          <w:rPr>
            <w:noProof/>
            <w:webHidden/>
          </w:rPr>
          <w:instrText xml:space="preserve"> PAGEREF _Toc240576900 \h </w:instrText>
        </w:r>
        <w:r>
          <w:rPr>
            <w:noProof/>
            <w:webHidden/>
          </w:rPr>
        </w:r>
        <w:r>
          <w:rPr>
            <w:noProof/>
            <w:webHidden/>
          </w:rPr>
          <w:fldChar w:fldCharType="separate"/>
        </w:r>
        <w:r w:rsidR="003B0135">
          <w:rPr>
            <w:noProof/>
            <w:webHidden/>
          </w:rPr>
          <w:t>38</w:t>
        </w:r>
        <w:r>
          <w:rPr>
            <w:noProof/>
            <w:webHidden/>
          </w:rPr>
          <w:fldChar w:fldCharType="end"/>
        </w:r>
      </w:hyperlink>
    </w:p>
    <w:p w14:paraId="3944305B" w14:textId="7A79A736" w:rsidR="00F62D64" w:rsidRDefault="00F62D64" w:rsidP="00F62D64">
      <w:pPr>
        <w:pStyle w:val="TOC2"/>
        <w:rPr>
          <w:rFonts w:asciiTheme="minorHAnsi" w:eastAsiaTheme="minorEastAsia" w:hAnsiTheme="minorHAnsi" w:cstheme="minorBidi"/>
          <w:noProof/>
          <w:kern w:val="2"/>
          <w:sz w:val="24"/>
          <w:szCs w:val="24"/>
          <w:lang w:val="en-US" w:eastAsia="zh-CN"/>
          <w14:ligatures w14:val="standardContextual"/>
        </w:rPr>
      </w:pPr>
      <w:hyperlink w:anchor="_Toc240576901" w:history="1">
        <w:r w:rsidRPr="007A26DC">
          <w:rPr>
            <w:rStyle w:val="Hyperlink"/>
            <w:noProof/>
          </w:rPr>
          <w:t>5.9.</w:t>
        </w:r>
        <w:r>
          <w:rPr>
            <w:rFonts w:asciiTheme="minorHAnsi" w:eastAsiaTheme="minorEastAsia" w:hAnsiTheme="minorHAnsi" w:cstheme="minorBidi"/>
            <w:noProof/>
            <w:kern w:val="2"/>
            <w:sz w:val="24"/>
            <w:szCs w:val="24"/>
            <w:lang w:val="en-US" w:eastAsia="zh-CN"/>
            <w14:ligatures w14:val="standardContextual"/>
          </w:rPr>
          <w:tab/>
        </w:r>
        <w:r w:rsidRPr="007A26DC">
          <w:rPr>
            <w:rStyle w:val="Hyperlink"/>
            <w:noProof/>
          </w:rPr>
          <w:t>Step 9. Determine the transmission and distribution losses from the electricity system, where applicable</w:t>
        </w:r>
        <w:r>
          <w:rPr>
            <w:noProof/>
            <w:webHidden/>
          </w:rPr>
          <w:tab/>
        </w:r>
        <w:r>
          <w:rPr>
            <w:rStyle w:val="Hyperlink"/>
            <w:noProof/>
          </w:rPr>
          <w:tab/>
        </w:r>
        <w:r>
          <w:rPr>
            <w:noProof/>
            <w:webHidden/>
          </w:rPr>
          <w:fldChar w:fldCharType="begin"/>
        </w:r>
        <w:r>
          <w:rPr>
            <w:noProof/>
            <w:webHidden/>
          </w:rPr>
          <w:instrText xml:space="preserve"> PAGEREF _Toc240576901 \h </w:instrText>
        </w:r>
        <w:r>
          <w:rPr>
            <w:noProof/>
            <w:webHidden/>
          </w:rPr>
        </w:r>
        <w:r>
          <w:rPr>
            <w:noProof/>
            <w:webHidden/>
          </w:rPr>
          <w:fldChar w:fldCharType="separate"/>
        </w:r>
        <w:r w:rsidR="003B0135">
          <w:rPr>
            <w:noProof/>
            <w:webHidden/>
          </w:rPr>
          <w:t>38</w:t>
        </w:r>
        <w:r>
          <w:rPr>
            <w:noProof/>
            <w:webHidden/>
          </w:rPr>
          <w:fldChar w:fldCharType="end"/>
        </w:r>
      </w:hyperlink>
    </w:p>
    <w:p w14:paraId="07FFEEB3" w14:textId="2511CF6B" w:rsidR="00F62D64" w:rsidRDefault="00F62D64" w:rsidP="00F62D64">
      <w:pPr>
        <w:pStyle w:val="TOC2"/>
        <w:rPr>
          <w:rFonts w:asciiTheme="minorHAnsi" w:eastAsiaTheme="minorEastAsia" w:hAnsiTheme="minorHAnsi" w:cstheme="minorBidi"/>
          <w:noProof/>
          <w:kern w:val="2"/>
          <w:sz w:val="24"/>
          <w:szCs w:val="24"/>
          <w:lang w:val="en-US" w:eastAsia="zh-CN"/>
          <w14:ligatures w14:val="standardContextual"/>
        </w:rPr>
      </w:pPr>
      <w:hyperlink w:anchor="_Toc240576902" w:history="1">
        <w:r w:rsidRPr="007A26DC">
          <w:rPr>
            <w:rStyle w:val="Hyperlink"/>
            <w:noProof/>
          </w:rPr>
          <w:t>5.10.</w:t>
        </w:r>
        <w:r>
          <w:rPr>
            <w:rFonts w:asciiTheme="minorHAnsi" w:eastAsiaTheme="minorEastAsia" w:hAnsiTheme="minorHAnsi" w:cstheme="minorBidi"/>
            <w:noProof/>
            <w:kern w:val="2"/>
            <w:sz w:val="24"/>
            <w:szCs w:val="24"/>
            <w:lang w:val="en-US" w:eastAsia="zh-CN"/>
            <w14:ligatures w14:val="standardContextual"/>
          </w:rPr>
          <w:tab/>
        </w:r>
        <w:r w:rsidRPr="007A26DC">
          <w:rPr>
            <w:rStyle w:val="Hyperlink"/>
            <w:noProof/>
          </w:rPr>
          <w:t>Step 10. Determine the emissions from electricity generation and/or consumption</w:t>
        </w:r>
        <w:r>
          <w:rPr>
            <w:noProof/>
            <w:webHidden/>
          </w:rPr>
          <w:tab/>
        </w:r>
        <w:r>
          <w:rPr>
            <w:rStyle w:val="Hyperlink"/>
            <w:noProof/>
          </w:rPr>
          <w:tab/>
        </w:r>
        <w:r>
          <w:rPr>
            <w:noProof/>
            <w:webHidden/>
          </w:rPr>
          <w:fldChar w:fldCharType="begin"/>
        </w:r>
        <w:r>
          <w:rPr>
            <w:noProof/>
            <w:webHidden/>
          </w:rPr>
          <w:instrText xml:space="preserve"> PAGEREF _Toc240576902 \h </w:instrText>
        </w:r>
        <w:r>
          <w:rPr>
            <w:noProof/>
            <w:webHidden/>
          </w:rPr>
        </w:r>
        <w:r>
          <w:rPr>
            <w:noProof/>
            <w:webHidden/>
          </w:rPr>
          <w:fldChar w:fldCharType="separate"/>
        </w:r>
        <w:r w:rsidR="003B0135">
          <w:rPr>
            <w:noProof/>
            <w:webHidden/>
          </w:rPr>
          <w:t>39</w:t>
        </w:r>
        <w:r>
          <w:rPr>
            <w:noProof/>
            <w:webHidden/>
          </w:rPr>
          <w:fldChar w:fldCharType="end"/>
        </w:r>
      </w:hyperlink>
    </w:p>
    <w:p w14:paraId="00750220" w14:textId="6DD5F1BF" w:rsidR="00F62D64" w:rsidRDefault="00F62D64" w:rsidP="00F62D64">
      <w:pPr>
        <w:pStyle w:val="TOC2"/>
        <w:rPr>
          <w:rFonts w:asciiTheme="minorHAnsi" w:eastAsiaTheme="minorEastAsia" w:hAnsiTheme="minorHAnsi" w:cstheme="minorBidi"/>
          <w:noProof/>
          <w:kern w:val="2"/>
          <w:sz w:val="24"/>
          <w:szCs w:val="24"/>
          <w:lang w:val="en-US" w:eastAsia="zh-CN"/>
          <w14:ligatures w14:val="standardContextual"/>
        </w:rPr>
      </w:pPr>
      <w:hyperlink w:anchor="_Toc240576903" w:history="1">
        <w:r w:rsidRPr="007A26DC">
          <w:rPr>
            <w:rStyle w:val="Hyperlink"/>
            <w:rFonts w:eastAsia="Arial"/>
            <w:bCs/>
            <w:noProof/>
          </w:rPr>
          <w:t>5.11.</w:t>
        </w:r>
        <w:r>
          <w:rPr>
            <w:rFonts w:asciiTheme="minorHAnsi" w:eastAsiaTheme="minorEastAsia" w:hAnsiTheme="minorHAnsi" w:cstheme="minorBidi"/>
            <w:noProof/>
            <w:kern w:val="2"/>
            <w:sz w:val="24"/>
            <w:szCs w:val="24"/>
            <w:lang w:val="en-US" w:eastAsia="zh-CN"/>
            <w14:ligatures w14:val="standardContextual"/>
          </w:rPr>
          <w:tab/>
        </w:r>
        <w:r w:rsidRPr="007A26DC">
          <w:rPr>
            <w:rStyle w:val="Hyperlink"/>
            <w:rFonts w:eastAsia="Arial"/>
            <w:bCs/>
            <w:noProof/>
          </w:rPr>
          <w:t>Uncertainty determination</w:t>
        </w:r>
        <w:r>
          <w:rPr>
            <w:noProof/>
            <w:webHidden/>
          </w:rPr>
          <w:tab/>
        </w:r>
        <w:r>
          <w:rPr>
            <w:rStyle w:val="Hyperlink"/>
            <w:rFonts w:eastAsia="Arial"/>
            <w:bCs/>
            <w:noProof/>
          </w:rPr>
          <w:tab/>
        </w:r>
        <w:r>
          <w:rPr>
            <w:noProof/>
            <w:webHidden/>
          </w:rPr>
          <w:fldChar w:fldCharType="begin"/>
        </w:r>
        <w:r>
          <w:rPr>
            <w:noProof/>
            <w:webHidden/>
          </w:rPr>
          <w:instrText xml:space="preserve"> PAGEREF _Toc240576903 \h </w:instrText>
        </w:r>
        <w:r>
          <w:rPr>
            <w:noProof/>
            <w:webHidden/>
          </w:rPr>
        </w:r>
        <w:r>
          <w:rPr>
            <w:noProof/>
            <w:webHidden/>
          </w:rPr>
          <w:fldChar w:fldCharType="separate"/>
        </w:r>
        <w:r w:rsidR="003B0135">
          <w:rPr>
            <w:noProof/>
            <w:webHidden/>
          </w:rPr>
          <w:t>42</w:t>
        </w:r>
        <w:r>
          <w:rPr>
            <w:noProof/>
            <w:webHidden/>
          </w:rPr>
          <w:fldChar w:fldCharType="end"/>
        </w:r>
      </w:hyperlink>
    </w:p>
    <w:p w14:paraId="23DF48D6" w14:textId="24286106" w:rsidR="00F62D64" w:rsidRDefault="00F62D64" w:rsidP="00F62D64">
      <w:pPr>
        <w:pStyle w:val="TOC1"/>
        <w:rPr>
          <w:rFonts w:asciiTheme="minorHAnsi" w:eastAsiaTheme="minorEastAsia" w:hAnsiTheme="minorHAnsi" w:cstheme="minorBidi"/>
          <w:b w:val="0"/>
          <w:caps w:val="0"/>
          <w:noProof/>
          <w:kern w:val="2"/>
          <w:sz w:val="24"/>
          <w:szCs w:val="24"/>
          <w:lang w:val="en-US" w:eastAsia="zh-CN"/>
          <w14:ligatures w14:val="standardContextual"/>
        </w:rPr>
      </w:pPr>
      <w:hyperlink w:anchor="_Toc240576904" w:history="1">
        <w:r w:rsidRPr="007A26DC">
          <w:rPr>
            <w:rStyle w:val="Hyperlink"/>
            <w:noProof/>
          </w:rPr>
          <w:t>6.</w:t>
        </w:r>
        <w:r>
          <w:rPr>
            <w:rFonts w:asciiTheme="minorHAnsi" w:eastAsiaTheme="minorEastAsia" w:hAnsiTheme="minorHAnsi" w:cstheme="minorBidi"/>
            <w:b w:val="0"/>
            <w:caps w:val="0"/>
            <w:noProof/>
            <w:kern w:val="2"/>
            <w:sz w:val="24"/>
            <w:szCs w:val="24"/>
            <w:lang w:val="en-US" w:eastAsia="zh-CN"/>
            <w14:ligatures w14:val="standardContextual"/>
          </w:rPr>
          <w:tab/>
        </w:r>
        <w:r w:rsidRPr="007A26DC">
          <w:rPr>
            <w:rStyle w:val="Hyperlink"/>
            <w:noProof/>
          </w:rPr>
          <w:t>Monitoring methodology</w:t>
        </w:r>
        <w:r>
          <w:rPr>
            <w:noProof/>
            <w:webHidden/>
          </w:rPr>
          <w:tab/>
        </w:r>
        <w:r>
          <w:rPr>
            <w:rStyle w:val="Hyperlink"/>
            <w:noProof/>
          </w:rPr>
          <w:tab/>
        </w:r>
        <w:r>
          <w:rPr>
            <w:noProof/>
            <w:webHidden/>
          </w:rPr>
          <w:fldChar w:fldCharType="begin"/>
        </w:r>
        <w:r>
          <w:rPr>
            <w:noProof/>
            <w:webHidden/>
          </w:rPr>
          <w:instrText xml:space="preserve"> PAGEREF _Toc240576904 \h </w:instrText>
        </w:r>
        <w:r>
          <w:rPr>
            <w:noProof/>
            <w:webHidden/>
          </w:rPr>
        </w:r>
        <w:r>
          <w:rPr>
            <w:noProof/>
            <w:webHidden/>
          </w:rPr>
          <w:fldChar w:fldCharType="separate"/>
        </w:r>
        <w:r w:rsidR="003B0135">
          <w:rPr>
            <w:noProof/>
            <w:webHidden/>
          </w:rPr>
          <w:t>43</w:t>
        </w:r>
        <w:r>
          <w:rPr>
            <w:noProof/>
            <w:webHidden/>
          </w:rPr>
          <w:fldChar w:fldCharType="end"/>
        </w:r>
      </w:hyperlink>
    </w:p>
    <w:p w14:paraId="47FA10F6" w14:textId="0820458F" w:rsidR="00F62D64" w:rsidRDefault="00F62D64" w:rsidP="00F62D64">
      <w:pPr>
        <w:pStyle w:val="TOC6"/>
        <w:rPr>
          <w:rFonts w:asciiTheme="minorHAnsi" w:eastAsiaTheme="minorEastAsia" w:hAnsiTheme="minorHAnsi" w:cstheme="minorBidi"/>
          <w:b w:val="0"/>
          <w:caps w:val="0"/>
          <w:kern w:val="2"/>
          <w:sz w:val="24"/>
          <w:szCs w:val="24"/>
          <w:lang w:val="en-US" w:eastAsia="zh-CN"/>
          <w14:ligatures w14:val="standardContextual"/>
        </w:rPr>
      </w:pPr>
      <w:hyperlink w:anchor="_Toc240576905" w:history="1">
        <w:r w:rsidRPr="007A26DC">
          <w:rPr>
            <w:rStyle w:val="Hyperlink"/>
            <w:rFonts w:eastAsia="MS Mincho"/>
            <w:lang w:eastAsia="ja-JP"/>
          </w:rPr>
          <w:t>Appendix 1.</w:t>
        </w:r>
        <w:r>
          <w:rPr>
            <w:rFonts w:asciiTheme="minorHAnsi" w:eastAsiaTheme="minorEastAsia" w:hAnsiTheme="minorHAnsi" w:cstheme="minorBidi"/>
            <w:b w:val="0"/>
            <w:caps w:val="0"/>
            <w:kern w:val="2"/>
            <w:sz w:val="24"/>
            <w:szCs w:val="24"/>
            <w:lang w:val="en-US" w:eastAsia="zh-CN"/>
            <w14:ligatures w14:val="standardContextual"/>
          </w:rPr>
          <w:tab/>
        </w:r>
        <w:r w:rsidRPr="007A26DC">
          <w:rPr>
            <w:rStyle w:val="Hyperlink"/>
          </w:rPr>
          <w:t>Flowcharts illustrating the application of the methodological steps to scenarios A, B and C as described in section 5.2</w:t>
        </w:r>
        <w:r>
          <w:rPr>
            <w:webHidden/>
          </w:rPr>
          <w:tab/>
        </w:r>
        <w:r>
          <w:rPr>
            <w:rStyle w:val="Hyperlink"/>
          </w:rPr>
          <w:tab/>
        </w:r>
        <w:r>
          <w:rPr>
            <w:webHidden/>
          </w:rPr>
          <w:fldChar w:fldCharType="begin"/>
        </w:r>
        <w:r>
          <w:rPr>
            <w:webHidden/>
          </w:rPr>
          <w:instrText xml:space="preserve"> PAGEREF _Toc240576905 \h </w:instrText>
        </w:r>
        <w:r>
          <w:rPr>
            <w:webHidden/>
          </w:rPr>
        </w:r>
        <w:r>
          <w:rPr>
            <w:webHidden/>
          </w:rPr>
          <w:fldChar w:fldCharType="separate"/>
        </w:r>
        <w:r w:rsidR="003B0135">
          <w:rPr>
            <w:webHidden/>
          </w:rPr>
          <w:t>55</w:t>
        </w:r>
        <w:r>
          <w:rPr>
            <w:webHidden/>
          </w:rPr>
          <w:fldChar w:fldCharType="end"/>
        </w:r>
      </w:hyperlink>
    </w:p>
    <w:p w14:paraId="5F697CD4" w14:textId="354EC12D" w:rsidR="00F62D64" w:rsidRDefault="00F62D64" w:rsidP="00F62D64">
      <w:pPr>
        <w:pStyle w:val="TOC6"/>
        <w:rPr>
          <w:rFonts w:asciiTheme="minorHAnsi" w:eastAsiaTheme="minorEastAsia" w:hAnsiTheme="minorHAnsi" w:cstheme="minorBidi"/>
          <w:b w:val="0"/>
          <w:caps w:val="0"/>
          <w:kern w:val="2"/>
          <w:sz w:val="24"/>
          <w:szCs w:val="24"/>
          <w:lang w:val="en-US" w:eastAsia="zh-CN"/>
          <w14:ligatures w14:val="standardContextual"/>
        </w:rPr>
      </w:pPr>
      <w:hyperlink w:anchor="_Toc240576906" w:history="1">
        <w:r w:rsidRPr="007A26DC">
          <w:rPr>
            <w:rStyle w:val="Hyperlink"/>
          </w:rPr>
          <w:t>Appendix 2.</w:t>
        </w:r>
        <w:r>
          <w:rPr>
            <w:rFonts w:asciiTheme="minorHAnsi" w:eastAsiaTheme="minorEastAsia" w:hAnsiTheme="minorHAnsi" w:cstheme="minorBidi"/>
            <w:b w:val="0"/>
            <w:caps w:val="0"/>
            <w:kern w:val="2"/>
            <w:sz w:val="24"/>
            <w:szCs w:val="24"/>
            <w:lang w:val="en-US" w:eastAsia="zh-CN"/>
            <w14:ligatures w14:val="standardContextual"/>
          </w:rPr>
          <w:tab/>
        </w:r>
        <w:r w:rsidRPr="007A26DC">
          <w:rPr>
            <w:rStyle w:val="Hyperlink"/>
            <w:lang w:val="en-US"/>
          </w:rPr>
          <w:t>Values for the parameters F</w:t>
        </w:r>
        <w:r w:rsidRPr="007A26DC">
          <w:rPr>
            <w:rStyle w:val="Hyperlink"/>
            <w:vertAlign w:val="subscript"/>
            <w:lang w:val="en-US"/>
          </w:rPr>
          <w:t>OM,simple</w:t>
        </w:r>
        <w:r w:rsidRPr="007A26DC">
          <w:rPr>
            <w:rStyle w:val="Hyperlink"/>
            <w:lang w:val="en-US"/>
          </w:rPr>
          <w:t>, F</w:t>
        </w:r>
        <w:r w:rsidRPr="007A26DC">
          <w:rPr>
            <w:rStyle w:val="Hyperlink"/>
            <w:vertAlign w:val="subscript"/>
            <w:lang w:val="en-US"/>
          </w:rPr>
          <w:t>OM,avg</w:t>
        </w:r>
        <w:r w:rsidRPr="007A26DC">
          <w:rPr>
            <w:rStyle w:val="Hyperlink"/>
            <w:lang w:val="en-US"/>
          </w:rPr>
          <w:t xml:space="preserve"> and F</w:t>
        </w:r>
        <w:r w:rsidRPr="007A26DC">
          <w:rPr>
            <w:rStyle w:val="Hyperlink"/>
            <w:vertAlign w:val="subscript"/>
            <w:lang w:val="en-US"/>
          </w:rPr>
          <w:t>BM</w:t>
        </w:r>
        <w:r>
          <w:rPr>
            <w:webHidden/>
          </w:rPr>
          <w:tab/>
        </w:r>
        <w:r>
          <w:rPr>
            <w:rStyle w:val="Hyperlink"/>
            <w:vertAlign w:val="subscript"/>
            <w:lang w:val="en-US"/>
          </w:rPr>
          <w:tab/>
        </w:r>
        <w:r>
          <w:rPr>
            <w:webHidden/>
          </w:rPr>
          <w:fldChar w:fldCharType="begin"/>
        </w:r>
        <w:r>
          <w:rPr>
            <w:webHidden/>
          </w:rPr>
          <w:instrText xml:space="preserve"> PAGEREF _Toc240576906 \h </w:instrText>
        </w:r>
        <w:r>
          <w:rPr>
            <w:webHidden/>
          </w:rPr>
        </w:r>
        <w:r>
          <w:rPr>
            <w:webHidden/>
          </w:rPr>
          <w:fldChar w:fldCharType="separate"/>
        </w:r>
        <w:r w:rsidR="003B0135">
          <w:rPr>
            <w:webHidden/>
          </w:rPr>
          <w:t>58</w:t>
        </w:r>
        <w:r>
          <w:rPr>
            <w:webHidden/>
          </w:rPr>
          <w:fldChar w:fldCharType="end"/>
        </w:r>
      </w:hyperlink>
    </w:p>
    <w:p w14:paraId="7F8272C0" w14:textId="6CE6AFDF" w:rsidR="00C22A2E" w:rsidRDefault="00F62D64" w:rsidP="00AD597F">
      <w:r>
        <w:fldChar w:fldCharType="end"/>
      </w:r>
    </w:p>
    <w:p w14:paraId="3884A4F5" w14:textId="77777777" w:rsidR="002454C9" w:rsidRDefault="002454C9" w:rsidP="002454C9">
      <w:pPr>
        <w:sectPr w:rsidR="002454C9" w:rsidSect="00AC494B">
          <w:headerReference w:type="default" r:id="rId18"/>
          <w:footerReference w:type="default" r:id="rId19"/>
          <w:footnotePr>
            <w:numRestart w:val="eachSect"/>
          </w:footnotePr>
          <w:pgSz w:w="11907" w:h="16840" w:code="9"/>
          <w:pgMar w:top="2552" w:right="1134" w:bottom="1418" w:left="1418" w:header="851" w:footer="567" w:gutter="0"/>
          <w:cols w:space="720"/>
          <w:formProt w:val="0"/>
          <w:docGrid w:linePitch="299"/>
        </w:sectPr>
      </w:pPr>
    </w:p>
    <w:p w14:paraId="3F841889" w14:textId="77777777" w:rsidR="00F42D86" w:rsidRPr="00AD597F" w:rsidRDefault="00F42D86">
      <w:pPr>
        <w:pStyle w:val="SDMHead1"/>
      </w:pPr>
      <w:bookmarkStart w:id="8" w:name="_Toc346039895"/>
      <w:bookmarkStart w:id="9" w:name="_Toc352521225"/>
      <w:bookmarkStart w:id="10" w:name="_Toc353201615"/>
      <w:bookmarkStart w:id="11" w:name="_Toc354405680"/>
      <w:bookmarkStart w:id="12" w:name="_Toc354405694"/>
      <w:bookmarkStart w:id="13" w:name="_Toc354503025"/>
      <w:bookmarkStart w:id="14" w:name="_Toc202965392"/>
      <w:bookmarkStart w:id="15" w:name="_Toc212389894"/>
      <w:bookmarkStart w:id="16" w:name="_Toc215208588"/>
      <w:bookmarkStart w:id="17" w:name="_Toc215216107"/>
      <w:bookmarkStart w:id="18" w:name="_Toc215222843"/>
      <w:bookmarkStart w:id="19" w:name="_Toc215223031"/>
      <w:bookmarkStart w:id="20" w:name="_Toc215223253"/>
      <w:bookmarkStart w:id="21" w:name="_Toc215579089"/>
      <w:bookmarkStart w:id="22" w:name="_Toc215923314"/>
      <w:bookmarkStart w:id="23" w:name="_Toc216093010"/>
      <w:bookmarkStart w:id="24" w:name="_Toc216271739"/>
      <w:bookmarkStart w:id="25" w:name="_Toc216279356"/>
      <w:bookmarkStart w:id="26" w:name="_Toc216283394"/>
      <w:bookmarkStart w:id="27" w:name="_Toc216288012"/>
      <w:bookmarkStart w:id="28" w:name="_Toc219666119"/>
      <w:bookmarkStart w:id="29" w:name="_Toc220001380"/>
      <w:bookmarkStart w:id="30" w:name="_Toc221096403"/>
      <w:bookmarkStart w:id="31" w:name="_Toc221097955"/>
      <w:bookmarkStart w:id="32" w:name="_Toc221116251"/>
      <w:bookmarkStart w:id="33" w:name="_Toc221117267"/>
      <w:bookmarkStart w:id="34" w:name="_Toc222132105"/>
      <w:bookmarkStart w:id="35" w:name="_Toc222494906"/>
      <w:bookmarkStart w:id="36" w:name="_Toc222512422"/>
      <w:bookmarkStart w:id="37" w:name="_Toc222741742"/>
      <w:bookmarkStart w:id="38" w:name="_Toc234853823"/>
      <w:bookmarkStart w:id="39" w:name="_Toc235002261"/>
      <w:bookmarkStart w:id="40" w:name="_Toc235003420"/>
      <w:bookmarkStart w:id="41" w:name="_Toc236154217"/>
      <w:bookmarkStart w:id="42" w:name="_Toc236216594"/>
      <w:bookmarkStart w:id="43" w:name="_Toc240545082"/>
      <w:bookmarkStart w:id="44" w:name="_Toc240545298"/>
      <w:bookmarkStart w:id="45" w:name="_Toc240576880"/>
      <w:bookmarkStart w:id="46" w:name="_Toc346039904"/>
      <w:bookmarkStart w:id="47" w:name="_Toc352521234"/>
      <w:bookmarkStart w:id="48" w:name="_Toc353201624"/>
      <w:bookmarkStart w:id="49" w:name="_Toc354405689"/>
      <w:bookmarkStart w:id="50" w:name="_Toc354405703"/>
      <w:bookmarkStart w:id="51" w:name="_Toc354503034"/>
      <w:r w:rsidRPr="00AD597F">
        <w:t>Introduction</w:t>
      </w:r>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p>
    <w:p w14:paraId="49AE1A35" w14:textId="77777777" w:rsidR="00FB671C" w:rsidRPr="00AD597F" w:rsidRDefault="00FB671C">
      <w:pPr>
        <w:pStyle w:val="SDMHead2"/>
      </w:pPr>
      <w:bookmarkStart w:id="52" w:name="_Toc202965394"/>
      <w:bookmarkStart w:id="53" w:name="_Toc212389895"/>
      <w:bookmarkStart w:id="54" w:name="_Toc215208589"/>
      <w:bookmarkStart w:id="55" w:name="_Toc215216108"/>
      <w:bookmarkStart w:id="56" w:name="_Toc215222844"/>
      <w:bookmarkStart w:id="57" w:name="_Toc215223032"/>
      <w:bookmarkStart w:id="58" w:name="_Toc215223254"/>
      <w:bookmarkStart w:id="59" w:name="_Toc215574876"/>
      <w:bookmarkStart w:id="60" w:name="_Toc215579090"/>
      <w:bookmarkStart w:id="61" w:name="_Toc215923315"/>
      <w:bookmarkStart w:id="62" w:name="_Toc216093011"/>
      <w:bookmarkStart w:id="63" w:name="_Toc216271740"/>
      <w:bookmarkStart w:id="64" w:name="_Toc216279357"/>
      <w:bookmarkStart w:id="65" w:name="_Toc216283395"/>
      <w:bookmarkStart w:id="66" w:name="_Toc216288013"/>
      <w:bookmarkStart w:id="67" w:name="_Toc219666120"/>
      <w:bookmarkStart w:id="68" w:name="_Toc220001381"/>
      <w:bookmarkStart w:id="69" w:name="_Toc221096404"/>
      <w:bookmarkStart w:id="70" w:name="_Toc221097956"/>
      <w:bookmarkStart w:id="71" w:name="_Toc221116252"/>
      <w:bookmarkStart w:id="72" w:name="_Toc221117268"/>
      <w:bookmarkStart w:id="73" w:name="_Toc222132106"/>
      <w:bookmarkStart w:id="74" w:name="_Toc222494907"/>
      <w:bookmarkStart w:id="75" w:name="_Toc222512423"/>
      <w:bookmarkStart w:id="76" w:name="_Toc222741743"/>
      <w:bookmarkStart w:id="77" w:name="_Toc234853824"/>
      <w:bookmarkStart w:id="78" w:name="_Toc235002262"/>
      <w:bookmarkStart w:id="79" w:name="_Toc235003421"/>
      <w:bookmarkStart w:id="80" w:name="_Toc236154218"/>
      <w:bookmarkStart w:id="81" w:name="_Toc236216595"/>
      <w:bookmarkStart w:id="82" w:name="_Toc240545083"/>
      <w:bookmarkStart w:id="83" w:name="_Toc240545299"/>
      <w:bookmarkStart w:id="84" w:name="_Toc240576881"/>
      <w:r w:rsidRPr="00AD597F">
        <w:t>Scope</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p>
    <w:p w14:paraId="3730464F" w14:textId="3EDC833A" w:rsidR="00E60FC5" w:rsidRPr="00CA1B89" w:rsidRDefault="00D55A11" w:rsidP="00BF0D14">
      <w:pPr>
        <w:pStyle w:val="SDMPara"/>
      </w:pPr>
      <w:r w:rsidRPr="00CA1B89">
        <w:t>Th</w:t>
      </w:r>
      <w:r w:rsidR="000F3416" w:rsidRPr="00CA1B89">
        <w:t>is methodological tool</w:t>
      </w:r>
      <w:r w:rsidRPr="00CA1B89">
        <w:t xml:space="preserve"> provides options </w:t>
      </w:r>
      <w:r w:rsidR="000F3416" w:rsidRPr="00CA1B89">
        <w:t>for</w:t>
      </w:r>
      <w:r w:rsidRPr="00CA1B89">
        <w:t xml:space="preserve"> activity participants to estimate baseline, </w:t>
      </w:r>
      <w:r w:rsidR="0018228F" w:rsidRPr="00CA1B89">
        <w:t>activity</w:t>
      </w:r>
      <w:r w:rsidR="00F369CE" w:rsidRPr="00CA1B89">
        <w:t>,</w:t>
      </w:r>
      <w:r w:rsidR="00FF3AF4" w:rsidRPr="00CA1B89">
        <w:t xml:space="preserve"> </w:t>
      </w:r>
      <w:r w:rsidRPr="00CA1B89">
        <w:t>and leakage emissions associated with the generation and</w:t>
      </w:r>
      <w:r w:rsidR="00C273C1" w:rsidRPr="00CA1B89">
        <w:t>/or</w:t>
      </w:r>
      <w:r w:rsidRPr="00CA1B89">
        <w:t xml:space="preserve"> consumption of electricity</w:t>
      </w:r>
      <w:r w:rsidR="009B336B" w:rsidRPr="00CA1B89">
        <w:rPr>
          <w:rStyle w:val="FootnoteReference"/>
        </w:rPr>
        <w:footnoteReference w:id="2"/>
      </w:r>
      <w:r w:rsidR="098F2CE6" w:rsidRPr="00CA1B89">
        <w:t xml:space="preserve">, </w:t>
      </w:r>
      <w:r w:rsidR="598C8CA6" w:rsidRPr="00CA1B89">
        <w:t xml:space="preserve">which </w:t>
      </w:r>
      <w:r w:rsidR="444E135B" w:rsidRPr="00CA1B89">
        <w:t xml:space="preserve">are </w:t>
      </w:r>
      <w:r w:rsidR="598C8CA6" w:rsidRPr="00CA1B89">
        <w:t>refer</w:t>
      </w:r>
      <w:r w:rsidR="47319E75" w:rsidRPr="00CA1B89">
        <w:t>r</w:t>
      </w:r>
      <w:r w:rsidR="598C8CA6" w:rsidRPr="00CA1B89">
        <w:t>ed to as emission</w:t>
      </w:r>
      <w:r w:rsidR="7F5955E3" w:rsidRPr="00CA1B89">
        <w:t>s</w:t>
      </w:r>
      <w:r w:rsidR="598C8CA6" w:rsidRPr="00CA1B89">
        <w:t xml:space="preserve"> from </w:t>
      </w:r>
      <w:r w:rsidR="743E5543" w:rsidRPr="00CA1B89">
        <w:t xml:space="preserve">electricity </w:t>
      </w:r>
      <w:r w:rsidR="598C8CA6" w:rsidRPr="00CA1B89">
        <w:t>generation and</w:t>
      </w:r>
      <w:r w:rsidR="6E29320E" w:rsidRPr="00CA1B89">
        <w:t>/or</w:t>
      </w:r>
      <w:r w:rsidR="598C8CA6" w:rsidRPr="00CA1B89">
        <w:t xml:space="preserve"> consumption throughout the tool</w:t>
      </w:r>
      <w:r w:rsidR="1E2631DA" w:rsidRPr="00CA1B89">
        <w:t>,</w:t>
      </w:r>
      <w:r w:rsidRPr="00CA1B89">
        <w:t xml:space="preserve"> under a proposed Article 6.4</w:t>
      </w:r>
      <w:r w:rsidR="00F62D64" w:rsidRPr="00CA1B89">
        <w:t xml:space="preserve"> </w:t>
      </w:r>
      <w:r w:rsidR="0096095D" w:rsidRPr="00CA1B89">
        <w:t>project or</w:t>
      </w:r>
      <w:r w:rsidR="00672F57" w:rsidRPr="00CA1B89">
        <w:t xml:space="preserve"> component project (</w:t>
      </w:r>
      <w:r w:rsidR="0096095D" w:rsidRPr="00CA1B89">
        <w:t>CP</w:t>
      </w:r>
      <w:r w:rsidR="00672F57" w:rsidRPr="00CA1B89">
        <w:t>)</w:t>
      </w:r>
      <w:r w:rsidRPr="00CA1B89">
        <w:t>. These options aim to provide flexibility to activity participants, while ensuring that the estimation of emission reductions is conservative.</w:t>
      </w:r>
      <w:r w:rsidR="00501BB6" w:rsidRPr="00CA1B89">
        <w:t xml:space="preserve"> </w:t>
      </w:r>
      <w:r w:rsidRPr="00CA1B89">
        <w:t xml:space="preserve">Some options rely on conservative default </w:t>
      </w:r>
      <w:r w:rsidR="00501BB6" w:rsidRPr="00CA1B89">
        <w:t>factors</w:t>
      </w:r>
      <w:r w:rsidRPr="00CA1B89">
        <w:t xml:space="preserve"> or conservative simplifications, whereas other options require </w:t>
      </w:r>
      <w:r w:rsidR="00830623" w:rsidRPr="00CA1B89">
        <w:t xml:space="preserve">more </w:t>
      </w:r>
      <w:r w:rsidRPr="00CA1B89">
        <w:t>data to produce estimates.</w:t>
      </w:r>
    </w:p>
    <w:p w14:paraId="5206237C" w14:textId="40D4D244" w:rsidR="003B7FB5" w:rsidRPr="00CA1B89" w:rsidRDefault="003B7FB5" w:rsidP="00BF0D14">
      <w:pPr>
        <w:pStyle w:val="SDMPara"/>
      </w:pPr>
      <w:r w:rsidRPr="00CA1B89">
        <w:t xml:space="preserve">This </w:t>
      </w:r>
      <w:r w:rsidR="00EE164E" w:rsidRPr="00CA1B89">
        <w:t xml:space="preserve">methodological </w:t>
      </w:r>
      <w:r w:rsidRPr="00CA1B89">
        <w:t xml:space="preserve">tool </w:t>
      </w:r>
      <w:r w:rsidR="00041F8B" w:rsidRPr="00CA1B89">
        <w:t xml:space="preserve">establishes </w:t>
      </w:r>
      <w:r w:rsidR="00F12379" w:rsidRPr="00CA1B89">
        <w:t>requirements</w:t>
      </w:r>
      <w:r w:rsidR="00041F8B" w:rsidRPr="00CA1B89">
        <w:t xml:space="preserve"> </w:t>
      </w:r>
      <w:r w:rsidRPr="00CA1B89">
        <w:t>to determine the parameters</w:t>
      </w:r>
      <w:r w:rsidR="005C579A" w:rsidRPr="00CA1B89">
        <w:t xml:space="preserve"> provided</w:t>
      </w:r>
      <w:r w:rsidR="00DE4635" w:rsidRPr="00CA1B89">
        <w:t xml:space="preserve"> in</w:t>
      </w:r>
      <w:r w:rsidR="005C579A" w:rsidRPr="00CA1B89">
        <w:t xml:space="preserve"> </w:t>
      </w:r>
      <w:r w:rsidR="004B04CD" w:rsidRPr="00CA1B89">
        <w:t>t</w:t>
      </w:r>
      <w:r w:rsidR="003A19E6" w:rsidRPr="00CA1B89">
        <w:t>able</w:t>
      </w:r>
      <w:r w:rsidR="00877272" w:rsidRPr="00CA1B89">
        <w:t> </w:t>
      </w:r>
      <w:r w:rsidR="003A19E6" w:rsidRPr="00CA1B89">
        <w:t>1</w:t>
      </w:r>
      <w:r w:rsidR="005C579A" w:rsidRPr="00CA1B89">
        <w:t xml:space="preserve">. The tool includes </w:t>
      </w:r>
      <w:r w:rsidR="00AF26D5" w:rsidRPr="00CA1B89">
        <w:t xml:space="preserve">approaches </w:t>
      </w:r>
      <w:r w:rsidR="005C579A" w:rsidRPr="00CA1B89">
        <w:t>to determine</w:t>
      </w:r>
      <w:r w:rsidR="00AF26D5" w:rsidRPr="00CA1B89">
        <w:t>,</w:t>
      </w:r>
      <w:r w:rsidR="005C579A" w:rsidRPr="00CA1B89">
        <w:t xml:space="preserve"> </w:t>
      </w:r>
      <w:r w:rsidR="0089397B" w:rsidRPr="00CA1B89">
        <w:t xml:space="preserve">for </w:t>
      </w:r>
      <w:r w:rsidR="005C579A" w:rsidRPr="00CA1B89">
        <w:t>each parameter</w:t>
      </w:r>
      <w:r w:rsidR="00AF26D5" w:rsidRPr="00CA1B89">
        <w:t>,</w:t>
      </w:r>
      <w:r w:rsidR="005C579A" w:rsidRPr="00CA1B89">
        <w:t xml:space="preserve"> the mean value</w:t>
      </w:r>
      <w:r w:rsidR="0089397B" w:rsidRPr="00CA1B89">
        <w:t xml:space="preserve"> (noting that the mean value includes some degree of conservativeness due to the use of </w:t>
      </w:r>
      <w:r w:rsidR="00736804" w:rsidRPr="00CA1B89">
        <w:t>conservative default values or conservative assumptions)</w:t>
      </w:r>
      <w:r w:rsidR="0071038C" w:rsidRPr="00CA1B89">
        <w:t>,</w:t>
      </w:r>
      <w:r w:rsidR="00736804" w:rsidRPr="00CA1B89">
        <w:t xml:space="preserve"> </w:t>
      </w:r>
      <w:r w:rsidR="0071038C" w:rsidRPr="00CA1B89">
        <w:t xml:space="preserve">as well as </w:t>
      </w:r>
      <w:r w:rsidR="00736804" w:rsidRPr="00CA1B89">
        <w:t xml:space="preserve">the </w:t>
      </w:r>
      <w:r w:rsidR="00840649" w:rsidRPr="00CA1B89">
        <w:t>upper and the lower</w:t>
      </w:r>
      <w:r w:rsidR="00736804" w:rsidRPr="00CA1B89">
        <w:t xml:space="preserve"> </w:t>
      </w:r>
      <w:r w:rsidR="005D13E4" w:rsidRPr="00CA1B89">
        <w:t>bound</w:t>
      </w:r>
      <w:r w:rsidR="0071038C" w:rsidRPr="00CA1B89">
        <w:t>s</w:t>
      </w:r>
      <w:r w:rsidR="005D13E4" w:rsidRPr="00CA1B89">
        <w:t xml:space="preserve"> </w:t>
      </w:r>
      <w:r w:rsidR="00840649" w:rsidRPr="00CA1B89">
        <w:t xml:space="preserve">of </w:t>
      </w:r>
      <w:r w:rsidR="00736804" w:rsidRPr="00CA1B89">
        <w:t xml:space="preserve">uncertainty </w:t>
      </w:r>
      <w:r w:rsidR="005D13E4" w:rsidRPr="00CA1B89">
        <w:t>for the value at 95</w:t>
      </w:r>
      <w:r w:rsidR="0071038C" w:rsidRPr="00CA1B89">
        <w:t xml:space="preserve"> per cent </w:t>
      </w:r>
      <w:r w:rsidR="005D13E4" w:rsidRPr="00CA1B89">
        <w:t>confidence level.</w:t>
      </w:r>
    </w:p>
    <w:p w14:paraId="508C1D45" w14:textId="5FF64C6C" w:rsidR="003B7FB5" w:rsidRPr="00CA1B89" w:rsidRDefault="0041141E" w:rsidP="005A04B7">
      <w:pPr>
        <w:pStyle w:val="Caption"/>
        <w:jc w:val="left"/>
      </w:pPr>
      <w:bookmarkStart w:id="85" w:name="_Ref220950163"/>
      <w:bookmarkStart w:id="86" w:name="_Ref216176008"/>
      <w:r w:rsidRPr="00CA1B89">
        <w:t>Table</w:t>
      </w:r>
      <w:r w:rsidR="005A04B7" w:rsidRPr="00CA1B89">
        <w:t> </w:t>
      </w:r>
      <w:r w:rsidRPr="00CA1B89">
        <w:fldChar w:fldCharType="begin"/>
      </w:r>
      <w:r w:rsidRPr="00CA1B89">
        <w:instrText>SEQ Table \r1</w:instrText>
      </w:r>
      <w:r w:rsidRPr="00CA1B89">
        <w:fldChar w:fldCharType="separate"/>
      </w:r>
      <w:r w:rsidR="003B0135" w:rsidRPr="00CA1B89">
        <w:rPr>
          <w:noProof/>
        </w:rPr>
        <w:t>1</w:t>
      </w:r>
      <w:r w:rsidRPr="00CA1B89">
        <w:fldChar w:fldCharType="end"/>
      </w:r>
      <w:bookmarkEnd w:id="85"/>
      <w:r w:rsidR="00C17DD8" w:rsidRPr="00CA1B89">
        <w:t>.</w:t>
      </w:r>
      <w:r w:rsidR="00C17DD8" w:rsidRPr="00CA1B89">
        <w:tab/>
        <w:t>Parameters determined</w:t>
      </w:r>
      <w:bookmarkEnd w:id="86"/>
    </w:p>
    <w:tbl>
      <w:tblPr>
        <w:tblStyle w:val="SDMTable"/>
        <w:tblW w:w="8618" w:type="dxa"/>
        <w:tblLayout w:type="fixed"/>
        <w:tblLook w:val="04A0" w:firstRow="1" w:lastRow="0" w:firstColumn="1" w:lastColumn="0" w:noHBand="0" w:noVBand="1"/>
      </w:tblPr>
      <w:tblGrid>
        <w:gridCol w:w="1350"/>
        <w:gridCol w:w="1619"/>
        <w:gridCol w:w="5649"/>
      </w:tblGrid>
      <w:tr w:rsidR="003B7FB5" w:rsidRPr="00CA1B89" w14:paraId="419CD296" w14:textId="77777777" w:rsidTr="00AA14A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6" w:type="dxa"/>
          </w:tcPr>
          <w:p w14:paraId="2A4BB603" w14:textId="77777777" w:rsidR="003B7FB5" w:rsidRPr="00CA1B89" w:rsidRDefault="003B7FB5" w:rsidP="00743A0D">
            <w:pPr>
              <w:pStyle w:val="SDMTableBoxParaNotNumbered"/>
              <w:rPr>
                <w:rFonts w:cs="Arial"/>
              </w:rPr>
            </w:pPr>
            <w:r w:rsidRPr="00CA1B89">
              <w:rPr>
                <w:rFonts w:cs="Arial"/>
              </w:rPr>
              <w:t>Parameter</w:t>
            </w:r>
          </w:p>
        </w:tc>
        <w:tc>
          <w:tcPr>
            <w:tcW w:w="1602" w:type="dxa"/>
          </w:tcPr>
          <w:p w14:paraId="359251AE" w14:textId="5E766758" w:rsidR="003B7FB5" w:rsidRPr="00CA1B89" w:rsidRDefault="003B7FB5" w:rsidP="00743A0D">
            <w:pPr>
              <w:pStyle w:val="SDMTableBoxParaNotNumbered"/>
              <w:cnfStyle w:val="100000000000" w:firstRow="1" w:lastRow="0" w:firstColumn="0" w:lastColumn="0" w:oddVBand="0" w:evenVBand="0" w:oddHBand="0" w:evenHBand="0" w:firstRowFirstColumn="0" w:firstRowLastColumn="0" w:lastRowFirstColumn="0" w:lastRowLastColumn="0"/>
              <w:rPr>
                <w:rFonts w:cs="Arial"/>
              </w:rPr>
            </w:pPr>
            <w:r w:rsidRPr="00CA1B89">
              <w:rPr>
                <w:rFonts w:cs="Arial"/>
              </w:rPr>
              <w:t>SI Unit</w:t>
            </w:r>
          </w:p>
        </w:tc>
        <w:tc>
          <w:tcPr>
            <w:tcW w:w="5591" w:type="dxa"/>
          </w:tcPr>
          <w:p w14:paraId="495449B7" w14:textId="77777777" w:rsidR="003B7FB5" w:rsidRPr="00CA1B89" w:rsidRDefault="003B7FB5" w:rsidP="00743A0D">
            <w:pPr>
              <w:pStyle w:val="SDMTableBoxParaNotNumbered"/>
              <w:cnfStyle w:val="100000000000" w:firstRow="1" w:lastRow="0" w:firstColumn="0" w:lastColumn="0" w:oddVBand="0" w:evenVBand="0" w:oddHBand="0" w:evenHBand="0" w:firstRowFirstColumn="0" w:firstRowLastColumn="0" w:lastRowFirstColumn="0" w:lastRowLastColumn="0"/>
              <w:rPr>
                <w:rFonts w:cs="Arial"/>
              </w:rPr>
            </w:pPr>
            <w:r w:rsidRPr="00CA1B89">
              <w:rPr>
                <w:rFonts w:cs="Arial"/>
              </w:rPr>
              <w:t>Description</w:t>
            </w:r>
          </w:p>
        </w:tc>
      </w:tr>
      <w:tr w:rsidR="003B7FB5" w:rsidRPr="00CA1B89" w14:paraId="0D55E570" w14:textId="77777777" w:rsidTr="00AA14AB">
        <w:tc>
          <w:tcPr>
            <w:cnfStyle w:val="001000000000" w:firstRow="0" w:lastRow="0" w:firstColumn="1" w:lastColumn="0" w:oddVBand="0" w:evenVBand="0" w:oddHBand="0" w:evenHBand="0" w:firstRowFirstColumn="0" w:firstRowLastColumn="0" w:lastRowFirstColumn="0" w:lastRowLastColumn="0"/>
            <w:tcW w:w="1336" w:type="dxa"/>
          </w:tcPr>
          <w:p w14:paraId="3847ADEB" w14:textId="7D447374" w:rsidR="003B7FB5" w:rsidRPr="00CA1B89" w:rsidRDefault="003F6646" w:rsidP="00743A0D">
            <w:pPr>
              <w:pStyle w:val="SDMTableBoxParaNotNumbered"/>
              <w:rPr>
                <w:rFonts w:cs="Arial"/>
                <w:b w:val="0"/>
              </w:rPr>
            </w:pPr>
            <m:oMathPara>
              <m:oMathParaPr>
                <m:jc m:val="left"/>
              </m:oMathParaPr>
              <m:oMath>
                <m:sSub>
                  <m:sSubPr>
                    <m:ctrlPr>
                      <w:rPr>
                        <w:rFonts w:ascii="Cambria Math" w:hAnsi="Cambria Math" w:cs="Arial"/>
                        <w:b w:val="0"/>
                        <w:bCs/>
                        <w:i/>
                        <w:iCs/>
                      </w:rPr>
                    </m:ctrlPr>
                  </m:sSubPr>
                  <m:e>
                    <m:r>
                      <m:rPr>
                        <m:sty m:val="bi"/>
                      </m:rPr>
                      <w:rPr>
                        <w:rFonts w:ascii="Cambria Math" w:hAnsi="Cambria Math" w:cs="Arial"/>
                      </w:rPr>
                      <m:t>BE</m:t>
                    </m:r>
                  </m:e>
                  <m:sub>
                    <m:r>
                      <m:rPr>
                        <m:sty m:val="bi"/>
                      </m:rPr>
                      <w:rPr>
                        <w:rFonts w:ascii="Cambria Math" w:hAnsi="Cambria Math" w:cs="Arial"/>
                      </w:rPr>
                      <m:t>EG,y</m:t>
                    </m:r>
                  </m:sub>
                </m:sSub>
              </m:oMath>
            </m:oMathPara>
          </w:p>
        </w:tc>
        <w:tc>
          <w:tcPr>
            <w:tcW w:w="1602" w:type="dxa"/>
          </w:tcPr>
          <w:p w14:paraId="30E7D9A7" w14:textId="10DF3539" w:rsidR="003B7FB5" w:rsidRPr="00CA1B89" w:rsidRDefault="003B7FB5" w:rsidP="00743A0D">
            <w:pPr>
              <w:pStyle w:val="SDMTableBoxParaNotNumbered"/>
              <w:cnfStyle w:val="000000000000" w:firstRow="0" w:lastRow="0" w:firstColumn="0" w:lastColumn="0" w:oddVBand="0" w:evenVBand="0" w:oddHBand="0" w:evenHBand="0" w:firstRowFirstColumn="0" w:firstRowLastColumn="0" w:lastRowFirstColumn="0" w:lastRowLastColumn="0"/>
              <w:rPr>
                <w:rFonts w:cs="Arial"/>
              </w:rPr>
            </w:pPr>
            <w:r w:rsidRPr="00CA1B89">
              <w:rPr>
                <w:rFonts w:cs="Arial"/>
              </w:rPr>
              <w:t>t</w:t>
            </w:r>
            <w:r w:rsidR="00F21F0C" w:rsidRPr="00CA1B89">
              <w:rPr>
                <w:rFonts w:cs="Arial"/>
              </w:rPr>
              <w:t> </w:t>
            </w:r>
            <w:r w:rsidRPr="00CA1B89">
              <w:rPr>
                <w:rFonts w:cs="Arial"/>
              </w:rPr>
              <w:t>CO</w:t>
            </w:r>
            <w:r w:rsidRPr="00CA1B89">
              <w:rPr>
                <w:rFonts w:cs="Arial"/>
                <w:vertAlign w:val="subscript"/>
              </w:rPr>
              <w:t>2</w:t>
            </w:r>
          </w:p>
        </w:tc>
        <w:tc>
          <w:tcPr>
            <w:tcW w:w="5591" w:type="dxa"/>
          </w:tcPr>
          <w:p w14:paraId="4995A7DF" w14:textId="77777777" w:rsidR="003B7FB5" w:rsidRPr="00CA1B89" w:rsidRDefault="003B7FB5" w:rsidP="00743A0D">
            <w:pPr>
              <w:pStyle w:val="SDMTableBoxParaNotNumbered"/>
              <w:cnfStyle w:val="000000000000" w:firstRow="0" w:lastRow="0" w:firstColumn="0" w:lastColumn="0" w:oddVBand="0" w:evenVBand="0" w:oddHBand="0" w:evenHBand="0" w:firstRowFirstColumn="0" w:firstRowLastColumn="0" w:lastRowFirstColumn="0" w:lastRowLastColumn="0"/>
              <w:rPr>
                <w:rFonts w:cs="Arial"/>
              </w:rPr>
            </w:pPr>
            <w:r w:rsidRPr="00CA1B89">
              <w:rPr>
                <w:rFonts w:cs="Arial"/>
              </w:rPr>
              <w:t>Baseline</w:t>
            </w:r>
            <w:r w:rsidR="0018036E" w:rsidRPr="00CA1B89">
              <w:rPr>
                <w:rFonts w:cs="Arial"/>
              </w:rPr>
              <w:t xml:space="preserve"> emissions</w:t>
            </w:r>
            <w:r w:rsidR="00D42CC5" w:rsidRPr="00CA1B89">
              <w:rPr>
                <w:rFonts w:cs="Arial"/>
              </w:rPr>
              <w:t xml:space="preserve"> from electricity generat</w:t>
            </w:r>
            <w:r w:rsidR="00460E5A" w:rsidRPr="00CA1B89">
              <w:rPr>
                <w:rFonts w:cs="Arial"/>
              </w:rPr>
              <w:t xml:space="preserve">ion </w:t>
            </w:r>
            <w:r w:rsidR="00D42CC5" w:rsidRPr="00CA1B89">
              <w:rPr>
                <w:rFonts w:cs="Arial"/>
              </w:rPr>
              <w:t>in year</w:t>
            </w:r>
            <w:r w:rsidR="00B441E3" w:rsidRPr="00CA1B89">
              <w:rPr>
                <w:rFonts w:cs="Arial"/>
              </w:rPr>
              <w:t> </w:t>
            </w:r>
            <w:r w:rsidR="00D42CC5" w:rsidRPr="00CA1B89">
              <w:rPr>
                <w:rFonts w:cs="Arial"/>
                <w:i/>
              </w:rPr>
              <w:t>y</w:t>
            </w:r>
          </w:p>
        </w:tc>
      </w:tr>
      <w:tr w:rsidR="00EB26EA" w:rsidRPr="00CA1B89" w14:paraId="55E8E562" w14:textId="77777777" w:rsidTr="00AA14AB">
        <w:tc>
          <w:tcPr>
            <w:cnfStyle w:val="001000000000" w:firstRow="0" w:lastRow="0" w:firstColumn="1" w:lastColumn="0" w:oddVBand="0" w:evenVBand="0" w:oddHBand="0" w:evenHBand="0" w:firstRowFirstColumn="0" w:firstRowLastColumn="0" w:lastRowFirstColumn="0" w:lastRowLastColumn="0"/>
            <w:tcW w:w="1336" w:type="dxa"/>
          </w:tcPr>
          <w:p w14:paraId="334FC1D8" w14:textId="00BF979A" w:rsidR="00EB26EA" w:rsidRPr="00CA1B89" w:rsidRDefault="003F6646" w:rsidP="00743A0D">
            <w:pPr>
              <w:pStyle w:val="SDMTableBoxParaNotNumbered"/>
              <w:rPr>
                <w:rFonts w:cs="Arial"/>
                <w:b w:val="0"/>
              </w:rPr>
            </w:pPr>
            <m:oMathPara>
              <m:oMathParaPr>
                <m:jc m:val="left"/>
              </m:oMathParaPr>
              <m:oMath>
                <m:sSub>
                  <m:sSubPr>
                    <m:ctrlPr>
                      <w:rPr>
                        <w:rFonts w:ascii="Cambria Math" w:hAnsi="Cambria Math" w:cs="Arial"/>
                        <w:b w:val="0"/>
                        <w:bCs/>
                        <w:i/>
                        <w:iCs/>
                      </w:rPr>
                    </m:ctrlPr>
                  </m:sSubPr>
                  <m:e>
                    <m:r>
                      <m:rPr>
                        <m:sty m:val="bi"/>
                      </m:rPr>
                      <w:rPr>
                        <w:rFonts w:ascii="Cambria Math" w:hAnsi="Cambria Math" w:cs="Arial"/>
                      </w:rPr>
                      <m:t>BE</m:t>
                    </m:r>
                  </m:e>
                  <m:sub>
                    <m:r>
                      <m:rPr>
                        <m:sty m:val="bi"/>
                      </m:rPr>
                      <w:rPr>
                        <w:rFonts w:ascii="Cambria Math" w:hAnsi="Cambria Math" w:cs="Arial"/>
                      </w:rPr>
                      <m:t>EC,y</m:t>
                    </m:r>
                  </m:sub>
                </m:sSub>
              </m:oMath>
            </m:oMathPara>
          </w:p>
        </w:tc>
        <w:tc>
          <w:tcPr>
            <w:tcW w:w="1602" w:type="dxa"/>
          </w:tcPr>
          <w:p w14:paraId="15CC523D" w14:textId="344FB548" w:rsidR="00EB26EA" w:rsidRPr="00CA1B89" w:rsidRDefault="004B7C3A" w:rsidP="00743A0D">
            <w:pPr>
              <w:pStyle w:val="SDMTableBoxParaNotNumbered"/>
              <w:cnfStyle w:val="000000000000" w:firstRow="0" w:lastRow="0" w:firstColumn="0" w:lastColumn="0" w:oddVBand="0" w:evenVBand="0" w:oddHBand="0" w:evenHBand="0" w:firstRowFirstColumn="0" w:firstRowLastColumn="0" w:lastRowFirstColumn="0" w:lastRowLastColumn="0"/>
              <w:rPr>
                <w:rFonts w:cs="Arial"/>
              </w:rPr>
            </w:pPr>
            <w:r w:rsidRPr="00CA1B89">
              <w:rPr>
                <w:rFonts w:cs="Arial"/>
              </w:rPr>
              <w:t>t</w:t>
            </w:r>
            <w:r w:rsidR="00F21F0C" w:rsidRPr="00CA1B89">
              <w:rPr>
                <w:rFonts w:cs="Arial"/>
              </w:rPr>
              <w:t> </w:t>
            </w:r>
            <w:r w:rsidRPr="00CA1B89">
              <w:rPr>
                <w:rFonts w:cs="Arial"/>
              </w:rPr>
              <w:t>CO</w:t>
            </w:r>
            <w:r w:rsidRPr="00CA1B89">
              <w:rPr>
                <w:rFonts w:cs="Arial"/>
                <w:vertAlign w:val="subscript"/>
              </w:rPr>
              <w:t>2</w:t>
            </w:r>
          </w:p>
        </w:tc>
        <w:tc>
          <w:tcPr>
            <w:tcW w:w="5591" w:type="dxa"/>
          </w:tcPr>
          <w:p w14:paraId="5A7BAEAC" w14:textId="77777777" w:rsidR="00EB26EA" w:rsidRPr="00CA1B89" w:rsidRDefault="00EB26EA" w:rsidP="00743A0D">
            <w:pPr>
              <w:pStyle w:val="SDMTableBoxParaNotNumbered"/>
              <w:cnfStyle w:val="000000000000" w:firstRow="0" w:lastRow="0" w:firstColumn="0" w:lastColumn="0" w:oddVBand="0" w:evenVBand="0" w:oddHBand="0" w:evenHBand="0" w:firstRowFirstColumn="0" w:firstRowLastColumn="0" w:lastRowFirstColumn="0" w:lastRowLastColumn="0"/>
              <w:rPr>
                <w:rFonts w:cs="Arial"/>
              </w:rPr>
            </w:pPr>
            <w:r w:rsidRPr="00CA1B89">
              <w:rPr>
                <w:rFonts w:cs="Arial"/>
              </w:rPr>
              <w:t>Baseline emissions from electricity consum</w:t>
            </w:r>
            <w:r w:rsidR="00460E5A" w:rsidRPr="00CA1B89">
              <w:rPr>
                <w:rFonts w:cs="Arial"/>
              </w:rPr>
              <w:t xml:space="preserve">ption </w:t>
            </w:r>
            <w:r w:rsidRPr="00CA1B89">
              <w:rPr>
                <w:rFonts w:cs="Arial"/>
              </w:rPr>
              <w:t>in year</w:t>
            </w:r>
            <w:r w:rsidR="00B441E3" w:rsidRPr="00CA1B89">
              <w:rPr>
                <w:rFonts w:cs="Arial"/>
              </w:rPr>
              <w:t> </w:t>
            </w:r>
            <w:r w:rsidRPr="00CA1B89">
              <w:rPr>
                <w:rFonts w:cs="Arial"/>
                <w:i/>
              </w:rPr>
              <w:t>y</w:t>
            </w:r>
          </w:p>
        </w:tc>
      </w:tr>
      <w:tr w:rsidR="00EB26EA" w:rsidRPr="00CA1B89" w14:paraId="61CFC6A0" w14:textId="77777777" w:rsidTr="00AA14AB">
        <w:tc>
          <w:tcPr>
            <w:cnfStyle w:val="001000000000" w:firstRow="0" w:lastRow="0" w:firstColumn="1" w:lastColumn="0" w:oddVBand="0" w:evenVBand="0" w:oddHBand="0" w:evenHBand="0" w:firstRowFirstColumn="0" w:firstRowLastColumn="0" w:lastRowFirstColumn="0" w:lastRowLastColumn="0"/>
            <w:tcW w:w="1336" w:type="dxa"/>
          </w:tcPr>
          <w:p w14:paraId="62B4C5D4" w14:textId="3DAF1C04" w:rsidR="00EB26EA" w:rsidRPr="00CA1B89" w:rsidRDefault="003F6646" w:rsidP="00B0589F">
            <w:pPr>
              <w:pStyle w:val="SDMTableBoxParaNotNumbered"/>
              <w:rPr>
                <w:rFonts w:cs="Arial"/>
                <w:b w:val="0"/>
                <w:i/>
              </w:rPr>
            </w:pPr>
            <m:oMathPara>
              <m:oMathParaPr>
                <m:jc m:val="left"/>
              </m:oMathParaPr>
              <m:oMath>
                <m:sSub>
                  <m:sSubPr>
                    <m:ctrlPr>
                      <w:rPr>
                        <w:rFonts w:ascii="Cambria Math" w:hAnsi="Cambria Math" w:cs="Arial"/>
                        <w:b w:val="0"/>
                        <w:bCs/>
                        <w:i/>
                        <w:iCs/>
                      </w:rPr>
                    </m:ctrlPr>
                  </m:sSubPr>
                  <m:e>
                    <m:r>
                      <m:rPr>
                        <m:sty m:val="bi"/>
                      </m:rPr>
                      <w:rPr>
                        <w:rFonts w:ascii="Cambria Math" w:hAnsi="Cambria Math" w:cs="Arial"/>
                      </w:rPr>
                      <m:t>AE</m:t>
                    </m:r>
                  </m:e>
                  <m:sub>
                    <m:r>
                      <m:rPr>
                        <m:sty m:val="bi"/>
                      </m:rPr>
                      <w:rPr>
                        <w:rFonts w:ascii="Cambria Math" w:hAnsi="Cambria Math" w:cs="Arial"/>
                      </w:rPr>
                      <m:t>EG,y</m:t>
                    </m:r>
                  </m:sub>
                </m:sSub>
              </m:oMath>
            </m:oMathPara>
          </w:p>
        </w:tc>
        <w:tc>
          <w:tcPr>
            <w:tcW w:w="1602" w:type="dxa"/>
          </w:tcPr>
          <w:p w14:paraId="4C163F11" w14:textId="3C994744" w:rsidR="00EB26EA" w:rsidRPr="00CA1B89" w:rsidRDefault="004B7C3A" w:rsidP="00743A0D">
            <w:pPr>
              <w:pStyle w:val="SDMTableBoxParaNotNumbered"/>
              <w:cnfStyle w:val="000000000000" w:firstRow="0" w:lastRow="0" w:firstColumn="0" w:lastColumn="0" w:oddVBand="0" w:evenVBand="0" w:oddHBand="0" w:evenHBand="0" w:firstRowFirstColumn="0" w:firstRowLastColumn="0" w:lastRowFirstColumn="0" w:lastRowLastColumn="0"/>
              <w:rPr>
                <w:rFonts w:cs="Arial"/>
              </w:rPr>
            </w:pPr>
            <w:r w:rsidRPr="00CA1B89">
              <w:rPr>
                <w:rFonts w:cs="Arial"/>
              </w:rPr>
              <w:t>t</w:t>
            </w:r>
            <w:r w:rsidR="00F21F0C" w:rsidRPr="00CA1B89">
              <w:rPr>
                <w:rFonts w:cs="Arial"/>
              </w:rPr>
              <w:t> </w:t>
            </w:r>
            <w:r w:rsidRPr="00CA1B89">
              <w:rPr>
                <w:rFonts w:cs="Arial"/>
              </w:rPr>
              <w:t>CO</w:t>
            </w:r>
            <w:r w:rsidRPr="00CA1B89">
              <w:rPr>
                <w:rFonts w:cs="Arial"/>
                <w:vertAlign w:val="subscript"/>
              </w:rPr>
              <w:t>2</w:t>
            </w:r>
          </w:p>
        </w:tc>
        <w:tc>
          <w:tcPr>
            <w:tcW w:w="5591" w:type="dxa"/>
          </w:tcPr>
          <w:p w14:paraId="0C7E3BFB" w14:textId="2CA32489" w:rsidR="00EB26EA" w:rsidRPr="00CA1B89" w:rsidRDefault="004D60AF" w:rsidP="00A00D1A">
            <w:pPr>
              <w:pStyle w:val="SDMTableBoxParaNotNumbered"/>
              <w:cnfStyle w:val="000000000000" w:firstRow="0" w:lastRow="0" w:firstColumn="0" w:lastColumn="0" w:oddVBand="0" w:evenVBand="0" w:oddHBand="0" w:evenHBand="0" w:firstRowFirstColumn="0" w:firstRowLastColumn="0" w:lastRowFirstColumn="0" w:lastRowLastColumn="0"/>
              <w:rPr>
                <w:rFonts w:cs="Arial"/>
              </w:rPr>
            </w:pPr>
            <w:r w:rsidRPr="00CA1B89">
              <w:rPr>
                <w:rFonts w:cs="Arial"/>
              </w:rPr>
              <w:t xml:space="preserve">Activity </w:t>
            </w:r>
            <w:r w:rsidR="00EB26EA" w:rsidRPr="00CA1B89">
              <w:rPr>
                <w:rFonts w:cs="Arial"/>
              </w:rPr>
              <w:t>emissions from electricity generat</w:t>
            </w:r>
            <w:r w:rsidR="00EF1FE8" w:rsidRPr="00CA1B89">
              <w:rPr>
                <w:rFonts w:cs="Arial"/>
              </w:rPr>
              <w:t xml:space="preserve">ion </w:t>
            </w:r>
            <w:r w:rsidR="00EB26EA" w:rsidRPr="00CA1B89">
              <w:rPr>
                <w:rFonts w:cs="Arial"/>
              </w:rPr>
              <w:t>in year</w:t>
            </w:r>
            <w:r w:rsidR="00B441E3" w:rsidRPr="00CA1B89">
              <w:rPr>
                <w:rFonts w:cs="Arial"/>
              </w:rPr>
              <w:t> </w:t>
            </w:r>
            <w:r w:rsidR="00EB26EA" w:rsidRPr="00CA1B89">
              <w:rPr>
                <w:rFonts w:cs="Arial"/>
                <w:i/>
              </w:rPr>
              <w:t>y</w:t>
            </w:r>
          </w:p>
        </w:tc>
      </w:tr>
      <w:tr w:rsidR="00EB26EA" w:rsidRPr="00CA1B89" w14:paraId="1B20C3BB" w14:textId="77777777" w:rsidTr="00AA14AB">
        <w:tc>
          <w:tcPr>
            <w:cnfStyle w:val="001000000000" w:firstRow="0" w:lastRow="0" w:firstColumn="1" w:lastColumn="0" w:oddVBand="0" w:evenVBand="0" w:oddHBand="0" w:evenHBand="0" w:firstRowFirstColumn="0" w:firstRowLastColumn="0" w:lastRowFirstColumn="0" w:lastRowLastColumn="0"/>
            <w:tcW w:w="1336" w:type="dxa"/>
          </w:tcPr>
          <w:p w14:paraId="7B03DC09" w14:textId="06F3E068" w:rsidR="00EB26EA" w:rsidRPr="00CA1B89" w:rsidRDefault="003F6646" w:rsidP="00743A0D">
            <w:pPr>
              <w:pStyle w:val="SDMTableBoxParaNotNumbered"/>
              <w:rPr>
                <w:rFonts w:cs="Arial"/>
                <w:b w:val="0"/>
              </w:rPr>
            </w:pPr>
            <m:oMathPara>
              <m:oMathParaPr>
                <m:jc m:val="left"/>
              </m:oMathParaPr>
              <m:oMath>
                <m:sSub>
                  <m:sSubPr>
                    <m:ctrlPr>
                      <w:rPr>
                        <w:rFonts w:ascii="Cambria Math" w:hAnsi="Cambria Math" w:cs="Arial"/>
                        <w:b w:val="0"/>
                        <w:bCs/>
                        <w:i/>
                        <w:iCs/>
                      </w:rPr>
                    </m:ctrlPr>
                  </m:sSubPr>
                  <m:e>
                    <m:r>
                      <m:rPr>
                        <m:sty m:val="bi"/>
                      </m:rPr>
                      <w:rPr>
                        <w:rFonts w:ascii="Cambria Math" w:hAnsi="Cambria Math" w:cs="Arial"/>
                      </w:rPr>
                      <m:t>AE</m:t>
                    </m:r>
                  </m:e>
                  <m:sub>
                    <m:r>
                      <m:rPr>
                        <m:sty m:val="bi"/>
                      </m:rPr>
                      <w:rPr>
                        <w:rFonts w:ascii="Cambria Math" w:hAnsi="Cambria Math" w:cs="Arial"/>
                      </w:rPr>
                      <m:t>EC,y</m:t>
                    </m:r>
                  </m:sub>
                </m:sSub>
              </m:oMath>
            </m:oMathPara>
          </w:p>
        </w:tc>
        <w:tc>
          <w:tcPr>
            <w:tcW w:w="1602" w:type="dxa"/>
          </w:tcPr>
          <w:p w14:paraId="5E1D4565" w14:textId="5B0C9856" w:rsidR="00EB26EA" w:rsidRPr="00CA1B89" w:rsidRDefault="004B7C3A" w:rsidP="00743A0D">
            <w:pPr>
              <w:pStyle w:val="SDMTableBoxParaNotNumbered"/>
              <w:cnfStyle w:val="000000000000" w:firstRow="0" w:lastRow="0" w:firstColumn="0" w:lastColumn="0" w:oddVBand="0" w:evenVBand="0" w:oddHBand="0" w:evenHBand="0" w:firstRowFirstColumn="0" w:firstRowLastColumn="0" w:lastRowFirstColumn="0" w:lastRowLastColumn="0"/>
              <w:rPr>
                <w:rFonts w:cs="Arial"/>
              </w:rPr>
            </w:pPr>
            <w:r w:rsidRPr="00CA1B89">
              <w:rPr>
                <w:rFonts w:cs="Arial"/>
              </w:rPr>
              <w:t>t</w:t>
            </w:r>
            <w:r w:rsidR="00F21F0C" w:rsidRPr="00CA1B89">
              <w:rPr>
                <w:rFonts w:cs="Arial"/>
              </w:rPr>
              <w:t> </w:t>
            </w:r>
            <w:r w:rsidRPr="00CA1B89">
              <w:rPr>
                <w:rFonts w:cs="Arial"/>
              </w:rPr>
              <w:t>CO</w:t>
            </w:r>
            <w:r w:rsidRPr="00CA1B89">
              <w:rPr>
                <w:rFonts w:cs="Arial"/>
                <w:vertAlign w:val="subscript"/>
              </w:rPr>
              <w:t>2</w:t>
            </w:r>
          </w:p>
        </w:tc>
        <w:tc>
          <w:tcPr>
            <w:tcW w:w="5591" w:type="dxa"/>
          </w:tcPr>
          <w:p w14:paraId="23FC24E9" w14:textId="09BD54CB" w:rsidR="00EB26EA" w:rsidRPr="00CA1B89" w:rsidRDefault="00540DA9" w:rsidP="00743A0D">
            <w:pPr>
              <w:pStyle w:val="SDMTableBoxParaNotNumbered"/>
              <w:cnfStyle w:val="000000000000" w:firstRow="0" w:lastRow="0" w:firstColumn="0" w:lastColumn="0" w:oddVBand="0" w:evenVBand="0" w:oddHBand="0" w:evenHBand="0" w:firstRowFirstColumn="0" w:firstRowLastColumn="0" w:lastRowFirstColumn="0" w:lastRowLastColumn="0"/>
              <w:rPr>
                <w:rFonts w:cs="Arial"/>
              </w:rPr>
            </w:pPr>
            <w:r w:rsidRPr="00CA1B89">
              <w:rPr>
                <w:rFonts w:cs="Arial"/>
              </w:rPr>
              <w:t xml:space="preserve">Activity emissions </w:t>
            </w:r>
            <w:r w:rsidR="00EB26EA" w:rsidRPr="00CA1B89">
              <w:rPr>
                <w:rFonts w:cs="Arial"/>
              </w:rPr>
              <w:t>from electricity consum</w:t>
            </w:r>
            <w:r w:rsidR="00EF1FE8" w:rsidRPr="00CA1B89">
              <w:rPr>
                <w:rFonts w:cs="Arial"/>
              </w:rPr>
              <w:t xml:space="preserve">ption </w:t>
            </w:r>
            <w:r w:rsidR="00EB26EA" w:rsidRPr="00CA1B89">
              <w:rPr>
                <w:rFonts w:cs="Arial"/>
              </w:rPr>
              <w:t>in year</w:t>
            </w:r>
            <w:r w:rsidR="00B441E3" w:rsidRPr="00CA1B89">
              <w:rPr>
                <w:rFonts w:cs="Arial"/>
              </w:rPr>
              <w:t> </w:t>
            </w:r>
            <w:r w:rsidR="00EB26EA" w:rsidRPr="00CA1B89">
              <w:rPr>
                <w:rFonts w:cs="Arial"/>
                <w:i/>
              </w:rPr>
              <w:t>y</w:t>
            </w:r>
          </w:p>
        </w:tc>
      </w:tr>
      <w:tr w:rsidR="00131584" w:rsidRPr="00CA1B89" w14:paraId="3EB5E6B9" w14:textId="77777777" w:rsidTr="00AA14AB">
        <w:tc>
          <w:tcPr>
            <w:cnfStyle w:val="001000000000" w:firstRow="0" w:lastRow="0" w:firstColumn="1" w:lastColumn="0" w:oddVBand="0" w:evenVBand="0" w:oddHBand="0" w:evenHBand="0" w:firstRowFirstColumn="0" w:firstRowLastColumn="0" w:lastRowFirstColumn="0" w:lastRowLastColumn="0"/>
            <w:tcW w:w="1336" w:type="dxa"/>
          </w:tcPr>
          <w:p w14:paraId="5301A28B" w14:textId="1FCA3DAC" w:rsidR="00131584" w:rsidRPr="00CA1B89" w:rsidRDefault="003F6646" w:rsidP="00743A0D">
            <w:pPr>
              <w:pStyle w:val="SDMTableBoxParaNotNumbered"/>
              <w:rPr>
                <w:rFonts w:cs="Arial"/>
                <w:b w:val="0"/>
              </w:rPr>
            </w:pPr>
            <m:oMathPara>
              <m:oMathParaPr>
                <m:jc m:val="left"/>
              </m:oMathParaPr>
              <m:oMath>
                <m:sSub>
                  <m:sSubPr>
                    <m:ctrlPr>
                      <w:rPr>
                        <w:rFonts w:ascii="Cambria Math" w:hAnsi="Cambria Math" w:cs="Arial"/>
                        <w:b w:val="0"/>
                        <w:bCs/>
                        <w:i/>
                        <w:iCs/>
                      </w:rPr>
                    </m:ctrlPr>
                  </m:sSubPr>
                  <m:e>
                    <m:r>
                      <m:rPr>
                        <m:sty m:val="bi"/>
                      </m:rPr>
                      <w:rPr>
                        <w:rFonts w:ascii="Cambria Math" w:hAnsi="Cambria Math" w:cs="Arial"/>
                      </w:rPr>
                      <m:t>LE</m:t>
                    </m:r>
                  </m:e>
                  <m:sub>
                    <m:r>
                      <m:rPr>
                        <m:sty m:val="bi"/>
                      </m:rPr>
                      <w:rPr>
                        <w:rFonts w:ascii="Cambria Math" w:hAnsi="Cambria Math" w:cs="Arial"/>
                      </w:rPr>
                      <m:t>EG,PJ,y</m:t>
                    </m:r>
                  </m:sub>
                </m:sSub>
              </m:oMath>
            </m:oMathPara>
          </w:p>
        </w:tc>
        <w:tc>
          <w:tcPr>
            <w:tcW w:w="1602" w:type="dxa"/>
          </w:tcPr>
          <w:p w14:paraId="00C57E86" w14:textId="515DF1F8" w:rsidR="00131584" w:rsidRPr="00CA1B89" w:rsidRDefault="004B7C3A" w:rsidP="00743A0D">
            <w:pPr>
              <w:pStyle w:val="SDMTableBoxParaNotNumbered"/>
              <w:cnfStyle w:val="000000000000" w:firstRow="0" w:lastRow="0" w:firstColumn="0" w:lastColumn="0" w:oddVBand="0" w:evenVBand="0" w:oddHBand="0" w:evenHBand="0" w:firstRowFirstColumn="0" w:firstRowLastColumn="0" w:lastRowFirstColumn="0" w:lastRowLastColumn="0"/>
              <w:rPr>
                <w:rFonts w:cs="Arial"/>
              </w:rPr>
            </w:pPr>
            <w:r w:rsidRPr="00CA1B89">
              <w:rPr>
                <w:rFonts w:cs="Arial"/>
              </w:rPr>
              <w:t>t</w:t>
            </w:r>
            <w:r w:rsidR="00F21F0C" w:rsidRPr="00CA1B89">
              <w:rPr>
                <w:rFonts w:cs="Arial"/>
              </w:rPr>
              <w:t> </w:t>
            </w:r>
            <w:r w:rsidRPr="00CA1B89">
              <w:rPr>
                <w:rFonts w:cs="Arial"/>
              </w:rPr>
              <w:t>CO</w:t>
            </w:r>
            <w:r w:rsidRPr="00CA1B89">
              <w:rPr>
                <w:rFonts w:cs="Arial"/>
                <w:vertAlign w:val="subscript"/>
              </w:rPr>
              <w:t>2</w:t>
            </w:r>
          </w:p>
        </w:tc>
        <w:tc>
          <w:tcPr>
            <w:tcW w:w="5591" w:type="dxa"/>
          </w:tcPr>
          <w:p w14:paraId="33938DDB" w14:textId="3F6AABFD" w:rsidR="00131584" w:rsidRPr="00CA1B89" w:rsidRDefault="00131584" w:rsidP="00743A0D">
            <w:pPr>
              <w:pStyle w:val="SDMTableBoxParaNotNumbered"/>
              <w:cnfStyle w:val="000000000000" w:firstRow="0" w:lastRow="0" w:firstColumn="0" w:lastColumn="0" w:oddVBand="0" w:evenVBand="0" w:oddHBand="0" w:evenHBand="0" w:firstRowFirstColumn="0" w:firstRowLastColumn="0" w:lastRowFirstColumn="0" w:lastRowLastColumn="0"/>
              <w:rPr>
                <w:rFonts w:cs="Arial"/>
              </w:rPr>
            </w:pPr>
            <w:r w:rsidRPr="00CA1B89">
              <w:rPr>
                <w:rFonts w:cs="Arial"/>
              </w:rPr>
              <w:t xml:space="preserve">Leakage emissions from electricity </w:t>
            </w:r>
            <w:r w:rsidR="004B7C3A" w:rsidRPr="00CA1B89">
              <w:rPr>
                <w:rFonts w:cs="Arial"/>
              </w:rPr>
              <w:t>generation</w:t>
            </w:r>
            <w:r w:rsidRPr="00CA1B89">
              <w:rPr>
                <w:rFonts w:cs="Arial"/>
              </w:rPr>
              <w:t xml:space="preserve"> </w:t>
            </w:r>
            <w:r w:rsidR="004E77A2" w:rsidRPr="00CA1B89">
              <w:rPr>
                <w:rFonts w:cs="Arial"/>
              </w:rPr>
              <w:t xml:space="preserve">in </w:t>
            </w:r>
            <w:r w:rsidRPr="00CA1B89">
              <w:rPr>
                <w:rFonts w:cs="Arial"/>
              </w:rPr>
              <w:t xml:space="preserve">the </w:t>
            </w:r>
            <w:r w:rsidR="00163274" w:rsidRPr="00CA1B89">
              <w:rPr>
                <w:rFonts w:cs="Arial"/>
              </w:rPr>
              <w:t xml:space="preserve">activity </w:t>
            </w:r>
            <w:r w:rsidR="00540DA9" w:rsidRPr="00CA1B89">
              <w:rPr>
                <w:rFonts w:cs="Arial"/>
              </w:rPr>
              <w:t xml:space="preserve">scenario </w:t>
            </w:r>
            <w:r w:rsidRPr="00CA1B89">
              <w:rPr>
                <w:rFonts w:cs="Arial"/>
              </w:rPr>
              <w:t>in year</w:t>
            </w:r>
            <w:r w:rsidR="00B441E3" w:rsidRPr="00CA1B89">
              <w:rPr>
                <w:rFonts w:cs="Arial"/>
              </w:rPr>
              <w:t> </w:t>
            </w:r>
            <w:r w:rsidRPr="00CA1B89">
              <w:rPr>
                <w:rFonts w:cs="Arial"/>
                <w:i/>
              </w:rPr>
              <w:t>y</w:t>
            </w:r>
          </w:p>
        </w:tc>
      </w:tr>
      <w:tr w:rsidR="001226CB" w:rsidRPr="00CA1B89" w14:paraId="1058307C" w14:textId="77777777" w:rsidTr="00AA14AB">
        <w:trPr>
          <w:trHeight w:val="300"/>
        </w:trPr>
        <w:tc>
          <w:tcPr>
            <w:cnfStyle w:val="001000000000" w:firstRow="0" w:lastRow="0" w:firstColumn="1" w:lastColumn="0" w:oddVBand="0" w:evenVBand="0" w:oddHBand="0" w:evenHBand="0" w:firstRowFirstColumn="0" w:firstRowLastColumn="0" w:lastRowFirstColumn="0" w:lastRowLastColumn="0"/>
            <w:tcW w:w="1336" w:type="dxa"/>
          </w:tcPr>
          <w:p w14:paraId="63611638" w14:textId="70CAC856" w:rsidR="001226CB" w:rsidRPr="00CA1B89" w:rsidRDefault="003F6646" w:rsidP="00743A0D">
            <w:pPr>
              <w:pStyle w:val="SDMTableBoxParaNotNumbered"/>
              <w:rPr>
                <w:rFonts w:cs="Arial"/>
                <w:b w:val="0"/>
              </w:rPr>
            </w:pPr>
            <m:oMathPara>
              <m:oMathParaPr>
                <m:jc m:val="left"/>
              </m:oMathParaPr>
              <m:oMath>
                <m:sSub>
                  <m:sSubPr>
                    <m:ctrlPr>
                      <w:rPr>
                        <w:rFonts w:ascii="Cambria Math" w:hAnsi="Cambria Math" w:cs="Arial"/>
                        <w:b w:val="0"/>
                        <w:bCs/>
                        <w:i/>
                        <w:iCs/>
                      </w:rPr>
                    </m:ctrlPr>
                  </m:sSubPr>
                  <m:e>
                    <m:r>
                      <m:rPr>
                        <m:sty m:val="bi"/>
                      </m:rPr>
                      <w:rPr>
                        <w:rFonts w:ascii="Cambria Math" w:hAnsi="Cambria Math" w:cs="Arial"/>
                      </w:rPr>
                      <m:t>LE</m:t>
                    </m:r>
                  </m:e>
                  <m:sub>
                    <m:r>
                      <m:rPr>
                        <m:sty m:val="bi"/>
                      </m:rPr>
                      <w:rPr>
                        <w:rFonts w:ascii="Cambria Math" w:hAnsi="Cambria Math" w:cs="Arial"/>
                      </w:rPr>
                      <m:t>EG,BL,y</m:t>
                    </m:r>
                  </m:sub>
                </m:sSub>
              </m:oMath>
            </m:oMathPara>
          </w:p>
        </w:tc>
        <w:tc>
          <w:tcPr>
            <w:tcW w:w="1602" w:type="dxa"/>
          </w:tcPr>
          <w:p w14:paraId="1E9E3DC2" w14:textId="72F01156" w:rsidR="001226CB" w:rsidRPr="00CA1B89" w:rsidRDefault="004B7C3A" w:rsidP="00743A0D">
            <w:pPr>
              <w:pStyle w:val="SDMTableBoxParaNotNumbered"/>
              <w:cnfStyle w:val="000000000000" w:firstRow="0" w:lastRow="0" w:firstColumn="0" w:lastColumn="0" w:oddVBand="0" w:evenVBand="0" w:oddHBand="0" w:evenHBand="0" w:firstRowFirstColumn="0" w:firstRowLastColumn="0" w:lastRowFirstColumn="0" w:lastRowLastColumn="0"/>
              <w:rPr>
                <w:rFonts w:cs="Arial"/>
              </w:rPr>
            </w:pPr>
            <w:r w:rsidRPr="00CA1B89">
              <w:rPr>
                <w:rFonts w:cs="Arial"/>
              </w:rPr>
              <w:t>t</w:t>
            </w:r>
            <w:r w:rsidR="00F21F0C" w:rsidRPr="00CA1B89">
              <w:rPr>
                <w:rFonts w:cs="Arial"/>
              </w:rPr>
              <w:t> </w:t>
            </w:r>
            <w:r w:rsidRPr="00CA1B89">
              <w:rPr>
                <w:rFonts w:cs="Arial"/>
              </w:rPr>
              <w:t>CO</w:t>
            </w:r>
            <w:r w:rsidRPr="00CA1B89">
              <w:rPr>
                <w:rFonts w:cs="Arial"/>
                <w:vertAlign w:val="subscript"/>
              </w:rPr>
              <w:t>2</w:t>
            </w:r>
          </w:p>
        </w:tc>
        <w:tc>
          <w:tcPr>
            <w:tcW w:w="5591" w:type="dxa"/>
          </w:tcPr>
          <w:p w14:paraId="37B40608" w14:textId="77777777" w:rsidR="001226CB" w:rsidRPr="00CA1B89" w:rsidRDefault="001226CB" w:rsidP="00743A0D">
            <w:pPr>
              <w:pStyle w:val="SDMTableBoxParaNotNumbered"/>
              <w:cnfStyle w:val="000000000000" w:firstRow="0" w:lastRow="0" w:firstColumn="0" w:lastColumn="0" w:oddVBand="0" w:evenVBand="0" w:oddHBand="0" w:evenHBand="0" w:firstRowFirstColumn="0" w:firstRowLastColumn="0" w:lastRowFirstColumn="0" w:lastRowLastColumn="0"/>
              <w:rPr>
                <w:rFonts w:cs="Arial"/>
              </w:rPr>
            </w:pPr>
            <w:r w:rsidRPr="00CA1B89">
              <w:rPr>
                <w:rFonts w:cs="Arial"/>
              </w:rPr>
              <w:t xml:space="preserve">Leakage emissions from electricity </w:t>
            </w:r>
            <w:r w:rsidR="004B7C3A" w:rsidRPr="00CA1B89">
              <w:rPr>
                <w:rFonts w:cs="Arial"/>
              </w:rPr>
              <w:t>generation</w:t>
            </w:r>
            <w:r w:rsidRPr="00CA1B89">
              <w:rPr>
                <w:rFonts w:cs="Arial"/>
              </w:rPr>
              <w:t xml:space="preserve"> in the baseline scenario in year</w:t>
            </w:r>
            <w:r w:rsidR="00B441E3" w:rsidRPr="00CA1B89">
              <w:rPr>
                <w:rFonts w:cs="Arial"/>
              </w:rPr>
              <w:t> </w:t>
            </w:r>
            <w:r w:rsidRPr="00CA1B89">
              <w:rPr>
                <w:rFonts w:cs="Arial"/>
                <w:i/>
              </w:rPr>
              <w:t>y</w:t>
            </w:r>
          </w:p>
        </w:tc>
      </w:tr>
      <w:tr w:rsidR="001226CB" w:rsidRPr="00CA1B89" w14:paraId="0B4BDC15" w14:textId="77777777" w:rsidTr="00AA14AB">
        <w:tc>
          <w:tcPr>
            <w:cnfStyle w:val="001000000000" w:firstRow="0" w:lastRow="0" w:firstColumn="1" w:lastColumn="0" w:oddVBand="0" w:evenVBand="0" w:oddHBand="0" w:evenHBand="0" w:firstRowFirstColumn="0" w:firstRowLastColumn="0" w:lastRowFirstColumn="0" w:lastRowLastColumn="0"/>
            <w:tcW w:w="1336" w:type="dxa"/>
          </w:tcPr>
          <w:p w14:paraId="2248B4C7" w14:textId="2A20B3D6" w:rsidR="001226CB" w:rsidRPr="00CA1B89" w:rsidRDefault="003F6646" w:rsidP="00743A0D">
            <w:pPr>
              <w:pStyle w:val="SDMTableBoxParaNotNumbered"/>
              <w:rPr>
                <w:rFonts w:cs="Arial"/>
                <w:b w:val="0"/>
              </w:rPr>
            </w:pPr>
            <m:oMathPara>
              <m:oMathParaPr>
                <m:jc m:val="left"/>
              </m:oMathParaPr>
              <m:oMath>
                <m:sSub>
                  <m:sSubPr>
                    <m:ctrlPr>
                      <w:rPr>
                        <w:rFonts w:ascii="Cambria Math" w:hAnsi="Cambria Math" w:cs="Arial"/>
                        <w:b w:val="0"/>
                        <w:bCs/>
                        <w:i/>
                        <w:iCs/>
                      </w:rPr>
                    </m:ctrlPr>
                  </m:sSubPr>
                  <m:e>
                    <m:r>
                      <m:rPr>
                        <m:sty m:val="bi"/>
                      </m:rPr>
                      <w:rPr>
                        <w:rFonts w:ascii="Cambria Math" w:hAnsi="Cambria Math" w:cs="Arial"/>
                      </w:rPr>
                      <m:t>LE</m:t>
                    </m:r>
                  </m:e>
                  <m:sub>
                    <m:r>
                      <m:rPr>
                        <m:sty m:val="bi"/>
                      </m:rPr>
                      <w:rPr>
                        <w:rFonts w:ascii="Cambria Math" w:hAnsi="Cambria Math" w:cs="Arial"/>
                      </w:rPr>
                      <m:t>EC,PJ,y</m:t>
                    </m:r>
                  </m:sub>
                </m:sSub>
              </m:oMath>
            </m:oMathPara>
          </w:p>
        </w:tc>
        <w:tc>
          <w:tcPr>
            <w:tcW w:w="1602" w:type="dxa"/>
          </w:tcPr>
          <w:p w14:paraId="5A4C04D1" w14:textId="32422A3C" w:rsidR="001226CB" w:rsidRPr="00CA1B89" w:rsidRDefault="004B7C3A" w:rsidP="00743A0D">
            <w:pPr>
              <w:pStyle w:val="SDMTableBoxParaNotNumbered"/>
              <w:cnfStyle w:val="000000000000" w:firstRow="0" w:lastRow="0" w:firstColumn="0" w:lastColumn="0" w:oddVBand="0" w:evenVBand="0" w:oddHBand="0" w:evenHBand="0" w:firstRowFirstColumn="0" w:firstRowLastColumn="0" w:lastRowFirstColumn="0" w:lastRowLastColumn="0"/>
              <w:rPr>
                <w:rFonts w:cs="Arial"/>
              </w:rPr>
            </w:pPr>
            <w:r w:rsidRPr="00CA1B89">
              <w:rPr>
                <w:rFonts w:cs="Arial"/>
              </w:rPr>
              <w:t>t</w:t>
            </w:r>
            <w:r w:rsidR="00F21F0C" w:rsidRPr="00CA1B89">
              <w:rPr>
                <w:rFonts w:cs="Arial"/>
              </w:rPr>
              <w:t> </w:t>
            </w:r>
            <w:r w:rsidRPr="00CA1B89">
              <w:rPr>
                <w:rFonts w:cs="Arial"/>
              </w:rPr>
              <w:t>CO</w:t>
            </w:r>
            <w:r w:rsidRPr="00CA1B89">
              <w:rPr>
                <w:rFonts w:cs="Arial"/>
                <w:vertAlign w:val="subscript"/>
              </w:rPr>
              <w:t>2</w:t>
            </w:r>
          </w:p>
        </w:tc>
        <w:tc>
          <w:tcPr>
            <w:tcW w:w="5591" w:type="dxa"/>
          </w:tcPr>
          <w:p w14:paraId="3161AD8E" w14:textId="7A54E43F" w:rsidR="001226CB" w:rsidRPr="00CA1B89" w:rsidRDefault="001226CB" w:rsidP="00743A0D">
            <w:pPr>
              <w:pStyle w:val="SDMTableBoxParaNotNumbered"/>
              <w:cnfStyle w:val="000000000000" w:firstRow="0" w:lastRow="0" w:firstColumn="0" w:lastColumn="0" w:oddVBand="0" w:evenVBand="0" w:oddHBand="0" w:evenHBand="0" w:firstRowFirstColumn="0" w:firstRowLastColumn="0" w:lastRowFirstColumn="0" w:lastRowLastColumn="0"/>
              <w:rPr>
                <w:rFonts w:cs="Arial"/>
              </w:rPr>
            </w:pPr>
            <w:r w:rsidRPr="00CA1B89">
              <w:rPr>
                <w:rFonts w:cs="Arial"/>
              </w:rPr>
              <w:t xml:space="preserve">Leakage emissions from electricity </w:t>
            </w:r>
            <w:r w:rsidR="004B7C3A" w:rsidRPr="00CA1B89">
              <w:rPr>
                <w:rFonts w:cs="Arial"/>
              </w:rPr>
              <w:t>consumption</w:t>
            </w:r>
            <w:r w:rsidRPr="00CA1B89">
              <w:rPr>
                <w:rFonts w:cs="Arial"/>
              </w:rPr>
              <w:t xml:space="preserve"> </w:t>
            </w:r>
            <w:r w:rsidR="00382A30" w:rsidRPr="00CA1B89">
              <w:rPr>
                <w:rFonts w:cs="Arial"/>
              </w:rPr>
              <w:t>in the</w:t>
            </w:r>
            <w:r w:rsidR="005F58EA" w:rsidRPr="00CA1B89">
              <w:rPr>
                <w:rFonts w:cs="Arial"/>
              </w:rPr>
              <w:t xml:space="preserve"> </w:t>
            </w:r>
            <w:r w:rsidR="00163274" w:rsidRPr="00CA1B89">
              <w:rPr>
                <w:rFonts w:cs="Arial"/>
              </w:rPr>
              <w:t xml:space="preserve">activity scenario </w:t>
            </w:r>
            <w:r w:rsidRPr="00CA1B89">
              <w:rPr>
                <w:rFonts w:cs="Arial"/>
              </w:rPr>
              <w:t>in year</w:t>
            </w:r>
            <w:r w:rsidR="00B441E3" w:rsidRPr="00CA1B89">
              <w:rPr>
                <w:rFonts w:cs="Arial"/>
              </w:rPr>
              <w:t> </w:t>
            </w:r>
            <w:r w:rsidRPr="00CA1B89">
              <w:rPr>
                <w:rFonts w:cs="Arial"/>
                <w:i/>
              </w:rPr>
              <w:t>y</w:t>
            </w:r>
          </w:p>
        </w:tc>
      </w:tr>
      <w:tr w:rsidR="00382A30" w:rsidRPr="00CA1B89" w14:paraId="2AC8E43F" w14:textId="77777777" w:rsidTr="00AA14AB">
        <w:trPr>
          <w:trHeight w:val="300"/>
        </w:trPr>
        <w:tc>
          <w:tcPr>
            <w:cnfStyle w:val="001000000000" w:firstRow="0" w:lastRow="0" w:firstColumn="1" w:lastColumn="0" w:oddVBand="0" w:evenVBand="0" w:oddHBand="0" w:evenHBand="0" w:firstRowFirstColumn="0" w:firstRowLastColumn="0" w:lastRowFirstColumn="0" w:lastRowLastColumn="0"/>
            <w:tcW w:w="1336" w:type="dxa"/>
          </w:tcPr>
          <w:p w14:paraId="7846CDA5" w14:textId="2314E7FC" w:rsidR="00382A30" w:rsidRPr="00CA1B89" w:rsidRDefault="003F6646" w:rsidP="00743A0D">
            <w:pPr>
              <w:pStyle w:val="SDMTableBoxParaNotNumbered"/>
              <w:rPr>
                <w:rFonts w:cs="Arial"/>
                <w:b w:val="0"/>
              </w:rPr>
            </w:pPr>
            <m:oMathPara>
              <m:oMathParaPr>
                <m:jc m:val="left"/>
              </m:oMathParaPr>
              <m:oMath>
                <m:sSub>
                  <m:sSubPr>
                    <m:ctrlPr>
                      <w:rPr>
                        <w:rFonts w:ascii="Cambria Math" w:hAnsi="Cambria Math" w:cs="Arial"/>
                        <w:b w:val="0"/>
                        <w:bCs/>
                        <w:i/>
                        <w:iCs/>
                      </w:rPr>
                    </m:ctrlPr>
                  </m:sSubPr>
                  <m:e>
                    <m:r>
                      <m:rPr>
                        <m:sty m:val="bi"/>
                      </m:rPr>
                      <w:rPr>
                        <w:rFonts w:ascii="Cambria Math" w:hAnsi="Cambria Math" w:cs="Arial"/>
                      </w:rPr>
                      <m:t>LE</m:t>
                    </m:r>
                  </m:e>
                  <m:sub>
                    <m:r>
                      <m:rPr>
                        <m:sty m:val="bi"/>
                      </m:rPr>
                      <w:rPr>
                        <w:rFonts w:ascii="Cambria Math" w:hAnsi="Cambria Math" w:cs="Arial"/>
                      </w:rPr>
                      <m:t>EC,BL,y</m:t>
                    </m:r>
                  </m:sub>
                </m:sSub>
              </m:oMath>
            </m:oMathPara>
          </w:p>
        </w:tc>
        <w:tc>
          <w:tcPr>
            <w:tcW w:w="1602" w:type="dxa"/>
          </w:tcPr>
          <w:p w14:paraId="4F4C1FBD" w14:textId="4FBA5B0F" w:rsidR="00382A30" w:rsidRPr="00CA1B89" w:rsidRDefault="004B7C3A" w:rsidP="00743A0D">
            <w:pPr>
              <w:pStyle w:val="SDMTableBoxParaNotNumbered"/>
              <w:cnfStyle w:val="000000000000" w:firstRow="0" w:lastRow="0" w:firstColumn="0" w:lastColumn="0" w:oddVBand="0" w:evenVBand="0" w:oddHBand="0" w:evenHBand="0" w:firstRowFirstColumn="0" w:firstRowLastColumn="0" w:lastRowFirstColumn="0" w:lastRowLastColumn="0"/>
              <w:rPr>
                <w:rFonts w:cs="Arial"/>
              </w:rPr>
            </w:pPr>
            <w:r w:rsidRPr="00CA1B89">
              <w:rPr>
                <w:rFonts w:cs="Arial"/>
              </w:rPr>
              <w:t>t</w:t>
            </w:r>
            <w:r w:rsidR="00F21F0C" w:rsidRPr="00CA1B89">
              <w:rPr>
                <w:rFonts w:cs="Arial"/>
              </w:rPr>
              <w:t> </w:t>
            </w:r>
            <w:r w:rsidRPr="00CA1B89">
              <w:rPr>
                <w:rFonts w:cs="Arial"/>
              </w:rPr>
              <w:t>CO</w:t>
            </w:r>
            <w:r w:rsidRPr="00CA1B89">
              <w:rPr>
                <w:rFonts w:cs="Arial"/>
                <w:vertAlign w:val="subscript"/>
              </w:rPr>
              <w:t>2</w:t>
            </w:r>
          </w:p>
        </w:tc>
        <w:tc>
          <w:tcPr>
            <w:tcW w:w="5591" w:type="dxa"/>
          </w:tcPr>
          <w:p w14:paraId="366A659C" w14:textId="77777777" w:rsidR="00382A30" w:rsidRPr="00CA1B89" w:rsidRDefault="00382A30" w:rsidP="00743A0D">
            <w:pPr>
              <w:pStyle w:val="SDMTableBoxParaNotNumbered"/>
              <w:cnfStyle w:val="000000000000" w:firstRow="0" w:lastRow="0" w:firstColumn="0" w:lastColumn="0" w:oddVBand="0" w:evenVBand="0" w:oddHBand="0" w:evenHBand="0" w:firstRowFirstColumn="0" w:firstRowLastColumn="0" w:lastRowFirstColumn="0" w:lastRowLastColumn="0"/>
              <w:rPr>
                <w:rFonts w:cs="Arial"/>
              </w:rPr>
            </w:pPr>
            <w:r w:rsidRPr="00CA1B89">
              <w:rPr>
                <w:rFonts w:cs="Arial"/>
              </w:rPr>
              <w:t xml:space="preserve">Leakage emissions from electricity </w:t>
            </w:r>
            <w:r w:rsidR="004B7C3A" w:rsidRPr="00CA1B89">
              <w:rPr>
                <w:rFonts w:cs="Arial"/>
              </w:rPr>
              <w:t>consumption</w:t>
            </w:r>
            <w:r w:rsidRPr="00CA1B89">
              <w:rPr>
                <w:rFonts w:cs="Arial"/>
              </w:rPr>
              <w:t xml:space="preserve"> in the baseline sce</w:t>
            </w:r>
            <w:r w:rsidR="00C2545F" w:rsidRPr="00CA1B89">
              <w:rPr>
                <w:rFonts w:cs="Arial"/>
              </w:rPr>
              <w:t>nario</w:t>
            </w:r>
            <w:r w:rsidRPr="00CA1B89">
              <w:rPr>
                <w:rFonts w:cs="Arial"/>
              </w:rPr>
              <w:t xml:space="preserve"> in year</w:t>
            </w:r>
            <w:r w:rsidR="00B441E3" w:rsidRPr="00CA1B89">
              <w:rPr>
                <w:rFonts w:cs="Arial"/>
              </w:rPr>
              <w:t> </w:t>
            </w:r>
            <w:r w:rsidRPr="00CA1B89">
              <w:rPr>
                <w:rFonts w:cs="Arial"/>
                <w:i/>
              </w:rPr>
              <w:t>y</w:t>
            </w:r>
          </w:p>
        </w:tc>
      </w:tr>
      <w:tr w:rsidR="00382A30" w:rsidRPr="00CA1B89" w14:paraId="5C0CAEDA" w14:textId="77777777" w:rsidTr="00AA14AB">
        <w:tc>
          <w:tcPr>
            <w:cnfStyle w:val="001000000000" w:firstRow="0" w:lastRow="0" w:firstColumn="1" w:lastColumn="0" w:oddVBand="0" w:evenVBand="0" w:oddHBand="0" w:evenHBand="0" w:firstRowFirstColumn="0" w:firstRowLastColumn="0" w:lastRowFirstColumn="0" w:lastRowLastColumn="0"/>
            <w:tcW w:w="1336" w:type="dxa"/>
          </w:tcPr>
          <w:p w14:paraId="77E8FECE" w14:textId="1D57ADDF" w:rsidR="00382A30" w:rsidRPr="00CA1B89" w:rsidRDefault="003F6646" w:rsidP="00743A0D">
            <w:pPr>
              <w:pStyle w:val="SDMTableBoxParaNotNumbered"/>
              <w:rPr>
                <w:rFonts w:cs="Arial"/>
                <w:b w:val="0"/>
              </w:rPr>
            </w:pPr>
            <m:oMathPara>
              <m:oMathParaPr>
                <m:jc m:val="left"/>
              </m:oMathParaPr>
              <m:oMath>
                <m:sSub>
                  <m:sSubPr>
                    <m:ctrlPr>
                      <w:rPr>
                        <w:rFonts w:ascii="Cambria Math" w:hAnsi="Cambria Math" w:cs="Arial"/>
                        <w:b w:val="0"/>
                        <w:bCs/>
                        <w:i/>
                        <w:iCs/>
                      </w:rPr>
                    </m:ctrlPr>
                  </m:sSubPr>
                  <m:e>
                    <m:r>
                      <m:rPr>
                        <m:sty m:val="bi"/>
                      </m:rPr>
                      <w:rPr>
                        <w:rFonts w:ascii="Cambria Math" w:hAnsi="Cambria Math" w:cs="Arial"/>
                      </w:rPr>
                      <m:t>EF</m:t>
                    </m:r>
                  </m:e>
                  <m:sub>
                    <m:r>
                      <m:rPr>
                        <m:sty m:val="bi"/>
                      </m:rPr>
                      <w:rPr>
                        <w:rFonts w:ascii="Cambria Math" w:hAnsi="Cambria Math" w:cs="Arial"/>
                      </w:rPr>
                      <m:t>EG/C,BL,s,y</m:t>
                    </m:r>
                  </m:sub>
                </m:sSub>
              </m:oMath>
            </m:oMathPara>
          </w:p>
        </w:tc>
        <w:tc>
          <w:tcPr>
            <w:tcW w:w="1602" w:type="dxa"/>
          </w:tcPr>
          <w:p w14:paraId="40840E56" w14:textId="0775C540" w:rsidR="00382A30" w:rsidRPr="00CA1B89" w:rsidRDefault="004B7C3A" w:rsidP="00743A0D">
            <w:pPr>
              <w:pStyle w:val="SDMTableBoxParaNotNumbered"/>
              <w:cnfStyle w:val="000000000000" w:firstRow="0" w:lastRow="0" w:firstColumn="0" w:lastColumn="0" w:oddVBand="0" w:evenVBand="0" w:oddHBand="0" w:evenHBand="0" w:firstRowFirstColumn="0" w:firstRowLastColumn="0" w:lastRowFirstColumn="0" w:lastRowLastColumn="0"/>
              <w:rPr>
                <w:rFonts w:cs="Arial"/>
              </w:rPr>
            </w:pPr>
            <w:r w:rsidRPr="00CA1B89">
              <w:rPr>
                <w:rFonts w:cs="Arial"/>
              </w:rPr>
              <w:t>t</w:t>
            </w:r>
            <w:r w:rsidR="00F21F0C" w:rsidRPr="00CA1B89">
              <w:rPr>
                <w:rFonts w:cs="Arial"/>
              </w:rPr>
              <w:t> </w:t>
            </w:r>
            <w:r w:rsidRPr="00CA1B89">
              <w:rPr>
                <w:rFonts w:cs="Arial"/>
              </w:rPr>
              <w:t>CO</w:t>
            </w:r>
            <w:r w:rsidRPr="00CA1B89">
              <w:rPr>
                <w:rFonts w:cs="Arial"/>
                <w:vertAlign w:val="subscript"/>
              </w:rPr>
              <w:t>2</w:t>
            </w:r>
            <w:r w:rsidR="00382A30" w:rsidRPr="00CA1B89">
              <w:rPr>
                <w:rFonts w:cs="Arial"/>
              </w:rPr>
              <w:t>/</w:t>
            </w:r>
            <w:r w:rsidR="00F21F0C" w:rsidRPr="00CA1B89">
              <w:rPr>
                <w:rFonts w:cs="Arial"/>
              </w:rPr>
              <w:t>MWh</w:t>
            </w:r>
          </w:p>
        </w:tc>
        <w:tc>
          <w:tcPr>
            <w:tcW w:w="5591" w:type="dxa"/>
          </w:tcPr>
          <w:p w14:paraId="2526C97E" w14:textId="10994CAD" w:rsidR="00382A30" w:rsidRPr="00CA1B89" w:rsidRDefault="00382A30" w:rsidP="00743A0D">
            <w:pPr>
              <w:pStyle w:val="SDMTableBoxParaNotNumbered"/>
              <w:cnfStyle w:val="000000000000" w:firstRow="0" w:lastRow="0" w:firstColumn="0" w:lastColumn="0" w:oddVBand="0" w:evenVBand="0" w:oddHBand="0" w:evenHBand="0" w:firstRowFirstColumn="0" w:firstRowLastColumn="0" w:lastRowFirstColumn="0" w:lastRowLastColumn="0"/>
              <w:rPr>
                <w:rFonts w:cs="Arial"/>
                <w:i/>
              </w:rPr>
            </w:pPr>
            <w:r w:rsidRPr="00CA1B89">
              <w:rPr>
                <w:rFonts w:cs="Arial"/>
              </w:rPr>
              <w:t xml:space="preserve">Emission factor </w:t>
            </w:r>
            <w:r w:rsidR="0054202C" w:rsidRPr="00CA1B89">
              <w:rPr>
                <w:rFonts w:cs="Arial"/>
              </w:rPr>
              <w:t xml:space="preserve">for </w:t>
            </w:r>
            <w:r w:rsidRPr="00CA1B89">
              <w:rPr>
                <w:rFonts w:cs="Arial"/>
              </w:rPr>
              <w:t xml:space="preserve">electricity </w:t>
            </w:r>
            <w:r w:rsidR="00776899" w:rsidRPr="00CA1B89">
              <w:rPr>
                <w:rFonts w:cs="Arial"/>
              </w:rPr>
              <w:t>generation or</w:t>
            </w:r>
            <w:r w:rsidR="002306AE" w:rsidRPr="00CA1B89">
              <w:rPr>
                <w:rFonts w:cs="Arial"/>
              </w:rPr>
              <w:t xml:space="preserve"> </w:t>
            </w:r>
            <w:r w:rsidR="004B7C3A" w:rsidRPr="00CA1B89">
              <w:rPr>
                <w:rFonts w:cs="Arial"/>
              </w:rPr>
              <w:t>consumption</w:t>
            </w:r>
            <w:r w:rsidRPr="00CA1B89">
              <w:rPr>
                <w:rFonts w:cs="Arial"/>
              </w:rPr>
              <w:t xml:space="preserve"> </w:t>
            </w:r>
            <w:r w:rsidR="00730A80" w:rsidRPr="00CA1B89">
              <w:rPr>
                <w:rFonts w:cs="Arial"/>
              </w:rPr>
              <w:t xml:space="preserve">by </w:t>
            </w:r>
            <w:r w:rsidR="00374D41" w:rsidRPr="00CA1B89">
              <w:rPr>
                <w:rFonts w:cs="Arial"/>
              </w:rPr>
              <w:t xml:space="preserve">electricity generation or consumption </w:t>
            </w:r>
            <w:r w:rsidR="00E163E9" w:rsidRPr="00CA1B89">
              <w:rPr>
                <w:rFonts w:cs="Arial"/>
              </w:rPr>
              <w:t>source </w:t>
            </w:r>
            <w:r w:rsidR="000874A7" w:rsidRPr="00CA1B89">
              <w:rPr>
                <w:rFonts w:cs="Arial"/>
                <w:i/>
              </w:rPr>
              <w:t>s</w:t>
            </w:r>
            <w:r w:rsidR="00730A80" w:rsidRPr="00CA1B89">
              <w:rPr>
                <w:rFonts w:cs="Arial"/>
              </w:rPr>
              <w:t xml:space="preserve"> </w:t>
            </w:r>
            <w:r w:rsidRPr="00CA1B89">
              <w:rPr>
                <w:rFonts w:cs="Arial"/>
              </w:rPr>
              <w:t xml:space="preserve">in the baseline scenario </w:t>
            </w:r>
            <w:r w:rsidR="00810575" w:rsidRPr="00CA1B89">
              <w:rPr>
                <w:rFonts w:cs="Arial"/>
              </w:rPr>
              <w:t>(</w:t>
            </w:r>
            <w:r w:rsidR="00F92F87" w:rsidRPr="00CA1B89">
              <w:rPr>
                <w:rFonts w:cs="Arial"/>
              </w:rPr>
              <w:t>case</w:t>
            </w:r>
            <w:r w:rsidR="00877272" w:rsidRPr="00CA1B89">
              <w:rPr>
                <w:rFonts w:cs="Arial"/>
              </w:rPr>
              <w:t> </w:t>
            </w:r>
            <w:r w:rsidR="00AB3592" w:rsidRPr="00CA1B89">
              <w:rPr>
                <w:rFonts w:cs="Arial"/>
              </w:rPr>
              <w:t xml:space="preserve">2) </w:t>
            </w:r>
            <w:r w:rsidRPr="00CA1B89">
              <w:rPr>
                <w:rFonts w:cs="Arial"/>
              </w:rPr>
              <w:t xml:space="preserve">in </w:t>
            </w:r>
            <w:r w:rsidR="00751741" w:rsidRPr="00CA1B89">
              <w:rPr>
                <w:rFonts w:cs="Arial"/>
              </w:rPr>
              <w:t>year </w:t>
            </w:r>
            <w:r w:rsidR="00751741" w:rsidRPr="00CA1B89">
              <w:rPr>
                <w:rFonts w:cs="Arial"/>
                <w:i/>
                <w:iCs/>
              </w:rPr>
              <w:t>y</w:t>
            </w:r>
          </w:p>
        </w:tc>
      </w:tr>
      <w:tr w:rsidR="00C2545F" w:rsidRPr="00CE059C" w14:paraId="5F75576C" w14:textId="77777777" w:rsidTr="00AA14AB">
        <w:trPr>
          <w:trHeight w:val="300"/>
        </w:trPr>
        <w:tc>
          <w:tcPr>
            <w:cnfStyle w:val="001000000000" w:firstRow="0" w:lastRow="0" w:firstColumn="1" w:lastColumn="0" w:oddVBand="0" w:evenVBand="0" w:oddHBand="0" w:evenHBand="0" w:firstRowFirstColumn="0" w:firstRowLastColumn="0" w:lastRowFirstColumn="0" w:lastRowLastColumn="0"/>
            <w:tcW w:w="1336" w:type="dxa"/>
          </w:tcPr>
          <w:p w14:paraId="6D9CD75B" w14:textId="1AEDFEB1" w:rsidR="00C2545F" w:rsidRPr="00CA1B89" w:rsidRDefault="003F6646" w:rsidP="00743A0D">
            <w:pPr>
              <w:pStyle w:val="SDMTableBoxParaNotNumbered"/>
              <w:rPr>
                <w:rFonts w:cs="Arial"/>
                <w:b w:val="0"/>
              </w:rPr>
            </w:pPr>
            <m:oMathPara>
              <m:oMathParaPr>
                <m:jc m:val="left"/>
              </m:oMathParaPr>
              <m:oMath>
                <m:sSub>
                  <m:sSubPr>
                    <m:ctrlPr>
                      <w:rPr>
                        <w:rFonts w:ascii="Cambria Math" w:hAnsi="Cambria Math" w:cs="Arial"/>
                        <w:b w:val="0"/>
                        <w:bCs/>
                        <w:i/>
                        <w:iCs/>
                      </w:rPr>
                    </m:ctrlPr>
                  </m:sSubPr>
                  <m:e>
                    <m:r>
                      <m:rPr>
                        <m:sty m:val="bi"/>
                      </m:rPr>
                      <w:rPr>
                        <w:rFonts w:ascii="Cambria Math" w:hAnsi="Cambria Math" w:cs="Arial"/>
                      </w:rPr>
                      <m:t>EF</m:t>
                    </m:r>
                  </m:e>
                  <m:sub>
                    <m:r>
                      <m:rPr>
                        <m:sty m:val="bi"/>
                      </m:rPr>
                      <w:rPr>
                        <w:rFonts w:ascii="Cambria Math" w:hAnsi="Cambria Math" w:cs="Arial"/>
                      </w:rPr>
                      <m:t>EG/C,PJ,s,y</m:t>
                    </m:r>
                  </m:sub>
                </m:sSub>
              </m:oMath>
            </m:oMathPara>
          </w:p>
        </w:tc>
        <w:tc>
          <w:tcPr>
            <w:tcW w:w="1602" w:type="dxa"/>
          </w:tcPr>
          <w:p w14:paraId="34FEA90F" w14:textId="6A9D6403" w:rsidR="00C2545F" w:rsidRPr="00CA1B89" w:rsidRDefault="004B7C3A" w:rsidP="00743A0D">
            <w:pPr>
              <w:pStyle w:val="SDMTableBoxParaNotNumbered"/>
              <w:cnfStyle w:val="000000000000" w:firstRow="0" w:lastRow="0" w:firstColumn="0" w:lastColumn="0" w:oddVBand="0" w:evenVBand="0" w:oddHBand="0" w:evenHBand="0" w:firstRowFirstColumn="0" w:firstRowLastColumn="0" w:lastRowFirstColumn="0" w:lastRowLastColumn="0"/>
              <w:rPr>
                <w:rFonts w:cs="Arial"/>
              </w:rPr>
            </w:pPr>
            <w:r w:rsidRPr="00CA1B89">
              <w:rPr>
                <w:rFonts w:cs="Arial"/>
              </w:rPr>
              <w:t>t</w:t>
            </w:r>
            <w:r w:rsidR="00F21F0C" w:rsidRPr="00CA1B89">
              <w:rPr>
                <w:rFonts w:cs="Arial"/>
              </w:rPr>
              <w:t> </w:t>
            </w:r>
            <w:r w:rsidRPr="00CA1B89">
              <w:rPr>
                <w:rFonts w:cs="Arial"/>
              </w:rPr>
              <w:t>CO</w:t>
            </w:r>
            <w:r w:rsidRPr="00CA1B89">
              <w:rPr>
                <w:rFonts w:cs="Arial"/>
                <w:vertAlign w:val="subscript"/>
              </w:rPr>
              <w:t>2</w:t>
            </w:r>
            <w:r w:rsidR="00C2545F" w:rsidRPr="00CA1B89">
              <w:rPr>
                <w:rFonts w:cs="Arial"/>
              </w:rPr>
              <w:t>/</w:t>
            </w:r>
            <w:r w:rsidR="00F21F0C" w:rsidRPr="00CA1B89">
              <w:rPr>
                <w:rFonts w:cs="Arial"/>
              </w:rPr>
              <w:t>MWh</w:t>
            </w:r>
          </w:p>
        </w:tc>
        <w:tc>
          <w:tcPr>
            <w:tcW w:w="5591" w:type="dxa"/>
          </w:tcPr>
          <w:p w14:paraId="28A8669D" w14:textId="3137AD26" w:rsidR="00C2545F" w:rsidRPr="00CE059C" w:rsidRDefault="00C2545F" w:rsidP="00743A0D">
            <w:pPr>
              <w:pStyle w:val="SDMTableBoxParaNotNumbered"/>
              <w:cnfStyle w:val="000000000000" w:firstRow="0" w:lastRow="0" w:firstColumn="0" w:lastColumn="0" w:oddVBand="0" w:evenVBand="0" w:oddHBand="0" w:evenHBand="0" w:firstRowFirstColumn="0" w:firstRowLastColumn="0" w:lastRowFirstColumn="0" w:lastRowLastColumn="0"/>
              <w:rPr>
                <w:rFonts w:cs="Arial"/>
                <w:i/>
              </w:rPr>
            </w:pPr>
            <w:r w:rsidRPr="00CA1B89">
              <w:rPr>
                <w:rFonts w:cs="Arial"/>
              </w:rPr>
              <w:t xml:space="preserve">Emission factor </w:t>
            </w:r>
            <w:r w:rsidR="0054202C" w:rsidRPr="00CA1B89">
              <w:rPr>
                <w:rFonts w:cs="Arial"/>
              </w:rPr>
              <w:t xml:space="preserve">for </w:t>
            </w:r>
            <w:r w:rsidRPr="00CA1B89">
              <w:rPr>
                <w:rFonts w:cs="Arial"/>
              </w:rPr>
              <w:t xml:space="preserve">electricity </w:t>
            </w:r>
            <w:r w:rsidR="00330B13" w:rsidRPr="00CA1B89">
              <w:rPr>
                <w:rFonts w:cs="Arial"/>
              </w:rPr>
              <w:t xml:space="preserve">generation or </w:t>
            </w:r>
            <w:r w:rsidR="004B7C3A" w:rsidRPr="00CA1B89">
              <w:rPr>
                <w:rFonts w:cs="Arial"/>
              </w:rPr>
              <w:t>consumption</w:t>
            </w:r>
            <w:r w:rsidRPr="00CA1B89">
              <w:rPr>
                <w:rFonts w:cs="Arial"/>
              </w:rPr>
              <w:t xml:space="preserve"> </w:t>
            </w:r>
            <w:r w:rsidR="00730A80" w:rsidRPr="00CA1B89">
              <w:rPr>
                <w:rFonts w:cs="Arial"/>
              </w:rPr>
              <w:t xml:space="preserve">by </w:t>
            </w:r>
            <w:r w:rsidR="00374D41" w:rsidRPr="00CA1B89">
              <w:rPr>
                <w:rFonts w:cs="Arial"/>
              </w:rPr>
              <w:t>electricity generation or consumption source </w:t>
            </w:r>
            <w:r w:rsidR="00374D41" w:rsidRPr="00CA1B89">
              <w:rPr>
                <w:rFonts w:cs="Arial"/>
                <w:i/>
              </w:rPr>
              <w:t>s</w:t>
            </w:r>
            <w:r w:rsidR="00730A80" w:rsidRPr="00CA1B89">
              <w:rPr>
                <w:rFonts w:cs="Arial"/>
              </w:rPr>
              <w:t xml:space="preserve"> </w:t>
            </w:r>
            <w:r w:rsidRPr="00CA1B89">
              <w:rPr>
                <w:rFonts w:cs="Arial"/>
              </w:rPr>
              <w:t>in the</w:t>
            </w:r>
            <w:r w:rsidR="001E0EA7" w:rsidRPr="00CA1B89">
              <w:rPr>
                <w:rFonts w:cs="Arial"/>
              </w:rPr>
              <w:t xml:space="preserve"> </w:t>
            </w:r>
            <w:r w:rsidR="00CE059C" w:rsidRPr="00CA1B89">
              <w:rPr>
                <w:rFonts w:cs="Arial"/>
              </w:rPr>
              <w:t xml:space="preserve">activity scenario </w:t>
            </w:r>
            <w:r w:rsidR="00AB3592" w:rsidRPr="00CA1B89">
              <w:rPr>
                <w:rFonts w:cs="Arial"/>
              </w:rPr>
              <w:t>(</w:t>
            </w:r>
            <w:r w:rsidR="00F92F87" w:rsidRPr="00CA1B89">
              <w:rPr>
                <w:rFonts w:cs="Arial"/>
              </w:rPr>
              <w:t>case</w:t>
            </w:r>
            <w:r w:rsidR="00877272" w:rsidRPr="00CA1B89">
              <w:rPr>
                <w:rFonts w:cs="Arial"/>
              </w:rPr>
              <w:t> </w:t>
            </w:r>
            <w:r w:rsidR="00AB3592" w:rsidRPr="00CA1B89">
              <w:rPr>
                <w:rFonts w:cs="Arial"/>
              </w:rPr>
              <w:t xml:space="preserve">1) </w:t>
            </w:r>
            <w:r w:rsidRPr="00CA1B89">
              <w:rPr>
                <w:rFonts w:cs="Arial"/>
              </w:rPr>
              <w:t>in</w:t>
            </w:r>
            <w:r w:rsidRPr="00CA1B89">
              <w:rPr>
                <w:rFonts w:cs="Arial"/>
                <w:i/>
                <w:iCs/>
              </w:rPr>
              <w:t xml:space="preserve"> </w:t>
            </w:r>
            <w:r w:rsidR="00751741" w:rsidRPr="00CA1B89">
              <w:rPr>
                <w:rFonts w:cs="Arial"/>
              </w:rPr>
              <w:t>year</w:t>
            </w:r>
            <w:r w:rsidR="00751741" w:rsidRPr="00CA1B89">
              <w:rPr>
                <w:rFonts w:cs="Arial"/>
                <w:i/>
                <w:iCs/>
              </w:rPr>
              <w:t> y</w:t>
            </w:r>
          </w:p>
        </w:tc>
      </w:tr>
      <w:tr w:rsidR="001A649A" w:rsidRPr="00CE059C" w14:paraId="0028A115" w14:textId="77777777" w:rsidTr="00AA14AB">
        <w:trPr>
          <w:trHeight w:val="300"/>
        </w:trPr>
        <w:tc>
          <w:tcPr>
            <w:cnfStyle w:val="001000000000" w:firstRow="0" w:lastRow="0" w:firstColumn="1" w:lastColumn="0" w:oddVBand="0" w:evenVBand="0" w:oddHBand="0" w:evenHBand="0" w:firstRowFirstColumn="0" w:firstRowLastColumn="0" w:lastRowFirstColumn="0" w:lastRowLastColumn="0"/>
            <w:tcW w:w="1336" w:type="dxa"/>
          </w:tcPr>
          <w:p w14:paraId="33A7A187" w14:textId="50AA430C" w:rsidR="001A649A" w:rsidRPr="001912A5" w:rsidRDefault="003F6646" w:rsidP="00743A0D">
            <w:pPr>
              <w:pStyle w:val="SDMTableBoxParaNotNumbered"/>
              <w:rPr>
                <w:rFonts w:cs="Arial"/>
                <w:b w:val="0"/>
              </w:rPr>
            </w:pPr>
            <m:oMathPara>
              <m:oMathParaPr>
                <m:jc m:val="left"/>
              </m:oMathParaPr>
              <m:oMath>
                <m:sSub>
                  <m:sSubPr>
                    <m:ctrlPr>
                      <w:rPr>
                        <w:rFonts w:ascii="Cambria Math" w:hAnsi="Cambria Math" w:cs="Arial"/>
                        <w:b w:val="0"/>
                        <w:bCs/>
                        <w:i/>
                        <w:iCs/>
                      </w:rPr>
                    </m:ctrlPr>
                  </m:sSubPr>
                  <m:e>
                    <m:r>
                      <m:rPr>
                        <m:sty m:val="bi"/>
                      </m:rPr>
                      <w:rPr>
                        <w:rFonts w:ascii="Cambria Math" w:hAnsi="Cambria Math" w:cs="Arial"/>
                      </w:rPr>
                      <m:t>EF</m:t>
                    </m:r>
                  </m:e>
                  <m:sub>
                    <m:r>
                      <m:rPr>
                        <m:sty m:val="bi"/>
                      </m:rPr>
                      <w:rPr>
                        <w:rFonts w:ascii="Cambria Math" w:hAnsi="Cambria Math" w:cs="Arial"/>
                      </w:rPr>
                      <m:t>EG/C,BL,s,h</m:t>
                    </m:r>
                  </m:sub>
                </m:sSub>
              </m:oMath>
            </m:oMathPara>
          </w:p>
        </w:tc>
        <w:tc>
          <w:tcPr>
            <w:tcW w:w="1602" w:type="dxa"/>
          </w:tcPr>
          <w:p w14:paraId="40EC82F9" w14:textId="78998FF9" w:rsidR="001A649A" w:rsidRPr="00CE059C" w:rsidRDefault="001A649A" w:rsidP="00743A0D">
            <w:pPr>
              <w:pStyle w:val="SDMTableBoxParaNotNumbered"/>
              <w:cnfStyle w:val="000000000000" w:firstRow="0" w:lastRow="0" w:firstColumn="0" w:lastColumn="0" w:oddVBand="0" w:evenVBand="0" w:oddHBand="0" w:evenHBand="0" w:firstRowFirstColumn="0" w:firstRowLastColumn="0" w:lastRowFirstColumn="0" w:lastRowLastColumn="0"/>
              <w:rPr>
                <w:rFonts w:cs="Arial"/>
              </w:rPr>
            </w:pPr>
            <w:r w:rsidRPr="00CE059C">
              <w:rPr>
                <w:rFonts w:cs="Arial"/>
              </w:rPr>
              <w:t>t CO</w:t>
            </w:r>
            <w:r w:rsidRPr="00CE059C">
              <w:rPr>
                <w:rFonts w:cs="Arial"/>
                <w:vertAlign w:val="subscript"/>
              </w:rPr>
              <w:t>2</w:t>
            </w:r>
            <w:r w:rsidRPr="00CE059C">
              <w:rPr>
                <w:rFonts w:cs="Arial"/>
              </w:rPr>
              <w:t>/MWh</w:t>
            </w:r>
          </w:p>
        </w:tc>
        <w:tc>
          <w:tcPr>
            <w:tcW w:w="5591" w:type="dxa"/>
          </w:tcPr>
          <w:p w14:paraId="4C695682" w14:textId="3C3ECF11" w:rsidR="001A649A" w:rsidRPr="00CE059C" w:rsidRDefault="001A649A" w:rsidP="00743A0D">
            <w:pPr>
              <w:pStyle w:val="SDMTableBoxParaNotNumbered"/>
              <w:cnfStyle w:val="000000000000" w:firstRow="0" w:lastRow="0" w:firstColumn="0" w:lastColumn="0" w:oddVBand="0" w:evenVBand="0" w:oddHBand="0" w:evenHBand="0" w:firstRowFirstColumn="0" w:firstRowLastColumn="0" w:lastRowFirstColumn="0" w:lastRowLastColumn="0"/>
              <w:rPr>
                <w:rFonts w:cs="Arial"/>
              </w:rPr>
            </w:pPr>
            <w:r w:rsidRPr="00CE059C">
              <w:rPr>
                <w:rFonts w:cs="Arial"/>
              </w:rPr>
              <w:t>Emission factor for electricity generation or consumption by electricity generation or consumption source </w:t>
            </w:r>
            <w:r w:rsidRPr="00CE059C">
              <w:rPr>
                <w:rFonts w:cs="Arial"/>
                <w:i/>
              </w:rPr>
              <w:t>s</w:t>
            </w:r>
            <w:r w:rsidRPr="00CE059C">
              <w:rPr>
                <w:rFonts w:cs="Arial"/>
              </w:rPr>
              <w:t xml:space="preserve"> in the baseline scenario (</w:t>
            </w:r>
            <w:r w:rsidR="00F92F87" w:rsidRPr="00CE059C">
              <w:rPr>
                <w:rFonts w:cs="Arial"/>
              </w:rPr>
              <w:t>case</w:t>
            </w:r>
            <w:r w:rsidR="00877272" w:rsidRPr="00CE059C">
              <w:rPr>
                <w:rFonts w:cs="Arial"/>
              </w:rPr>
              <w:t> </w:t>
            </w:r>
            <w:r w:rsidRPr="00CE059C">
              <w:rPr>
                <w:rFonts w:cs="Arial"/>
              </w:rPr>
              <w:t xml:space="preserve">2) in </w:t>
            </w:r>
            <w:r w:rsidR="00751741" w:rsidRPr="00CE059C">
              <w:rPr>
                <w:rFonts w:cs="Arial"/>
              </w:rPr>
              <w:t>hour </w:t>
            </w:r>
            <w:r w:rsidR="00751741" w:rsidRPr="00CE059C">
              <w:rPr>
                <w:rFonts w:cs="Arial"/>
                <w:i/>
                <w:iCs/>
              </w:rPr>
              <w:t>h</w:t>
            </w:r>
          </w:p>
        </w:tc>
      </w:tr>
      <w:tr w:rsidR="001A649A" w:rsidRPr="00CA1B89" w14:paraId="70E56FBF" w14:textId="77777777" w:rsidTr="00AA14AB">
        <w:trPr>
          <w:trHeight w:val="300"/>
        </w:trPr>
        <w:tc>
          <w:tcPr>
            <w:cnfStyle w:val="001000000000" w:firstRow="0" w:lastRow="0" w:firstColumn="1" w:lastColumn="0" w:oddVBand="0" w:evenVBand="0" w:oddHBand="0" w:evenHBand="0" w:firstRowFirstColumn="0" w:firstRowLastColumn="0" w:lastRowFirstColumn="0" w:lastRowLastColumn="0"/>
            <w:tcW w:w="1336" w:type="dxa"/>
          </w:tcPr>
          <w:p w14:paraId="31B84CAA" w14:textId="2B4DD9DC" w:rsidR="001A649A" w:rsidRPr="00CA1B89" w:rsidRDefault="003F6646" w:rsidP="00743A0D">
            <w:pPr>
              <w:pStyle w:val="SDMTableBoxParaNotNumbered"/>
              <w:rPr>
                <w:rFonts w:cs="Arial"/>
                <w:b w:val="0"/>
                <w:bCs/>
              </w:rPr>
            </w:pPr>
            <m:oMathPara>
              <m:oMath>
                <m:sSub>
                  <m:sSubPr>
                    <m:ctrlPr>
                      <w:rPr>
                        <w:rFonts w:ascii="Cambria Math" w:hAnsi="Cambria Math" w:cs="Arial"/>
                        <w:b w:val="0"/>
                        <w:bCs/>
                        <w:i/>
                        <w:iCs/>
                      </w:rPr>
                    </m:ctrlPr>
                  </m:sSubPr>
                  <m:e>
                    <m:r>
                      <m:rPr>
                        <m:sty m:val="bi"/>
                      </m:rPr>
                      <w:rPr>
                        <w:rFonts w:ascii="Cambria Math" w:hAnsi="Cambria Math" w:cs="Arial"/>
                      </w:rPr>
                      <m:t>EF</m:t>
                    </m:r>
                  </m:e>
                  <m:sub>
                    <m:r>
                      <m:rPr>
                        <m:sty m:val="bi"/>
                      </m:rPr>
                      <w:rPr>
                        <w:rFonts w:ascii="Cambria Math" w:hAnsi="Cambria Math" w:cs="Arial"/>
                      </w:rPr>
                      <m:t>EG/C,PJ,s,h</m:t>
                    </m:r>
                  </m:sub>
                </m:sSub>
              </m:oMath>
            </m:oMathPara>
          </w:p>
        </w:tc>
        <w:tc>
          <w:tcPr>
            <w:tcW w:w="1602" w:type="dxa"/>
          </w:tcPr>
          <w:p w14:paraId="0661EBC8" w14:textId="3CDB1025" w:rsidR="001A649A" w:rsidRPr="00CA1B89" w:rsidRDefault="001A649A" w:rsidP="00743A0D">
            <w:pPr>
              <w:pStyle w:val="SDMTableBoxParaNotNumbered"/>
              <w:cnfStyle w:val="000000000000" w:firstRow="0" w:lastRow="0" w:firstColumn="0" w:lastColumn="0" w:oddVBand="0" w:evenVBand="0" w:oddHBand="0" w:evenHBand="0" w:firstRowFirstColumn="0" w:firstRowLastColumn="0" w:lastRowFirstColumn="0" w:lastRowLastColumn="0"/>
              <w:rPr>
                <w:rFonts w:cs="Arial"/>
              </w:rPr>
            </w:pPr>
            <w:r w:rsidRPr="00CA1B89">
              <w:rPr>
                <w:rFonts w:cs="Arial"/>
              </w:rPr>
              <w:t>t CO</w:t>
            </w:r>
            <w:r w:rsidRPr="00CA1B89">
              <w:rPr>
                <w:rFonts w:cs="Arial"/>
                <w:vertAlign w:val="subscript"/>
              </w:rPr>
              <w:t>2</w:t>
            </w:r>
            <w:r w:rsidRPr="00CA1B89">
              <w:rPr>
                <w:rFonts w:cs="Arial"/>
              </w:rPr>
              <w:t>/MWh</w:t>
            </w:r>
          </w:p>
        </w:tc>
        <w:tc>
          <w:tcPr>
            <w:tcW w:w="5591" w:type="dxa"/>
          </w:tcPr>
          <w:p w14:paraId="759F073C" w14:textId="3FFA549C" w:rsidR="001A649A" w:rsidRPr="00CA1B89" w:rsidRDefault="001A649A" w:rsidP="00743A0D">
            <w:pPr>
              <w:pStyle w:val="SDMTableBoxParaNotNumbered"/>
              <w:cnfStyle w:val="000000000000" w:firstRow="0" w:lastRow="0" w:firstColumn="0" w:lastColumn="0" w:oddVBand="0" w:evenVBand="0" w:oddHBand="0" w:evenHBand="0" w:firstRowFirstColumn="0" w:firstRowLastColumn="0" w:lastRowFirstColumn="0" w:lastRowLastColumn="0"/>
              <w:rPr>
                <w:rFonts w:cs="Arial"/>
              </w:rPr>
            </w:pPr>
            <w:r w:rsidRPr="00CA1B89">
              <w:rPr>
                <w:rFonts w:cs="Arial"/>
              </w:rPr>
              <w:t>Emission factor for electricity generation or consumption by electricity generation or consumption source </w:t>
            </w:r>
            <w:r w:rsidRPr="00CA1B89">
              <w:rPr>
                <w:rFonts w:cs="Arial"/>
                <w:i/>
              </w:rPr>
              <w:t>s</w:t>
            </w:r>
            <w:r w:rsidRPr="00CA1B89">
              <w:rPr>
                <w:rFonts w:cs="Arial"/>
              </w:rPr>
              <w:t xml:space="preserve"> in the </w:t>
            </w:r>
            <w:r w:rsidR="00CE059C" w:rsidRPr="00CA1B89">
              <w:rPr>
                <w:rFonts w:cs="Arial"/>
              </w:rPr>
              <w:t xml:space="preserve">activity scenario </w:t>
            </w:r>
            <w:r w:rsidRPr="00CA1B89">
              <w:rPr>
                <w:rFonts w:cs="Arial"/>
              </w:rPr>
              <w:t>(</w:t>
            </w:r>
            <w:r w:rsidR="00F92F87" w:rsidRPr="00CA1B89">
              <w:rPr>
                <w:rFonts w:cs="Arial"/>
              </w:rPr>
              <w:t>case</w:t>
            </w:r>
            <w:r w:rsidR="00877272" w:rsidRPr="00CA1B89">
              <w:rPr>
                <w:rFonts w:cs="Arial"/>
              </w:rPr>
              <w:t> </w:t>
            </w:r>
            <w:r w:rsidRPr="00CA1B89">
              <w:rPr>
                <w:rFonts w:cs="Arial"/>
              </w:rPr>
              <w:t>1) in</w:t>
            </w:r>
            <w:r w:rsidRPr="00CA1B89">
              <w:rPr>
                <w:rFonts w:cs="Arial"/>
                <w:i/>
              </w:rPr>
              <w:t xml:space="preserve"> </w:t>
            </w:r>
            <w:r w:rsidR="00751741" w:rsidRPr="00CA1B89">
              <w:rPr>
                <w:rFonts w:cs="Arial"/>
              </w:rPr>
              <w:t>hour </w:t>
            </w:r>
            <w:r w:rsidR="00751741" w:rsidRPr="00CA1B89">
              <w:rPr>
                <w:rFonts w:cs="Arial"/>
                <w:i/>
                <w:iCs/>
              </w:rPr>
              <w:t>h</w:t>
            </w:r>
          </w:p>
        </w:tc>
      </w:tr>
    </w:tbl>
    <w:p w14:paraId="2CFCE268" w14:textId="77777777" w:rsidR="00FB671C" w:rsidRPr="00CA1B89" w:rsidRDefault="00FB671C">
      <w:pPr>
        <w:pStyle w:val="SDMHead2"/>
      </w:pPr>
      <w:bookmarkStart w:id="87" w:name="_Toc212389896"/>
      <w:bookmarkStart w:id="88" w:name="_Toc215208590"/>
      <w:bookmarkStart w:id="89" w:name="_Toc215216109"/>
      <w:bookmarkStart w:id="90" w:name="_Toc215222845"/>
      <w:bookmarkStart w:id="91" w:name="_Toc215223033"/>
      <w:bookmarkStart w:id="92" w:name="_Toc215223255"/>
      <w:bookmarkStart w:id="93" w:name="_Toc215574877"/>
      <w:bookmarkStart w:id="94" w:name="_Toc215579091"/>
      <w:bookmarkStart w:id="95" w:name="_Toc215923316"/>
      <w:bookmarkStart w:id="96" w:name="_Toc216093012"/>
      <w:bookmarkStart w:id="97" w:name="_Toc216271741"/>
      <w:bookmarkStart w:id="98" w:name="_Toc216279358"/>
      <w:bookmarkStart w:id="99" w:name="_Toc216283396"/>
      <w:bookmarkStart w:id="100" w:name="_Toc216288014"/>
      <w:bookmarkStart w:id="101" w:name="_Toc219666121"/>
      <w:bookmarkStart w:id="102" w:name="_Toc220001382"/>
      <w:bookmarkStart w:id="103" w:name="_Toc221096405"/>
      <w:bookmarkStart w:id="104" w:name="_Toc221097957"/>
      <w:bookmarkStart w:id="105" w:name="_Toc221116253"/>
      <w:bookmarkStart w:id="106" w:name="_Toc221117269"/>
      <w:bookmarkStart w:id="107" w:name="_Toc222132107"/>
      <w:bookmarkStart w:id="108" w:name="_Toc222494908"/>
      <w:bookmarkStart w:id="109" w:name="_Toc222512424"/>
      <w:bookmarkStart w:id="110" w:name="_Toc222741744"/>
      <w:bookmarkStart w:id="111" w:name="_Toc234853825"/>
      <w:bookmarkStart w:id="112" w:name="_Toc235002263"/>
      <w:bookmarkStart w:id="113" w:name="_Toc235003422"/>
      <w:bookmarkStart w:id="114" w:name="_Toc236154219"/>
      <w:bookmarkStart w:id="115" w:name="_Toc236216596"/>
      <w:bookmarkStart w:id="116" w:name="_Toc240545084"/>
      <w:bookmarkStart w:id="117" w:name="_Toc240545300"/>
      <w:bookmarkStart w:id="118" w:name="_Toc240576882"/>
      <w:r w:rsidRPr="00CA1B89">
        <w:t>Entry into force</w:t>
      </w:r>
      <w:r w:rsidR="005D5433" w:rsidRPr="00CA1B89">
        <w:t xml:space="preserve"> and validity</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p w14:paraId="23A3D136" w14:textId="018CBB4B" w:rsidR="00701B1F" w:rsidRPr="00CA1B89" w:rsidRDefault="00031944" w:rsidP="00184FDB">
      <w:pPr>
        <w:pStyle w:val="SDMPara"/>
      </w:pPr>
      <w:r w:rsidRPr="00CA1B89">
        <w:t xml:space="preserve">This </w:t>
      </w:r>
      <w:r w:rsidR="00F60B0F" w:rsidRPr="00CA1B89">
        <w:t xml:space="preserve">version of the </w:t>
      </w:r>
      <w:r w:rsidR="0018036E" w:rsidRPr="00CA1B89">
        <w:t xml:space="preserve">methodological tool </w:t>
      </w:r>
      <w:r w:rsidRPr="00CA1B89">
        <w:t>enters into force on</w:t>
      </w:r>
      <w:r w:rsidR="002E418E" w:rsidRPr="00CA1B89">
        <w:t xml:space="preserve"> </w:t>
      </w:r>
      <w:r w:rsidR="007010E6" w:rsidRPr="00CA1B89">
        <w:t>9</w:t>
      </w:r>
      <w:r w:rsidR="002F178C" w:rsidRPr="00CA1B89">
        <w:t xml:space="preserve"> </w:t>
      </w:r>
      <w:r w:rsidR="007010E6" w:rsidRPr="00CA1B89">
        <w:t>October</w:t>
      </w:r>
      <w:r w:rsidR="002F178C" w:rsidRPr="00CA1B89">
        <w:t xml:space="preserve"> </w:t>
      </w:r>
      <w:r w:rsidR="007010E6" w:rsidRPr="00CA1B89">
        <w:t>2026</w:t>
      </w:r>
      <w:r w:rsidR="005F58EA" w:rsidRPr="00CA1B89">
        <w:t>.</w:t>
      </w:r>
    </w:p>
    <w:p w14:paraId="4DCB07EB" w14:textId="0EF9DED3" w:rsidR="00FB671C" w:rsidRPr="00CA1B89" w:rsidRDefault="00FB191F" w:rsidP="00184FDB">
      <w:pPr>
        <w:pStyle w:val="SDMPara"/>
      </w:pPr>
      <w:r w:rsidRPr="00CA1B89">
        <w:t xml:space="preserve">This </w:t>
      </w:r>
      <w:r w:rsidR="00F60B0F" w:rsidRPr="00CA1B89">
        <w:t xml:space="preserve">version of the </w:t>
      </w:r>
      <w:r w:rsidRPr="00CA1B89">
        <w:t>methodological tool</w:t>
      </w:r>
      <w:r w:rsidR="00031944" w:rsidRPr="00CA1B89">
        <w:t xml:space="preserve"> </w:t>
      </w:r>
      <w:r w:rsidR="001C6D08" w:rsidRPr="00CA1B89">
        <w:t xml:space="preserve">remains </w:t>
      </w:r>
      <w:r w:rsidR="00031944" w:rsidRPr="00CA1B89">
        <w:t xml:space="preserve">valid for five years, until </w:t>
      </w:r>
      <w:r w:rsidR="00AC4CD5" w:rsidRPr="00CA1B89">
        <w:t>8</w:t>
      </w:r>
      <w:r w:rsidR="005704E1" w:rsidRPr="00CA1B89">
        <w:t xml:space="preserve"> </w:t>
      </w:r>
      <w:r w:rsidR="00AC4CD5" w:rsidRPr="00CA1B89">
        <w:t>October</w:t>
      </w:r>
      <w:r w:rsidR="005704E1" w:rsidRPr="00CA1B89">
        <w:t xml:space="preserve"> </w:t>
      </w:r>
      <w:r w:rsidR="00AC4CD5" w:rsidRPr="00CA1B89">
        <w:t>2031</w:t>
      </w:r>
      <w:r w:rsidR="002E1BF7" w:rsidRPr="00CA1B89">
        <w:t>, unless an earlier date applies if the</w:t>
      </w:r>
      <w:r w:rsidR="0026592A" w:rsidRPr="00CA1B89">
        <w:t xml:space="preserve"> </w:t>
      </w:r>
      <w:r w:rsidR="00031944" w:rsidRPr="00CA1B89">
        <w:t xml:space="preserve">methodological tool </w:t>
      </w:r>
      <w:r w:rsidR="002E1BF7" w:rsidRPr="00CA1B89">
        <w:t>is</w:t>
      </w:r>
      <w:r w:rsidR="001C6D08" w:rsidRPr="00CA1B89">
        <w:t xml:space="preserve"> </w:t>
      </w:r>
      <w:r w:rsidR="00031944" w:rsidRPr="00CA1B89">
        <w:t>revised or withdrawn in accordance with the “</w:t>
      </w:r>
      <w:r w:rsidR="00FA7734" w:rsidRPr="00CA1B89">
        <w:t xml:space="preserve">Procedure: </w:t>
      </w:r>
      <w:r w:rsidR="00031944" w:rsidRPr="00CA1B89">
        <w:t>Development, revision and clarification of methodologies and methodological tools” (A6.4-PROC-METH-001</w:t>
      </w:r>
      <w:r w:rsidR="00513429" w:rsidRPr="00CA1B89">
        <w:t>).</w:t>
      </w:r>
      <w:r w:rsidR="009B336B" w:rsidRPr="00CA1B89">
        <w:rPr>
          <w:rStyle w:val="FootnoteReference"/>
        </w:rPr>
        <w:footnoteReference w:id="3"/>
      </w:r>
    </w:p>
    <w:p w14:paraId="00FBAECC" w14:textId="77777777" w:rsidR="00FB671C" w:rsidRPr="00CA1B89" w:rsidRDefault="00FB671C">
      <w:pPr>
        <w:pStyle w:val="SDMHead1"/>
      </w:pPr>
      <w:bookmarkStart w:id="119" w:name="_Toc478738156"/>
      <w:bookmarkStart w:id="120" w:name="_Toc202965396"/>
      <w:bookmarkStart w:id="121" w:name="_Toc212389897"/>
      <w:bookmarkStart w:id="122" w:name="_Toc215208591"/>
      <w:bookmarkStart w:id="123" w:name="_Toc215216110"/>
      <w:bookmarkStart w:id="124" w:name="_Toc215222846"/>
      <w:bookmarkStart w:id="125" w:name="_Toc215223034"/>
      <w:bookmarkStart w:id="126" w:name="_Toc215223256"/>
      <w:bookmarkStart w:id="127" w:name="_Toc215574878"/>
      <w:bookmarkStart w:id="128" w:name="_Toc215579092"/>
      <w:bookmarkStart w:id="129" w:name="_Toc215923317"/>
      <w:bookmarkStart w:id="130" w:name="_Toc216093013"/>
      <w:bookmarkStart w:id="131" w:name="_Toc216271742"/>
      <w:bookmarkStart w:id="132" w:name="_Toc216279359"/>
      <w:bookmarkStart w:id="133" w:name="_Toc216283397"/>
      <w:bookmarkStart w:id="134" w:name="_Toc216288015"/>
      <w:bookmarkStart w:id="135" w:name="_Toc219666122"/>
      <w:bookmarkStart w:id="136" w:name="_Toc220001383"/>
      <w:bookmarkStart w:id="137" w:name="_Toc221096406"/>
      <w:bookmarkStart w:id="138" w:name="_Toc221097958"/>
      <w:bookmarkStart w:id="139" w:name="_Toc221116254"/>
      <w:bookmarkStart w:id="140" w:name="_Toc221117270"/>
      <w:bookmarkStart w:id="141" w:name="_Toc222132108"/>
      <w:bookmarkStart w:id="142" w:name="_Toc222494909"/>
      <w:bookmarkStart w:id="143" w:name="_Toc222512425"/>
      <w:bookmarkStart w:id="144" w:name="_Toc222741745"/>
      <w:bookmarkStart w:id="145" w:name="_Toc234853826"/>
      <w:bookmarkStart w:id="146" w:name="_Toc235002264"/>
      <w:bookmarkStart w:id="147" w:name="_Toc235003423"/>
      <w:bookmarkStart w:id="148" w:name="_Toc236154220"/>
      <w:bookmarkStart w:id="149" w:name="_Toc236216597"/>
      <w:bookmarkStart w:id="150" w:name="_Toc240545085"/>
      <w:bookmarkStart w:id="151" w:name="_Toc240545301"/>
      <w:bookmarkStart w:id="152" w:name="_Toc240576883"/>
      <w:r w:rsidRPr="00CA1B89">
        <w:t>Definitions</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p>
    <w:p w14:paraId="526D7537" w14:textId="77777777" w:rsidR="00F8655A" w:rsidRPr="00CA1B89" w:rsidRDefault="00F8655A">
      <w:pPr>
        <w:pStyle w:val="SDMHead2"/>
      </w:pPr>
      <w:bookmarkStart w:id="153" w:name="_Toc212389898"/>
      <w:bookmarkStart w:id="154" w:name="_Toc215208592"/>
      <w:bookmarkStart w:id="155" w:name="_Toc215216111"/>
      <w:bookmarkStart w:id="156" w:name="_Toc215222847"/>
      <w:bookmarkStart w:id="157" w:name="_Toc215223035"/>
      <w:bookmarkStart w:id="158" w:name="_Toc215223257"/>
      <w:bookmarkStart w:id="159" w:name="_Toc215574879"/>
      <w:bookmarkStart w:id="160" w:name="_Toc215579093"/>
      <w:bookmarkStart w:id="161" w:name="_Toc215923318"/>
      <w:bookmarkStart w:id="162" w:name="_Toc216093014"/>
      <w:bookmarkStart w:id="163" w:name="_Toc216271743"/>
      <w:bookmarkStart w:id="164" w:name="_Toc216279360"/>
      <w:bookmarkStart w:id="165" w:name="_Toc216283398"/>
      <w:bookmarkStart w:id="166" w:name="_Toc216288016"/>
      <w:bookmarkStart w:id="167" w:name="_Toc219666123"/>
      <w:bookmarkStart w:id="168" w:name="_Toc220001384"/>
      <w:bookmarkStart w:id="169" w:name="_Toc221096407"/>
      <w:bookmarkStart w:id="170" w:name="_Toc221097959"/>
      <w:bookmarkStart w:id="171" w:name="_Toc221116255"/>
      <w:bookmarkStart w:id="172" w:name="_Toc221117271"/>
      <w:bookmarkStart w:id="173" w:name="_Toc222132109"/>
      <w:bookmarkStart w:id="174" w:name="_Toc222494910"/>
      <w:bookmarkStart w:id="175" w:name="_Toc222512426"/>
      <w:bookmarkStart w:id="176" w:name="_Toc222741746"/>
      <w:bookmarkStart w:id="177" w:name="_Toc234853827"/>
      <w:bookmarkStart w:id="178" w:name="_Toc235002265"/>
      <w:bookmarkStart w:id="179" w:name="_Toc235003424"/>
      <w:bookmarkStart w:id="180" w:name="_Toc236154221"/>
      <w:bookmarkStart w:id="181" w:name="_Toc236216598"/>
      <w:bookmarkStart w:id="182" w:name="_Toc240545086"/>
      <w:bookmarkStart w:id="183" w:name="_Toc240545302"/>
      <w:bookmarkStart w:id="184" w:name="_Toc240576884"/>
      <w:r w:rsidRPr="00CA1B89">
        <w:t>General terms</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p>
    <w:p w14:paraId="4C36A628" w14:textId="1B19B5F3" w:rsidR="00E97066" w:rsidRPr="00CA1B89" w:rsidRDefault="00E97066" w:rsidP="00F62D64">
      <w:pPr>
        <w:pStyle w:val="SDMPara"/>
        <w:keepNext/>
      </w:pPr>
      <w:r w:rsidRPr="00CA1B89">
        <w:t xml:space="preserve">The following general terms are applied to </w:t>
      </w:r>
      <w:r w:rsidR="00CE5D0A" w:rsidRPr="00CA1B89">
        <w:t xml:space="preserve">the </w:t>
      </w:r>
      <w:r w:rsidRPr="00CA1B89">
        <w:t>methodological tool:</w:t>
      </w:r>
    </w:p>
    <w:p w14:paraId="67913667" w14:textId="3E1F0675" w:rsidR="00F8655A" w:rsidRPr="00CA1B89" w:rsidRDefault="00F8655A" w:rsidP="00973925">
      <w:pPr>
        <w:pStyle w:val="SDMSubPara1"/>
      </w:pPr>
      <w:r w:rsidRPr="00CA1B89">
        <w:t>"Shall" is used to indicate requirements that must be followed;</w:t>
      </w:r>
    </w:p>
    <w:p w14:paraId="48E10082" w14:textId="48666497" w:rsidR="00F8655A" w:rsidRPr="00CA1B89" w:rsidRDefault="00F8655A" w:rsidP="00A704C1">
      <w:pPr>
        <w:pStyle w:val="SDMSubPara1"/>
      </w:pPr>
      <w:r w:rsidRPr="00CA1B89">
        <w:t>"Should" is used to indicate that, among several options, one course of action is recommended as particularly suitable;</w:t>
      </w:r>
      <w:r w:rsidR="00E30F04" w:rsidRPr="00CA1B89">
        <w:t xml:space="preserve"> and</w:t>
      </w:r>
    </w:p>
    <w:p w14:paraId="7ADD5510" w14:textId="176B0A7E" w:rsidR="00F8655A" w:rsidRPr="00B01EB5" w:rsidRDefault="00F8655A" w:rsidP="00A704C1">
      <w:pPr>
        <w:pStyle w:val="SDMSubPara1"/>
      </w:pPr>
      <w:r w:rsidRPr="00B01EB5">
        <w:t>"May" is used to indicate what is permitted</w:t>
      </w:r>
      <w:r w:rsidR="00491495" w:rsidRPr="00B01EB5">
        <w:t>.</w:t>
      </w:r>
    </w:p>
    <w:p w14:paraId="18153EDA" w14:textId="451B9A56" w:rsidR="00F8655A" w:rsidRPr="00B01EB5" w:rsidRDefault="00E97066">
      <w:pPr>
        <w:pStyle w:val="SDMHead2"/>
      </w:pPr>
      <w:bookmarkStart w:id="185" w:name="_Toc212389899"/>
      <w:bookmarkStart w:id="186" w:name="_Toc215208593"/>
      <w:bookmarkStart w:id="187" w:name="_Toc215216112"/>
      <w:bookmarkStart w:id="188" w:name="_Toc215222848"/>
      <w:bookmarkStart w:id="189" w:name="_Toc215223036"/>
      <w:bookmarkStart w:id="190" w:name="_Toc215223258"/>
      <w:bookmarkStart w:id="191" w:name="_Toc215574880"/>
      <w:bookmarkStart w:id="192" w:name="_Toc215579094"/>
      <w:bookmarkStart w:id="193" w:name="_Toc215923319"/>
      <w:bookmarkStart w:id="194" w:name="_Toc216093015"/>
      <w:bookmarkStart w:id="195" w:name="_Toc216271744"/>
      <w:bookmarkStart w:id="196" w:name="_Toc216279361"/>
      <w:bookmarkStart w:id="197" w:name="_Toc216283399"/>
      <w:bookmarkStart w:id="198" w:name="_Toc216288017"/>
      <w:bookmarkStart w:id="199" w:name="_Toc219666124"/>
      <w:bookmarkStart w:id="200" w:name="_Toc220001385"/>
      <w:bookmarkStart w:id="201" w:name="_Toc221096408"/>
      <w:bookmarkStart w:id="202" w:name="_Toc221097960"/>
      <w:bookmarkStart w:id="203" w:name="_Toc221116256"/>
      <w:bookmarkStart w:id="204" w:name="_Toc221117272"/>
      <w:bookmarkStart w:id="205" w:name="_Toc222132110"/>
      <w:bookmarkStart w:id="206" w:name="_Toc222494911"/>
      <w:bookmarkStart w:id="207" w:name="_Toc222512427"/>
      <w:bookmarkStart w:id="208" w:name="_Toc222741747"/>
      <w:bookmarkStart w:id="209" w:name="_Toc234853828"/>
      <w:bookmarkStart w:id="210" w:name="_Toc235002266"/>
      <w:bookmarkStart w:id="211" w:name="_Toc235003425"/>
      <w:bookmarkStart w:id="212" w:name="_Toc236154222"/>
      <w:bookmarkStart w:id="213" w:name="_Toc236216599"/>
      <w:bookmarkStart w:id="214" w:name="_Toc240545087"/>
      <w:bookmarkStart w:id="215" w:name="_Toc240545303"/>
      <w:bookmarkStart w:id="216" w:name="_Toc240576885"/>
      <w:r w:rsidRPr="00B01EB5">
        <w:t xml:space="preserve">Methodological </w:t>
      </w:r>
      <w:r w:rsidR="00F8655A" w:rsidRPr="00B01EB5">
        <w:t>terms</w:t>
      </w:r>
      <w:r w:rsidR="00A50145" w:rsidRPr="00B01EB5">
        <w:t xml:space="preserve"> and definitions</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p>
    <w:p w14:paraId="0218E460" w14:textId="00B36B60" w:rsidR="00385735" w:rsidRPr="00B01EB5" w:rsidRDefault="00385735" w:rsidP="00F62D64">
      <w:pPr>
        <w:pStyle w:val="SDMPara"/>
        <w:keepNext/>
      </w:pPr>
      <w:r w:rsidRPr="00B01EB5">
        <w:t xml:space="preserve">The following methodological terms and definitions are applied to </w:t>
      </w:r>
      <w:r w:rsidR="00AA0453" w:rsidRPr="00B01EB5">
        <w:t xml:space="preserve">the </w:t>
      </w:r>
      <w:r w:rsidRPr="00B01EB5">
        <w:t>methodological tool:</w:t>
      </w:r>
    </w:p>
    <w:p w14:paraId="0FFDECAD" w14:textId="74C883FC" w:rsidR="005D03EF" w:rsidRPr="00B01EB5" w:rsidRDefault="000B7AA1" w:rsidP="00A704C1">
      <w:pPr>
        <w:pStyle w:val="SDMSubPara1"/>
      </w:pPr>
      <w:r w:rsidRPr="00611017">
        <w:rPr>
          <w:b/>
          <w:bCs/>
        </w:rPr>
        <w:t>Connected electricity system:</w:t>
      </w:r>
      <w:r w:rsidRPr="00B01EB5">
        <w:t xml:space="preserve"> </w:t>
      </w:r>
      <w:r w:rsidR="009633AE">
        <w:t>A</w:t>
      </w:r>
      <w:r w:rsidR="00567ED9" w:rsidRPr="00B01EB5">
        <w:t xml:space="preserve">n </w:t>
      </w:r>
      <w:r w:rsidRPr="00B01EB5">
        <w:t xml:space="preserve">electricity system that is connected by transmission lines to the </w:t>
      </w:r>
      <w:r w:rsidRPr="00B204A1">
        <w:t>project electricity system</w:t>
      </w:r>
      <w:r w:rsidRPr="00B01EB5">
        <w:t>;</w:t>
      </w:r>
    </w:p>
    <w:p w14:paraId="1B6D6C5D" w14:textId="2E1CE34D" w:rsidR="002F37B7" w:rsidRPr="00B01EB5" w:rsidRDefault="002F37B7" w:rsidP="00A704C1">
      <w:pPr>
        <w:pStyle w:val="SDMSubPara1"/>
      </w:pPr>
      <w:r w:rsidRPr="00B01EB5">
        <w:rPr>
          <w:b/>
          <w:bCs/>
        </w:rPr>
        <w:t>Dispatch area</w:t>
      </w:r>
      <w:r w:rsidRPr="00B01EB5">
        <w:t xml:space="preserve">: </w:t>
      </w:r>
      <w:r w:rsidR="009633AE">
        <w:t>A</w:t>
      </w:r>
      <w:r w:rsidR="00567ED9" w:rsidRPr="00B01EB5">
        <w:t xml:space="preserve">n </w:t>
      </w:r>
      <w:r w:rsidRPr="00B01EB5">
        <w:t>electricity system or a part of the electricity system controlled by a dispatch centre. A</w:t>
      </w:r>
      <w:r w:rsidR="00735544" w:rsidRPr="00B01EB5">
        <w:t>n</w:t>
      </w:r>
      <w:r w:rsidRPr="00B01EB5">
        <w:t xml:space="preserve"> electricity system </w:t>
      </w:r>
      <w:r w:rsidR="000A31F5" w:rsidRPr="00B01EB5">
        <w:t>can</w:t>
      </w:r>
      <w:r w:rsidR="005959FA" w:rsidRPr="00B01EB5">
        <w:t xml:space="preserve"> </w:t>
      </w:r>
      <w:r w:rsidRPr="00B01EB5">
        <w:t xml:space="preserve">be controlled by </w:t>
      </w:r>
      <w:r w:rsidR="004B0CFD" w:rsidRPr="00B01EB5">
        <w:t>several</w:t>
      </w:r>
      <w:r w:rsidRPr="00B01EB5">
        <w:t xml:space="preserve"> dispatch centre</w:t>
      </w:r>
      <w:r w:rsidR="004B0CFD" w:rsidRPr="00B01EB5">
        <w:t>s</w:t>
      </w:r>
      <w:r w:rsidRPr="00B01EB5">
        <w:t xml:space="preserve"> that are organized </w:t>
      </w:r>
      <w:r w:rsidR="00A65759" w:rsidRPr="00B01EB5">
        <w:t xml:space="preserve">as </w:t>
      </w:r>
      <w:r w:rsidRPr="00B01EB5">
        <w:t>layered dispatch area</w:t>
      </w:r>
      <w:r w:rsidR="00A65759" w:rsidRPr="00B01EB5">
        <w:t>s</w:t>
      </w:r>
      <w:r w:rsidRPr="00B01EB5">
        <w:t xml:space="preserve"> or </w:t>
      </w:r>
      <w:r w:rsidR="008F3805" w:rsidRPr="00B01EB5">
        <w:t>by a single dispatch</w:t>
      </w:r>
      <w:r w:rsidR="003C1F14" w:rsidRPr="00B01EB5">
        <w:t xml:space="preserve"> centre</w:t>
      </w:r>
      <w:r w:rsidRPr="00B01EB5">
        <w:t xml:space="preserve">. An example of a layered dispatch area </w:t>
      </w:r>
      <w:r w:rsidR="00FE6CF4" w:rsidRPr="00B01EB5">
        <w:t>is one in which</w:t>
      </w:r>
      <w:r w:rsidRPr="00B01EB5">
        <w:t xml:space="preserve"> regional dispatch centres are required to comply with orders of </w:t>
      </w:r>
      <w:r w:rsidR="003B1F68" w:rsidRPr="00B01EB5">
        <w:t xml:space="preserve">a </w:t>
      </w:r>
      <w:r w:rsidR="00D66C61" w:rsidRPr="00B01EB5">
        <w:t>higher</w:t>
      </w:r>
      <w:r w:rsidR="7C69EA82" w:rsidRPr="00B01EB5">
        <w:t>-</w:t>
      </w:r>
      <w:r w:rsidR="00D66C61" w:rsidRPr="00B01EB5">
        <w:t xml:space="preserve">level </w:t>
      </w:r>
      <w:r w:rsidRPr="00B01EB5">
        <w:t>dispatch centre</w:t>
      </w:r>
      <w:r w:rsidR="00A23D18" w:rsidRPr="00B01EB5">
        <w:t xml:space="preserve"> (e.g.</w:t>
      </w:r>
      <w:r w:rsidR="3D2A5E3F" w:rsidRPr="00B01EB5">
        <w:t>,</w:t>
      </w:r>
      <w:r w:rsidR="00A23D18" w:rsidRPr="00B01EB5">
        <w:t xml:space="preserve"> a national or transboundary dispatch cent</w:t>
      </w:r>
      <w:r w:rsidR="000161F1" w:rsidRPr="00B01EB5">
        <w:t>re</w:t>
      </w:r>
      <w:r w:rsidR="00A23D18" w:rsidRPr="00B01EB5">
        <w:t>)</w:t>
      </w:r>
      <w:r w:rsidR="006E6F8C" w:rsidRPr="00B01EB5">
        <w:t>;</w:t>
      </w:r>
    </w:p>
    <w:p w14:paraId="4FE2E927" w14:textId="2548CD2D" w:rsidR="002F37B7" w:rsidRPr="00B01EB5" w:rsidRDefault="002F37B7" w:rsidP="00A704C1">
      <w:pPr>
        <w:pStyle w:val="SDMSubPara1"/>
      </w:pPr>
      <w:r w:rsidRPr="00B01EB5">
        <w:rPr>
          <w:b/>
          <w:bCs/>
        </w:rPr>
        <w:t>Dispatch centre:</w:t>
      </w:r>
      <w:r w:rsidRPr="00B01EB5">
        <w:t xml:space="preserve"> </w:t>
      </w:r>
      <w:r w:rsidR="009633AE">
        <w:t>A</w:t>
      </w:r>
      <w:r w:rsidR="00567ED9" w:rsidRPr="00B01EB5">
        <w:t xml:space="preserve">n </w:t>
      </w:r>
      <w:r w:rsidRPr="00B01EB5">
        <w:t xml:space="preserve">entity responsible for </w:t>
      </w:r>
      <w:r w:rsidR="00FE6CF4" w:rsidRPr="00B01EB5">
        <w:t>maintaining</w:t>
      </w:r>
      <w:r w:rsidR="009D413B" w:rsidRPr="00B01EB5">
        <w:t xml:space="preserve"> synchronization of the electricity system</w:t>
      </w:r>
      <w:r w:rsidRPr="00B01EB5">
        <w:t xml:space="preserve"> within its dispatch area. The dispatch centre</w:t>
      </w:r>
      <w:r w:rsidR="375627EF" w:rsidRPr="00B01EB5">
        <w:t>’s</w:t>
      </w:r>
      <w:r w:rsidRPr="00B01EB5">
        <w:t xml:space="preserve"> responsibilities include scheduling generation and dispatching electricity from power plants to customers and, where applicable, to connected electricity system(s);</w:t>
      </w:r>
    </w:p>
    <w:p w14:paraId="4F174DF1" w14:textId="20A57E56" w:rsidR="00C04ACD" w:rsidRPr="00B01EB5" w:rsidRDefault="00C04ACD" w:rsidP="00A704C1">
      <w:pPr>
        <w:pStyle w:val="SDMSubPara1"/>
      </w:pPr>
      <w:r w:rsidRPr="00B01EB5">
        <w:rPr>
          <w:b/>
          <w:bCs/>
        </w:rPr>
        <w:t xml:space="preserve">Electricity consumption </w:t>
      </w:r>
      <w:r w:rsidR="00B369A0" w:rsidRPr="00B01EB5">
        <w:rPr>
          <w:b/>
          <w:bCs/>
        </w:rPr>
        <w:t>source</w:t>
      </w:r>
      <w:r w:rsidRPr="00B01EB5">
        <w:rPr>
          <w:b/>
          <w:bCs/>
        </w:rPr>
        <w:t>:</w:t>
      </w:r>
      <w:r w:rsidRPr="00B01EB5">
        <w:t xml:space="preserve"> </w:t>
      </w:r>
      <w:r w:rsidR="009633AE">
        <w:t xml:space="preserve">The </w:t>
      </w:r>
      <w:r w:rsidR="00567ED9" w:rsidRPr="00B01EB5">
        <w:t xml:space="preserve">electric </w:t>
      </w:r>
      <w:r w:rsidRPr="00B01EB5">
        <w:t>equipment (e.g.</w:t>
      </w:r>
      <w:r w:rsidR="709FB2BC" w:rsidRPr="00B01EB5">
        <w:t>,</w:t>
      </w:r>
      <w:r w:rsidRPr="00B01EB5">
        <w:t xml:space="preserve"> pumps, electric motors, blowers, etc</w:t>
      </w:r>
      <w:r w:rsidR="000F0669" w:rsidRPr="00B01EB5">
        <w:t>.</w:t>
      </w:r>
      <w:r w:rsidRPr="00B01EB5">
        <w:t>) and</w:t>
      </w:r>
      <w:r w:rsidR="00E8418E" w:rsidRPr="00B01EB5">
        <w:t>/or</w:t>
      </w:r>
      <w:r w:rsidRPr="00B01EB5">
        <w:t xml:space="preserve"> electric appliances that consume electricity from </w:t>
      </w:r>
      <w:r w:rsidR="00BA1668" w:rsidRPr="00B01EB5">
        <w:t>an</w:t>
      </w:r>
      <w:r w:rsidRPr="00B01EB5">
        <w:t xml:space="preserve"> electric</w:t>
      </w:r>
      <w:r w:rsidR="00BA1668" w:rsidRPr="00B01EB5">
        <w:t>ity</w:t>
      </w:r>
      <w:r w:rsidRPr="00B01EB5">
        <w:t xml:space="preserve"> system </w:t>
      </w:r>
      <w:r w:rsidR="00273FF7" w:rsidRPr="00B01EB5">
        <w:t>and</w:t>
      </w:r>
      <w:r w:rsidR="004E24AF" w:rsidRPr="00B01EB5">
        <w:t>/</w:t>
      </w:r>
      <w:r w:rsidRPr="00B01EB5">
        <w:t>or from captive power plant(s)</w:t>
      </w:r>
      <w:r w:rsidR="00BA1668" w:rsidRPr="00B01EB5">
        <w:t>/unit(s)</w:t>
      </w:r>
      <w:r w:rsidRPr="00B01EB5">
        <w:t>;</w:t>
      </w:r>
    </w:p>
    <w:p w14:paraId="4C15E90C" w14:textId="332CF180" w:rsidR="00B9635E" w:rsidRPr="00B01EB5" w:rsidRDefault="00B9635E" w:rsidP="00A704C1">
      <w:pPr>
        <w:pStyle w:val="SDMSubPara1"/>
      </w:pPr>
      <w:r w:rsidRPr="00B01EB5">
        <w:rPr>
          <w:b/>
          <w:bCs/>
        </w:rPr>
        <w:t>Electricity consumption source depending on intermittent generation:</w:t>
      </w:r>
      <w:r w:rsidRPr="00B01EB5">
        <w:t xml:space="preserve"> </w:t>
      </w:r>
      <w:r w:rsidR="009633AE">
        <w:t>A</w:t>
      </w:r>
      <w:r w:rsidR="00567ED9" w:rsidRPr="00B01EB5">
        <w:t xml:space="preserve">n </w:t>
      </w:r>
      <w:r w:rsidRPr="00B01EB5">
        <w:t xml:space="preserve">electricity consumption source where the pattern of electricity consumption </w:t>
      </w:r>
      <w:r w:rsidR="00234F98" w:rsidRPr="00B01EB5">
        <w:t xml:space="preserve">from the electricity system or a third party </w:t>
      </w:r>
      <w:r w:rsidRPr="00B01EB5">
        <w:t>depends on the availability of intermittent electricity supply</w:t>
      </w:r>
      <w:r w:rsidR="00CD7E9D" w:rsidRPr="00B01EB5">
        <w:t>;</w:t>
      </w:r>
      <w:r w:rsidR="009B336B">
        <w:rPr>
          <w:rStyle w:val="FootnoteReference"/>
        </w:rPr>
        <w:footnoteReference w:id="4"/>
      </w:r>
    </w:p>
    <w:p w14:paraId="7F9A4AAC" w14:textId="6EEADEF0" w:rsidR="00C04ACD" w:rsidRPr="00CA1B89" w:rsidRDefault="00C04ACD" w:rsidP="00A704C1">
      <w:pPr>
        <w:pStyle w:val="SDMSubPara1"/>
      </w:pPr>
      <w:r w:rsidRPr="00B01EB5">
        <w:rPr>
          <w:b/>
          <w:bCs/>
        </w:rPr>
        <w:t xml:space="preserve">Electricity generation </w:t>
      </w:r>
      <w:r w:rsidR="005F4D33" w:rsidRPr="00B01EB5">
        <w:rPr>
          <w:b/>
          <w:bCs/>
        </w:rPr>
        <w:t>source</w:t>
      </w:r>
      <w:r w:rsidRPr="00B01EB5">
        <w:rPr>
          <w:b/>
          <w:bCs/>
        </w:rPr>
        <w:t>:</w:t>
      </w:r>
      <w:r w:rsidRPr="00B01EB5">
        <w:t xml:space="preserve"> </w:t>
      </w:r>
      <w:r w:rsidR="009633AE">
        <w:t xml:space="preserve">The </w:t>
      </w:r>
      <w:r w:rsidR="00567ED9" w:rsidRPr="00B01EB5">
        <w:t xml:space="preserve">power </w:t>
      </w:r>
      <w:r w:rsidRPr="00B01EB5">
        <w:t>plant</w:t>
      </w:r>
      <w:r w:rsidR="00A406D5" w:rsidRPr="00B01EB5">
        <w:t xml:space="preserve">(s)/unit(s) that are </w:t>
      </w:r>
      <w:r w:rsidR="00A20E79" w:rsidRPr="00B01EB5">
        <w:t xml:space="preserve">connected to </w:t>
      </w:r>
      <w:r w:rsidR="00FD7F9F" w:rsidRPr="00CA1B89">
        <w:t>an</w:t>
      </w:r>
      <w:r w:rsidR="00A20E79" w:rsidRPr="00CA1B89">
        <w:t xml:space="preserve"> electric</w:t>
      </w:r>
      <w:r w:rsidR="00FD7F9F" w:rsidRPr="00CA1B89">
        <w:t>ity</w:t>
      </w:r>
      <w:r w:rsidR="00A20E79" w:rsidRPr="00CA1B89">
        <w:t xml:space="preserve"> system</w:t>
      </w:r>
      <w:r w:rsidR="00FD7F9F" w:rsidRPr="00CA1B89">
        <w:t xml:space="preserve"> or operate as captive power plant(s)/unit(s)</w:t>
      </w:r>
      <w:r w:rsidR="00A20E79" w:rsidRPr="00CA1B89">
        <w:t xml:space="preserve"> </w:t>
      </w:r>
      <w:r w:rsidRPr="00CA1B89">
        <w:t xml:space="preserve">in the baseline or in the </w:t>
      </w:r>
      <w:r w:rsidR="00CE059C" w:rsidRPr="00CA1B89">
        <w:t>activity scenarios</w:t>
      </w:r>
      <w:r w:rsidRPr="00CA1B89">
        <w:t>;</w:t>
      </w:r>
    </w:p>
    <w:p w14:paraId="5D2F961A" w14:textId="5E399470" w:rsidR="00BF569A" w:rsidRPr="00CA1B89" w:rsidRDefault="006025F5" w:rsidP="00A704C1">
      <w:pPr>
        <w:pStyle w:val="SDMSubPara1"/>
      </w:pPr>
      <w:r w:rsidRPr="00CA1B89">
        <w:rPr>
          <w:b/>
        </w:rPr>
        <w:t>Intermittent</w:t>
      </w:r>
      <w:r w:rsidRPr="00CA1B89">
        <w:rPr>
          <w:b/>
          <w:bCs/>
        </w:rPr>
        <w:t xml:space="preserve"> </w:t>
      </w:r>
      <w:r w:rsidR="00F44EC8" w:rsidRPr="00CA1B89">
        <w:rPr>
          <w:b/>
          <w:bCs/>
        </w:rPr>
        <w:t>electricity generation</w:t>
      </w:r>
      <w:r w:rsidRPr="00CA1B89">
        <w:rPr>
          <w:b/>
          <w:bCs/>
        </w:rPr>
        <w:t xml:space="preserve"> source</w:t>
      </w:r>
      <w:r w:rsidR="00BF569A" w:rsidRPr="00CA1B89">
        <w:rPr>
          <w:b/>
          <w:bCs/>
        </w:rPr>
        <w:t>:</w:t>
      </w:r>
      <w:r w:rsidR="00BF569A" w:rsidRPr="00CA1B89">
        <w:t xml:space="preserve"> </w:t>
      </w:r>
      <w:r w:rsidR="009633AE" w:rsidRPr="00CA1B89">
        <w:t xml:space="preserve">A </w:t>
      </w:r>
      <w:r w:rsidRPr="00CA1B89">
        <w:t xml:space="preserve">renewable energy power plant/unit </w:t>
      </w:r>
      <w:r w:rsidR="008616CD" w:rsidRPr="00CA1B89">
        <w:t xml:space="preserve">where the pattern of electricity generation depends on natural, uncontrollable, and variable inputs such as sunlight, wind, </w:t>
      </w:r>
      <w:r w:rsidR="00504985" w:rsidRPr="00CA1B89">
        <w:t xml:space="preserve">tides, </w:t>
      </w:r>
      <w:r w:rsidR="008616CD" w:rsidRPr="00CA1B89">
        <w:t xml:space="preserve">or wave action. </w:t>
      </w:r>
      <w:r w:rsidR="00CB2408" w:rsidRPr="00CA1B89">
        <w:t>T</w:t>
      </w:r>
      <w:r w:rsidR="008616CD" w:rsidRPr="00CA1B89">
        <w:t xml:space="preserve">his </w:t>
      </w:r>
      <w:r w:rsidR="2F7FF669" w:rsidRPr="00CA1B89">
        <w:t>typically</w:t>
      </w:r>
      <w:r w:rsidR="008616CD" w:rsidRPr="00CA1B89">
        <w:t xml:space="preserve"> applies to wind</w:t>
      </w:r>
      <w:r w:rsidR="7A1A1C08" w:rsidRPr="00CA1B89">
        <w:t>,</w:t>
      </w:r>
      <w:r w:rsidR="008616CD" w:rsidRPr="00CA1B89">
        <w:t xml:space="preserve"> solar</w:t>
      </w:r>
      <w:r w:rsidR="00776E2C" w:rsidRPr="00CA1B89">
        <w:t>, tidal</w:t>
      </w:r>
      <w:r w:rsidR="008514C1" w:rsidRPr="00CA1B89">
        <w:t>,</w:t>
      </w:r>
      <w:r w:rsidR="008616CD" w:rsidRPr="00CA1B89">
        <w:t xml:space="preserve"> </w:t>
      </w:r>
      <w:r w:rsidR="383195F1" w:rsidRPr="00CA1B89">
        <w:t xml:space="preserve">and wave </w:t>
      </w:r>
      <w:r w:rsidR="008616CD" w:rsidRPr="00CA1B89">
        <w:t>power plants</w:t>
      </w:r>
      <w:r w:rsidR="09716DCB" w:rsidRPr="00CA1B89">
        <w:t>, etc</w:t>
      </w:r>
      <w:r w:rsidR="008616CD" w:rsidRPr="00CA1B89">
        <w:t>.;</w:t>
      </w:r>
    </w:p>
    <w:p w14:paraId="07364108" w14:textId="62007DD4" w:rsidR="002F2563" w:rsidRPr="00CA1B89" w:rsidRDefault="002F2563" w:rsidP="00A704C1">
      <w:pPr>
        <w:pStyle w:val="SDMSubPara1"/>
      </w:pPr>
      <w:r w:rsidRPr="00CA1B89">
        <w:rPr>
          <w:b/>
          <w:bCs/>
        </w:rPr>
        <w:t>Must-run power plant/unit:</w:t>
      </w:r>
      <w:r w:rsidRPr="00CA1B89">
        <w:t xml:space="preserve"> </w:t>
      </w:r>
      <w:r w:rsidR="009633AE" w:rsidRPr="00CA1B89">
        <w:t xml:space="preserve">A </w:t>
      </w:r>
      <w:r w:rsidRPr="00CA1B89">
        <w:t>power plant/unit</w:t>
      </w:r>
      <w:r w:rsidRPr="00CA1B89" w:rsidDel="0075072B">
        <w:t xml:space="preserve"> </w:t>
      </w:r>
      <w:r w:rsidRPr="00CA1B89">
        <w:t>dispatched independently of the daily or seasonal electricity consumption load and the operation of intermittent electricity generation sources in the electricity system (e.g., because the plant has low marginal electricity generation costs);</w:t>
      </w:r>
    </w:p>
    <w:p w14:paraId="1910EB76" w14:textId="238DC22F" w:rsidR="00F759B1" w:rsidRPr="00CA1B89" w:rsidRDefault="002F2563" w:rsidP="00A704C1">
      <w:pPr>
        <w:pStyle w:val="SDMSubPara1"/>
      </w:pPr>
      <w:r w:rsidRPr="00CA1B89">
        <w:rPr>
          <w:b/>
          <w:bCs/>
        </w:rPr>
        <w:t>Net electricity generation:</w:t>
      </w:r>
      <w:r w:rsidRPr="00CA1B89">
        <w:t xml:space="preserve"> </w:t>
      </w:r>
      <w:r w:rsidR="009633AE" w:rsidRPr="00CA1B89">
        <w:t>T</w:t>
      </w:r>
      <w:r w:rsidR="00567ED9" w:rsidRPr="00CA1B89">
        <w:t xml:space="preserve">he </w:t>
      </w:r>
      <w:r w:rsidRPr="00CA1B89">
        <w:t>difference between the total quantity of electricity generated by a power plant/unit and the auxiliary electricity consumption (also known as parasitic load) of the power plant/unit (e.g., for pumps, fans, control systems, etc.)</w:t>
      </w:r>
      <w:r w:rsidR="00451F27" w:rsidRPr="00CA1B89">
        <w:t>;</w:t>
      </w:r>
    </w:p>
    <w:p w14:paraId="059E59C3" w14:textId="05BC760A" w:rsidR="00814B71" w:rsidRPr="00CA1B89" w:rsidRDefault="64A45B41" w:rsidP="00A704C1">
      <w:pPr>
        <w:pStyle w:val="SDMSubPara1"/>
      </w:pPr>
      <w:r w:rsidRPr="00CA1B89">
        <w:rPr>
          <w:b/>
          <w:bCs/>
        </w:rPr>
        <w:t>Non-intermittent electricity generation source:</w:t>
      </w:r>
      <w:r w:rsidRPr="00CA1B89">
        <w:t xml:space="preserve"> </w:t>
      </w:r>
      <w:r w:rsidR="009633AE" w:rsidRPr="00CA1B89">
        <w:t xml:space="preserve">An </w:t>
      </w:r>
      <w:r w:rsidRPr="00CA1B89">
        <w:t>electricity generation source where electricity generation can be ramped up or down by the operators of the power plant, regardless of external conditions such as sunlight, wind, or wave action</w:t>
      </w:r>
      <w:r w:rsidR="00814B71" w:rsidRPr="00CA1B89">
        <w:t>;</w:t>
      </w:r>
    </w:p>
    <w:p w14:paraId="66978313" w14:textId="392CED7B" w:rsidR="00C279CF" w:rsidRPr="00CA1B89" w:rsidRDefault="00C279CF" w:rsidP="00A704C1">
      <w:pPr>
        <w:pStyle w:val="SDMSubPara1"/>
      </w:pPr>
      <w:r w:rsidRPr="00CA1B89">
        <w:rPr>
          <w:b/>
          <w:bCs/>
        </w:rPr>
        <w:t>Power plant/unit:</w:t>
      </w:r>
      <w:r w:rsidR="00567ED9" w:rsidRPr="00CA1B89" w:rsidDel="009633AE">
        <w:t xml:space="preserve"> </w:t>
      </w:r>
      <w:r w:rsidR="009633AE" w:rsidRPr="00CA1B89">
        <w:t>A</w:t>
      </w:r>
      <w:r w:rsidR="00567ED9" w:rsidRPr="00CA1B89">
        <w:t xml:space="preserve"> </w:t>
      </w:r>
      <w:r w:rsidRPr="00CA1B89">
        <w:t>facility that generates electric power. Several power units at one site comprise one power plant, whereas a power unit is characterized by the fact that it can operate independently from other power units at the same site. Where several identical power units (</w:t>
      </w:r>
      <w:r w:rsidR="001F289D" w:rsidRPr="00CA1B89">
        <w:t>i.e.,</w:t>
      </w:r>
      <w:r w:rsidRPr="00CA1B89">
        <w:t xml:space="preserve"> with the same capacity, age and efficiency) are installed at one site, they may be considered as </w:t>
      </w:r>
      <w:r w:rsidR="00A14EEF" w:rsidRPr="00CA1B89">
        <w:t xml:space="preserve">a </w:t>
      </w:r>
      <w:r w:rsidRPr="00CA1B89">
        <w:t>single power unit;</w:t>
      </w:r>
    </w:p>
    <w:p w14:paraId="5D8C6683" w14:textId="43779BEE" w:rsidR="002008A9" w:rsidRPr="00B01EB5" w:rsidRDefault="002008A9" w:rsidP="00593771">
      <w:pPr>
        <w:pStyle w:val="SDMSubPara1"/>
      </w:pPr>
      <w:r w:rsidRPr="00CA1B89">
        <w:rPr>
          <w:b/>
        </w:rPr>
        <w:t>Project electric</w:t>
      </w:r>
      <w:r w:rsidR="00BF408E" w:rsidRPr="00CA1B89">
        <w:rPr>
          <w:b/>
        </w:rPr>
        <w:t>ity</w:t>
      </w:r>
      <w:r w:rsidRPr="00CA1B89">
        <w:rPr>
          <w:b/>
        </w:rPr>
        <w:t xml:space="preserve"> system</w:t>
      </w:r>
      <w:r w:rsidRPr="00CA1B89">
        <w:rPr>
          <w:b/>
          <w:bCs/>
        </w:rPr>
        <w:t>:</w:t>
      </w:r>
      <w:r w:rsidRPr="00CA1B89">
        <w:t xml:space="preserve"> </w:t>
      </w:r>
      <w:r w:rsidR="009633AE" w:rsidRPr="00CA1B89">
        <w:t>T</w:t>
      </w:r>
      <w:r w:rsidR="00567ED9" w:rsidRPr="00CA1B89">
        <w:t xml:space="preserve">he </w:t>
      </w:r>
      <w:r w:rsidRPr="00CA1B89">
        <w:t xml:space="preserve">spatial extent of the power plants </w:t>
      </w:r>
      <w:r w:rsidR="00B354AD" w:rsidRPr="00CA1B89">
        <w:t xml:space="preserve">and electricity </w:t>
      </w:r>
      <w:r w:rsidR="00DB60F7" w:rsidRPr="00CA1B89">
        <w:t xml:space="preserve">end-users </w:t>
      </w:r>
      <w:r w:rsidRPr="00CA1B89">
        <w:t xml:space="preserve">that are physically connected through </w:t>
      </w:r>
      <w:r w:rsidR="00CA0773" w:rsidRPr="00CA1B89">
        <w:t xml:space="preserve">transmission and </w:t>
      </w:r>
      <w:r w:rsidRPr="00CA1B89">
        <w:t xml:space="preserve">distribution lines </w:t>
      </w:r>
      <w:r w:rsidR="0077542E" w:rsidRPr="00CA1B89">
        <w:t xml:space="preserve">with </w:t>
      </w:r>
      <w:r w:rsidRPr="00CA1B89">
        <w:t xml:space="preserve">the </w:t>
      </w:r>
      <w:r w:rsidR="00E17EBC" w:rsidRPr="00CA1B89">
        <w:t xml:space="preserve">Article 6.4 </w:t>
      </w:r>
      <w:r w:rsidR="00974484" w:rsidRPr="00CA1B89">
        <w:t xml:space="preserve">project </w:t>
      </w:r>
      <w:r w:rsidR="006B5C3C" w:rsidRPr="00CA1B89">
        <w:t xml:space="preserve">or </w:t>
      </w:r>
      <w:r w:rsidR="00593771" w:rsidRPr="00CA1B89">
        <w:t>CP</w:t>
      </w:r>
      <w:r w:rsidR="00A11D22" w:rsidRPr="00CA1B89">
        <w:t xml:space="preserve"> </w:t>
      </w:r>
      <w:r w:rsidRPr="00CA1B89">
        <w:t>(e</w:t>
      </w:r>
      <w:r w:rsidRPr="00B01EB5">
        <w:t>.g.</w:t>
      </w:r>
      <w:r w:rsidR="58DC6F9A" w:rsidRPr="00B01EB5">
        <w:t>,</w:t>
      </w:r>
      <w:r w:rsidRPr="00B01EB5">
        <w:t xml:space="preserve"> </w:t>
      </w:r>
      <w:r w:rsidR="0077542E" w:rsidRPr="00B01EB5">
        <w:t xml:space="preserve">a </w:t>
      </w:r>
      <w:r w:rsidRPr="00B01EB5">
        <w:t xml:space="preserve">renewable power plant or the consumers </w:t>
      </w:r>
      <w:r w:rsidR="00B52D3A" w:rsidRPr="00B01EB5">
        <w:t>that are either being served with or saving electricity</w:t>
      </w:r>
      <w:r w:rsidRPr="00B01EB5">
        <w:t xml:space="preserve">) and that are covered by either </w:t>
      </w:r>
      <w:r w:rsidR="005D296A" w:rsidRPr="00B01EB5">
        <w:t xml:space="preserve">a </w:t>
      </w:r>
      <w:r w:rsidRPr="00B01EB5">
        <w:t xml:space="preserve">single or </w:t>
      </w:r>
      <w:r w:rsidR="005D296A" w:rsidRPr="00B01EB5">
        <w:t xml:space="preserve">a </w:t>
      </w:r>
      <w:r w:rsidRPr="00B01EB5">
        <w:t>layered dispatch area;</w:t>
      </w:r>
    </w:p>
    <w:p w14:paraId="6E459E08" w14:textId="2A3F1C8B" w:rsidR="00C93B2F" w:rsidRPr="00B01EB5" w:rsidRDefault="00C93B2F" w:rsidP="00A704C1">
      <w:pPr>
        <w:pStyle w:val="SDMSubPara1"/>
      </w:pPr>
      <w:r w:rsidRPr="00B01EB5">
        <w:rPr>
          <w:b/>
          <w:bCs/>
        </w:rPr>
        <w:t>Top-level dispatch centre:</w:t>
      </w:r>
      <w:r w:rsidRPr="00B01EB5">
        <w:t xml:space="preserve"> </w:t>
      </w:r>
      <w:r w:rsidR="009633AE">
        <w:t>T</w:t>
      </w:r>
      <w:r w:rsidR="00567ED9" w:rsidRPr="00B01EB5">
        <w:t xml:space="preserve">he </w:t>
      </w:r>
      <w:r w:rsidRPr="00B01EB5">
        <w:t>dispatch centre that is at the highest level within a layered dispatch area or the single dispatch centre in a situation without a layered dispatch area</w:t>
      </w:r>
      <w:r w:rsidR="008D5F8B" w:rsidRPr="00B01EB5">
        <w:t>;</w:t>
      </w:r>
      <w:r w:rsidR="00567ED9" w:rsidRPr="00B01EB5">
        <w:t xml:space="preserve"> and</w:t>
      </w:r>
    </w:p>
    <w:p w14:paraId="7FCC8F11" w14:textId="0253F6E9" w:rsidR="00634BB3" w:rsidRPr="00B01EB5" w:rsidRDefault="008616CD" w:rsidP="00A704C1">
      <w:pPr>
        <w:pStyle w:val="SDMSubPara1"/>
      </w:pPr>
      <w:r w:rsidRPr="00B01EB5">
        <w:rPr>
          <w:b/>
          <w:bCs/>
        </w:rPr>
        <w:t>Transmission and distribution losses:</w:t>
      </w:r>
      <w:r w:rsidRPr="00B01EB5">
        <w:t xml:space="preserve"> </w:t>
      </w:r>
      <w:r w:rsidR="003554B0">
        <w:t>T</w:t>
      </w:r>
      <w:r w:rsidR="00567ED9" w:rsidRPr="00B01EB5">
        <w:t xml:space="preserve">he </w:t>
      </w:r>
      <w:r w:rsidR="00041CDC" w:rsidRPr="00B01EB5">
        <w:t>fraction of electrical energy lost during the transmission and distribution of electricity from power plants to end-users</w:t>
      </w:r>
      <w:r w:rsidR="00273524" w:rsidRPr="00B01EB5">
        <w:t>.</w:t>
      </w:r>
    </w:p>
    <w:p w14:paraId="65996A3F" w14:textId="5EA5C98F" w:rsidR="00056300" w:rsidRPr="00780E96" w:rsidRDefault="00056300" w:rsidP="00184FDB">
      <w:pPr>
        <w:pStyle w:val="SDMPara"/>
      </w:pPr>
      <w:r w:rsidRPr="00B01EB5">
        <w:t xml:space="preserve">Further definitions from the </w:t>
      </w:r>
      <w:r w:rsidR="005579DA" w:rsidRPr="00B01EB5">
        <w:t>“</w:t>
      </w:r>
      <w:r w:rsidR="00E50715">
        <w:t xml:space="preserve">Glossary: </w:t>
      </w:r>
      <w:r w:rsidRPr="00B01EB5">
        <w:t xml:space="preserve">Article 6.4 </w:t>
      </w:r>
      <w:r w:rsidR="00495EAA">
        <w:t>mechanism terms</w:t>
      </w:r>
      <w:r w:rsidR="005579DA" w:rsidRPr="00B01EB5">
        <w:t>”</w:t>
      </w:r>
      <w:r w:rsidR="00663B8A">
        <w:t xml:space="preserve"> </w:t>
      </w:r>
      <w:r w:rsidR="001C620D" w:rsidRPr="00780E96">
        <w:rPr>
          <w:lang w:eastAsia="ja-JP"/>
        </w:rPr>
        <w:t>(A6.4</w:t>
      </w:r>
      <w:r w:rsidR="001C620D" w:rsidRPr="00780E96">
        <w:rPr>
          <w:lang w:eastAsia="ja-JP"/>
        </w:rPr>
        <w:noBreakHyphen/>
        <w:t>GLOS</w:t>
      </w:r>
      <w:r w:rsidR="001C620D" w:rsidRPr="00780E96">
        <w:rPr>
          <w:lang w:eastAsia="ja-JP"/>
        </w:rPr>
        <w:noBreakHyphen/>
        <w:t>GOV</w:t>
      </w:r>
      <w:r w:rsidR="001C620D" w:rsidRPr="00780E96">
        <w:rPr>
          <w:lang w:eastAsia="ja-JP"/>
        </w:rPr>
        <w:noBreakHyphen/>
        <w:t>001) and the definitions and terms in the methodological tool(s) referred to in section </w:t>
      </w:r>
      <w:r w:rsidR="008D401A" w:rsidRPr="00780E96">
        <w:rPr>
          <w:lang w:eastAsia="ja-JP"/>
        </w:rPr>
        <w:t>2</w:t>
      </w:r>
      <w:r w:rsidR="001C620D" w:rsidRPr="00780E96">
        <w:rPr>
          <w:lang w:eastAsia="ja-JP"/>
        </w:rPr>
        <w:t xml:space="preserve"> </w:t>
      </w:r>
      <w:r w:rsidR="005579DA" w:rsidRPr="00780E96">
        <w:t>shall also apply</w:t>
      </w:r>
      <w:r w:rsidRPr="00780E96">
        <w:t>.</w:t>
      </w:r>
    </w:p>
    <w:p w14:paraId="498DE274" w14:textId="066E70C0" w:rsidR="00FB671C" w:rsidRPr="00780E96" w:rsidRDefault="00FB671C">
      <w:pPr>
        <w:pStyle w:val="SDMHead1"/>
      </w:pPr>
      <w:bookmarkStart w:id="217" w:name="_Toc478738153"/>
      <w:bookmarkStart w:id="218" w:name="_Toc202965397"/>
      <w:bookmarkStart w:id="219" w:name="_Toc212389900"/>
      <w:bookmarkStart w:id="220" w:name="_Toc215208594"/>
      <w:bookmarkStart w:id="221" w:name="_Toc215216113"/>
      <w:bookmarkStart w:id="222" w:name="_Toc215222849"/>
      <w:bookmarkStart w:id="223" w:name="_Toc215223037"/>
      <w:bookmarkStart w:id="224" w:name="_Toc215223259"/>
      <w:bookmarkStart w:id="225" w:name="_Toc215574881"/>
      <w:bookmarkStart w:id="226" w:name="_Toc215923320"/>
      <w:bookmarkStart w:id="227" w:name="_Toc216093016"/>
      <w:bookmarkStart w:id="228" w:name="_Toc216271745"/>
      <w:bookmarkStart w:id="229" w:name="_Toc216279362"/>
      <w:bookmarkStart w:id="230" w:name="_Toc216283400"/>
      <w:bookmarkStart w:id="231" w:name="_Toc216288018"/>
      <w:bookmarkStart w:id="232" w:name="_Toc219666125"/>
      <w:bookmarkStart w:id="233" w:name="_Toc220001386"/>
      <w:bookmarkStart w:id="234" w:name="_Toc221096409"/>
      <w:bookmarkStart w:id="235" w:name="_Toc221097961"/>
      <w:bookmarkStart w:id="236" w:name="_Toc221116257"/>
      <w:bookmarkStart w:id="237" w:name="_Toc221117273"/>
      <w:bookmarkStart w:id="238" w:name="_Toc222132111"/>
      <w:bookmarkStart w:id="239" w:name="_Toc222494912"/>
      <w:bookmarkStart w:id="240" w:name="_Toc222512428"/>
      <w:bookmarkStart w:id="241" w:name="_Toc222741748"/>
      <w:bookmarkStart w:id="242" w:name="_Toc234853829"/>
      <w:bookmarkStart w:id="243" w:name="_Toc235002267"/>
      <w:bookmarkStart w:id="244" w:name="_Toc235003426"/>
      <w:bookmarkStart w:id="245" w:name="_Toc236154223"/>
      <w:bookmarkStart w:id="246" w:name="_Toc236216600"/>
      <w:bookmarkStart w:id="247" w:name="_Toc240545088"/>
      <w:bookmarkStart w:id="248" w:name="_Toc240545304"/>
      <w:bookmarkStart w:id="249" w:name="_Toc240576886"/>
      <w:r w:rsidRPr="00780E96">
        <w:t>Applicability</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p>
    <w:p w14:paraId="783AAABA" w14:textId="3AB8878C" w:rsidR="005011CF" w:rsidRPr="00780E96" w:rsidRDefault="005011CF" w:rsidP="005011CF">
      <w:pPr>
        <w:pStyle w:val="SDMPara"/>
      </w:pPr>
      <w:r w:rsidRPr="00780E96">
        <w:t>This version of the methodological tool is applicable to Article 6.4</w:t>
      </w:r>
      <w:r w:rsidR="00AD2370" w:rsidRPr="00780E96">
        <w:rPr>
          <w:strike/>
        </w:rPr>
        <w:t xml:space="preserve"> </w:t>
      </w:r>
      <w:r w:rsidR="002A4B63" w:rsidRPr="00780E96">
        <w:rPr>
          <w:lang w:eastAsia="ja-JP"/>
        </w:rPr>
        <w:t>projects and Article 6.4 programmes of activities (Article 6.4 PoAs), jointly referred to as Article 6.4 activities, where its use is explicitly referenced in the applicable mechanism methodology</w:t>
      </w:r>
      <w:r w:rsidRPr="00780E96">
        <w:t>.</w:t>
      </w:r>
    </w:p>
    <w:p w14:paraId="20EB418F" w14:textId="5434C9BE" w:rsidR="00CC0668" w:rsidRPr="00780E96" w:rsidRDefault="00CC0668" w:rsidP="00F62D64">
      <w:pPr>
        <w:pStyle w:val="SDMPara"/>
        <w:keepNext/>
      </w:pPr>
      <w:r w:rsidRPr="00780E96">
        <w:t>This methodological tool may be used to determine baseline,</w:t>
      </w:r>
      <w:r w:rsidR="00962908" w:rsidRPr="00780E96">
        <w:t xml:space="preserve"> </w:t>
      </w:r>
      <w:r w:rsidR="000B64E0" w:rsidRPr="00780E96">
        <w:rPr>
          <w:rFonts w:eastAsia="MS Mincho" w:hint="eastAsia"/>
          <w:lang w:eastAsia="ja-JP"/>
        </w:rPr>
        <w:t>activity</w:t>
      </w:r>
      <w:r w:rsidR="00AB6E6C" w:rsidRPr="00780E96">
        <w:t>,</w:t>
      </w:r>
      <w:r w:rsidRPr="00780E96">
        <w:t xml:space="preserve"> </w:t>
      </w:r>
      <w:r w:rsidR="00D40E52" w:rsidRPr="00780E96">
        <w:t xml:space="preserve">and </w:t>
      </w:r>
      <w:r w:rsidRPr="00780E96">
        <w:t>leakage emissions from:</w:t>
      </w:r>
    </w:p>
    <w:p w14:paraId="1326D335" w14:textId="40278B37" w:rsidR="00CC0668" w:rsidRPr="00780E96" w:rsidRDefault="00CC0668" w:rsidP="00A704C1">
      <w:pPr>
        <w:pStyle w:val="SDMSubPara1"/>
      </w:pPr>
      <w:r w:rsidRPr="00780E96">
        <w:t xml:space="preserve">The generation of electricity that is supplied to an electricity system or to </w:t>
      </w:r>
      <w:r w:rsidRPr="00780E96" w:rsidDel="003C0847">
        <w:t>captive consumers</w:t>
      </w:r>
      <w:r w:rsidR="00887AF6" w:rsidRPr="00780E96">
        <w:t>,</w:t>
      </w:r>
      <w:r w:rsidRPr="00780E96">
        <w:t xml:space="preserve"> which may or may not be connected to an electricity system; and</w:t>
      </w:r>
      <w:r w:rsidR="00FD647F" w:rsidRPr="00780E96" w:rsidDel="007963CF">
        <w:t>/or</w:t>
      </w:r>
    </w:p>
    <w:p w14:paraId="647EEA4F" w14:textId="0B3D2BC8" w:rsidR="00921526" w:rsidRPr="00780E96" w:rsidRDefault="00503089" w:rsidP="00A704C1">
      <w:pPr>
        <w:pStyle w:val="SDMSubPara1"/>
      </w:pPr>
      <w:r w:rsidRPr="00780E96">
        <w:t>The consumption of electricity from an electricity system or from captive fossil fuel power plant(s)/unit(s).</w:t>
      </w:r>
    </w:p>
    <w:p w14:paraId="53814270" w14:textId="3A9BF845" w:rsidR="00CC0668" w:rsidRPr="00780E96" w:rsidRDefault="6EBCC523" w:rsidP="00184FDB">
      <w:pPr>
        <w:pStyle w:val="SDMPara"/>
      </w:pPr>
      <w:r w:rsidRPr="00780E96">
        <w:t xml:space="preserve">This methodological tool also provides approaches and options to determine the respective emission factors for electricity generation and consumption in the baseline scenario and/or </w:t>
      </w:r>
      <w:r w:rsidR="00BD6FC4" w:rsidRPr="00780E96">
        <w:t>activity scenario</w:t>
      </w:r>
      <w:r w:rsidRPr="00780E96">
        <w:t>.</w:t>
      </w:r>
    </w:p>
    <w:p w14:paraId="20DEA6A5" w14:textId="12B1E757" w:rsidR="00FF70B5" w:rsidRPr="00780E96" w:rsidRDefault="20F1D192" w:rsidP="00184FDB">
      <w:pPr>
        <w:pStyle w:val="SDMPara"/>
      </w:pPr>
      <w:r w:rsidRPr="00780E96">
        <w:t xml:space="preserve">This version of the methodological tool is not applicable </w:t>
      </w:r>
      <w:r w:rsidR="005836D4" w:rsidRPr="00780E96">
        <w:t xml:space="preserve">to </w:t>
      </w:r>
      <w:r w:rsidR="0C6BA39D" w:rsidRPr="00780E96">
        <w:t xml:space="preserve">Article 6.4 </w:t>
      </w:r>
      <w:r w:rsidR="00DC3D36" w:rsidRPr="00780E96">
        <w:t xml:space="preserve">projects </w:t>
      </w:r>
      <w:r w:rsidR="000F4DB9" w:rsidRPr="00780E96">
        <w:t>or CPs</w:t>
      </w:r>
      <w:r w:rsidR="00DC3D36" w:rsidRPr="00780E96">
        <w:t xml:space="preserve"> </w:t>
      </w:r>
      <w:r w:rsidR="0C6BA39D" w:rsidRPr="00780E96">
        <w:t>where a captive renewable power plant is installed at the</w:t>
      </w:r>
      <w:r w:rsidR="63DDD130" w:rsidRPr="00780E96">
        <w:t xml:space="preserve"> site of the Article 6.4</w:t>
      </w:r>
      <w:r w:rsidR="673675A5" w:rsidRPr="00780E96">
        <w:t xml:space="preserve"> </w:t>
      </w:r>
      <w:r w:rsidR="000F4DB9" w:rsidRPr="00780E96">
        <w:rPr>
          <w:rFonts w:eastAsia="MS Mincho"/>
          <w:lang w:eastAsia="ja-JP"/>
        </w:rPr>
        <w:t>project or CP</w:t>
      </w:r>
      <w:r w:rsidR="1873F653" w:rsidRPr="00780E96">
        <w:t>.</w:t>
      </w:r>
    </w:p>
    <w:p w14:paraId="48C003E2" w14:textId="2146FC46" w:rsidR="00A61A0B" w:rsidRPr="00B01EB5" w:rsidRDefault="009067DC" w:rsidP="00F62D64">
      <w:pPr>
        <w:pStyle w:val="SDMPara"/>
        <w:keepNext/>
      </w:pPr>
      <w:r w:rsidRPr="00B01EB5">
        <w:t>This version of the methodological tool does not include procedures for estimating the following emission sources:</w:t>
      </w:r>
    </w:p>
    <w:p w14:paraId="1107F51D" w14:textId="76C4C061" w:rsidR="122D112B" w:rsidRPr="00B01EB5" w:rsidRDefault="00CC0668" w:rsidP="00A704C1">
      <w:pPr>
        <w:pStyle w:val="SDMSubPara1"/>
      </w:pPr>
      <w:r w:rsidRPr="00B01EB5">
        <w:t>U</w:t>
      </w:r>
      <w:r w:rsidR="122D112B" w:rsidRPr="00B01EB5">
        <w:t>pstream emissions associated with electricity generati</w:t>
      </w:r>
      <w:r w:rsidR="1D45A313" w:rsidRPr="00B01EB5">
        <w:t>on/consumption</w:t>
      </w:r>
      <w:r w:rsidR="122D112B" w:rsidRPr="00B01EB5">
        <w:t>;</w:t>
      </w:r>
      <w:r w:rsidR="009439F9" w:rsidRPr="00B01EB5">
        <w:t xml:space="preserve"> and</w:t>
      </w:r>
    </w:p>
    <w:p w14:paraId="79530D9B" w14:textId="77777777" w:rsidR="122D112B" w:rsidRPr="00B01EB5" w:rsidRDefault="6EBCC523" w:rsidP="00A704C1">
      <w:pPr>
        <w:pStyle w:val="SDMSubPara1"/>
      </w:pPr>
      <w:r>
        <w:t>G</w:t>
      </w:r>
      <w:r w:rsidR="20F1D192">
        <w:t>reenhouse gas (GHG) emissions other than CO</w:t>
      </w:r>
      <w:r w:rsidR="20F1D192" w:rsidRPr="55FC4291">
        <w:rPr>
          <w:rFonts w:ascii="Cambria Math" w:hAnsi="Cambria Math" w:cs="Cambria Math"/>
        </w:rPr>
        <w:t>₂</w:t>
      </w:r>
      <w:r w:rsidR="20F1D192">
        <w:t>.</w:t>
      </w:r>
    </w:p>
    <w:p w14:paraId="023DFCBB" w14:textId="28472665" w:rsidR="00E61C12" w:rsidRPr="00E61C12" w:rsidRDefault="00545BF5" w:rsidP="00CC0FD5">
      <w:pPr>
        <w:pStyle w:val="SDMPara"/>
        <w:rPr>
          <w:lang w:val="en-US" w:eastAsia="en-US"/>
        </w:rPr>
      </w:pPr>
      <w:bookmarkStart w:id="250" w:name="_Ref210999125"/>
      <w:r w:rsidRPr="00545BF5">
        <w:rPr>
          <w:lang w:val="en-US" w:eastAsia="en-US"/>
        </w:rPr>
        <w:t xml:space="preserve">This </w:t>
      </w:r>
      <w:r w:rsidRPr="00DB1E82">
        <w:t>methodological</w:t>
      </w:r>
      <w:r w:rsidRPr="00545BF5">
        <w:rPr>
          <w:lang w:val="en-US" w:eastAsia="en-US"/>
        </w:rPr>
        <w:t xml:space="preserve"> tool is only applicable where mechanism methodologies include a reference to this methodological tool and specif</w:t>
      </w:r>
      <w:r w:rsidR="00876E5A">
        <w:rPr>
          <w:lang w:val="en-US" w:eastAsia="en-US"/>
        </w:rPr>
        <w:t>y</w:t>
      </w:r>
      <w:r w:rsidR="00E61C12" w:rsidRPr="00545BF5">
        <w:rPr>
          <w:lang w:val="en-US" w:eastAsia="en-US"/>
        </w:rPr>
        <w:t>:</w:t>
      </w:r>
    </w:p>
    <w:p w14:paraId="1F154A82" w14:textId="0490218F" w:rsidR="00E61C12" w:rsidRPr="00780E96" w:rsidRDefault="00E61C12" w:rsidP="00A704C1">
      <w:pPr>
        <w:pStyle w:val="SDMSubPara1"/>
        <w:rPr>
          <w:lang w:val="en-US" w:eastAsia="en-US"/>
        </w:rPr>
      </w:pPr>
      <w:r w:rsidRPr="00B01EB5">
        <w:rPr>
          <w:lang w:val="en-US" w:eastAsia="en-US"/>
        </w:rPr>
        <w:t>Which sources of baseline</w:t>
      </w:r>
      <w:r w:rsidRPr="00780E96">
        <w:rPr>
          <w:lang w:val="en-US" w:eastAsia="en-US"/>
        </w:rPr>
        <w:t>,</w:t>
      </w:r>
      <w:r w:rsidR="0070118C" w:rsidRPr="00780E96">
        <w:rPr>
          <w:lang w:val="en-US" w:eastAsia="en-US"/>
        </w:rPr>
        <w:t xml:space="preserve"> activity,</w:t>
      </w:r>
      <w:r w:rsidRPr="00780E96">
        <w:rPr>
          <w:lang w:val="en-US" w:eastAsia="en-US"/>
        </w:rPr>
        <w:t xml:space="preserve"> and leakage emissions</w:t>
      </w:r>
      <w:r w:rsidR="00AB1B5C" w:rsidRPr="00780E96">
        <w:rPr>
          <w:lang w:val="en-US" w:eastAsia="en-US"/>
        </w:rPr>
        <w:t>,</w:t>
      </w:r>
      <w:r w:rsidRPr="00780E96">
        <w:rPr>
          <w:lang w:val="en-US" w:eastAsia="en-US"/>
        </w:rPr>
        <w:t xml:space="preserve"> </w:t>
      </w:r>
      <w:r w:rsidR="00AB1B5C" w:rsidRPr="00780E96">
        <w:rPr>
          <w:lang w:val="en-US" w:eastAsia="en-US"/>
        </w:rPr>
        <w:t xml:space="preserve">and </w:t>
      </w:r>
      <w:r w:rsidRPr="00780E96">
        <w:rPr>
          <w:lang w:val="en-US" w:eastAsia="en-US"/>
        </w:rPr>
        <w:t xml:space="preserve">from </w:t>
      </w:r>
      <w:r w:rsidR="00EC1F24" w:rsidRPr="00780E96">
        <w:rPr>
          <w:lang w:val="en-US" w:eastAsia="en-US"/>
        </w:rPr>
        <w:t>which</w:t>
      </w:r>
      <w:r w:rsidRPr="00780E96">
        <w:rPr>
          <w:lang w:val="en-US" w:eastAsia="en-US"/>
        </w:rPr>
        <w:t xml:space="preserve"> electricity generation </w:t>
      </w:r>
      <w:r w:rsidR="00933A75" w:rsidRPr="00780E96">
        <w:rPr>
          <w:lang w:val="en-US" w:eastAsia="en-US"/>
        </w:rPr>
        <w:t xml:space="preserve">or </w:t>
      </w:r>
      <w:r w:rsidRPr="00780E96">
        <w:rPr>
          <w:lang w:val="en-US" w:eastAsia="en-US"/>
        </w:rPr>
        <w:t xml:space="preserve">consumption </w:t>
      </w:r>
      <w:r w:rsidR="000E60B2" w:rsidRPr="00780E96">
        <w:rPr>
          <w:lang w:val="en-US" w:eastAsia="en-US"/>
        </w:rPr>
        <w:t>source</w:t>
      </w:r>
      <w:r w:rsidR="00101451" w:rsidRPr="00780E96">
        <w:rPr>
          <w:i/>
          <w:iCs/>
          <w:lang w:val="en-US" w:eastAsia="en-US"/>
        </w:rPr>
        <w:t>s</w:t>
      </w:r>
      <w:r w:rsidR="009078D3" w:rsidRPr="00780E96">
        <w:rPr>
          <w:i/>
          <w:iCs/>
          <w:lang w:val="en-US" w:eastAsia="en-US"/>
        </w:rPr>
        <w:t>,</w:t>
      </w:r>
      <w:r w:rsidR="00101451" w:rsidRPr="00780E96">
        <w:rPr>
          <w:lang w:val="en-US" w:eastAsia="en-US"/>
        </w:rPr>
        <w:t xml:space="preserve"> </w:t>
      </w:r>
      <w:r w:rsidRPr="00780E96">
        <w:rPr>
          <w:lang w:val="en-US" w:eastAsia="en-US"/>
        </w:rPr>
        <w:t xml:space="preserve">are to be calculated </w:t>
      </w:r>
      <w:r w:rsidR="009078D3" w:rsidRPr="00780E96">
        <w:rPr>
          <w:lang w:val="en-US" w:eastAsia="en-US"/>
        </w:rPr>
        <w:t xml:space="preserve">using </w:t>
      </w:r>
      <w:r w:rsidRPr="00780E96">
        <w:rPr>
          <w:lang w:val="en-US" w:eastAsia="en-US"/>
        </w:rPr>
        <w:t xml:space="preserve">this </w:t>
      </w:r>
      <w:r w:rsidR="00F47D10" w:rsidRPr="00780E96">
        <w:rPr>
          <w:lang w:val="en-US" w:eastAsia="en-US"/>
        </w:rPr>
        <w:t xml:space="preserve">methodological </w:t>
      </w:r>
      <w:r w:rsidRPr="00780E96">
        <w:rPr>
          <w:lang w:val="en-US" w:eastAsia="en-US"/>
        </w:rPr>
        <w:t>tool;</w:t>
      </w:r>
      <w:r w:rsidR="00D55ADA" w:rsidRPr="00780E96">
        <w:rPr>
          <w:rStyle w:val="FootnoteReference"/>
          <w:lang w:val="en-US" w:eastAsia="en-US"/>
        </w:rPr>
        <w:footnoteReference w:id="5"/>
      </w:r>
    </w:p>
    <w:p w14:paraId="0ED81607" w14:textId="3507D102" w:rsidR="00E61C12" w:rsidRPr="00E61C12" w:rsidRDefault="00E61C12" w:rsidP="00A704C1">
      <w:pPr>
        <w:pStyle w:val="SDMSubPara1"/>
        <w:rPr>
          <w:lang w:val="en-US" w:eastAsia="en-US"/>
        </w:rPr>
      </w:pPr>
      <w:r w:rsidRPr="00780E96">
        <w:rPr>
          <w:lang w:val="en-US" w:eastAsia="en-US"/>
        </w:rPr>
        <w:t>How the amount of electricity generated</w:t>
      </w:r>
      <w:r w:rsidRPr="00E61C12">
        <w:rPr>
          <w:lang w:val="en-US" w:eastAsia="en-US"/>
        </w:rPr>
        <w:t xml:space="preserve"> or consumed is determined for each relevant </w:t>
      </w:r>
      <w:r w:rsidR="00101451">
        <w:t xml:space="preserve">electricity generation </w:t>
      </w:r>
      <w:r w:rsidR="00101451" w:rsidRPr="001B426A">
        <w:t>or</w:t>
      </w:r>
      <w:r w:rsidR="00101451">
        <w:t xml:space="preserve"> consumption source </w:t>
      </w:r>
      <w:r w:rsidR="00101451">
        <w:rPr>
          <w:i/>
        </w:rPr>
        <w:t>s</w:t>
      </w:r>
      <w:r w:rsidRPr="00E61C12">
        <w:rPr>
          <w:lang w:val="en-US" w:eastAsia="en-US"/>
        </w:rPr>
        <w:t>;</w:t>
      </w:r>
    </w:p>
    <w:p w14:paraId="12D1C8E3" w14:textId="290D8D5F" w:rsidR="00E61C12" w:rsidRPr="00E61C12" w:rsidRDefault="7D1C7FAA" w:rsidP="00A704C1">
      <w:pPr>
        <w:pStyle w:val="SDMSubPara1"/>
        <w:rPr>
          <w:lang w:val="en-US" w:eastAsia="en-US"/>
        </w:rPr>
      </w:pPr>
      <w:r w:rsidRPr="3B057DA6">
        <w:rPr>
          <w:lang w:val="en-US" w:eastAsia="en-US"/>
        </w:rPr>
        <w:t xml:space="preserve">Whether any specific options provided in this </w:t>
      </w:r>
      <w:r w:rsidR="004C2F13">
        <w:rPr>
          <w:lang w:val="en-US" w:eastAsia="en-US"/>
        </w:rPr>
        <w:t xml:space="preserve">methodological </w:t>
      </w:r>
      <w:r w:rsidRPr="3B057DA6">
        <w:rPr>
          <w:lang w:val="en-US" w:eastAsia="en-US"/>
        </w:rPr>
        <w:t>tool shall be applied by activity participants;</w:t>
      </w:r>
    </w:p>
    <w:p w14:paraId="151464BD" w14:textId="26A918FD" w:rsidR="00E61C12" w:rsidRPr="00E61C12" w:rsidRDefault="7D1C7FAA" w:rsidP="00A704C1">
      <w:pPr>
        <w:pStyle w:val="SDMSubPara1"/>
        <w:rPr>
          <w:lang w:val="en-US" w:eastAsia="en-US"/>
        </w:rPr>
      </w:pPr>
      <w:r w:rsidRPr="3B057DA6">
        <w:rPr>
          <w:lang w:val="en-US" w:eastAsia="en-US"/>
        </w:rPr>
        <w:t xml:space="preserve">Which scenarios </w:t>
      </w:r>
      <w:r w:rsidR="00121DE1">
        <w:rPr>
          <w:lang w:val="en-US" w:eastAsia="en-US"/>
        </w:rPr>
        <w:t>(</w:t>
      </w:r>
      <w:r w:rsidRPr="3B057DA6">
        <w:rPr>
          <w:lang w:val="en-US" w:eastAsia="en-US"/>
        </w:rPr>
        <w:t>A, B</w:t>
      </w:r>
      <w:r w:rsidR="00E0183D">
        <w:rPr>
          <w:lang w:val="en-US" w:eastAsia="en-US"/>
        </w:rPr>
        <w:t>,</w:t>
      </w:r>
      <w:r w:rsidRPr="3B057DA6">
        <w:rPr>
          <w:lang w:val="en-US" w:eastAsia="en-US"/>
        </w:rPr>
        <w:t xml:space="preserve"> or C</w:t>
      </w:r>
      <w:r w:rsidR="18664369" w:rsidRPr="3B057DA6">
        <w:rPr>
          <w:lang w:val="en-US" w:eastAsia="en-US"/>
        </w:rPr>
        <w:t>, as specified in section</w:t>
      </w:r>
      <w:r w:rsidR="00877272">
        <w:rPr>
          <w:lang w:val="en-US" w:eastAsia="en-US"/>
        </w:rPr>
        <w:t> </w:t>
      </w:r>
      <w:r w:rsidR="00C92220">
        <w:rPr>
          <w:lang w:val="en-US" w:eastAsia="en-US"/>
        </w:rPr>
        <w:fldChar w:fldCharType="begin"/>
      </w:r>
      <w:r w:rsidR="00C92220">
        <w:rPr>
          <w:lang w:val="en-US" w:eastAsia="en-US"/>
        </w:rPr>
        <w:instrText xml:space="preserve"> REF _Ref221036450 \w \h </w:instrText>
      </w:r>
      <w:r w:rsidR="00C92220">
        <w:rPr>
          <w:lang w:val="en-US" w:eastAsia="en-US"/>
        </w:rPr>
      </w:r>
      <w:r w:rsidR="00C92220">
        <w:rPr>
          <w:lang w:val="en-US" w:eastAsia="en-US"/>
        </w:rPr>
        <w:fldChar w:fldCharType="separate"/>
      </w:r>
      <w:r w:rsidR="003B0135">
        <w:rPr>
          <w:cs/>
          <w:lang w:val="en-US" w:eastAsia="en-US"/>
        </w:rPr>
        <w:t>‎</w:t>
      </w:r>
      <w:r w:rsidR="003B0135">
        <w:rPr>
          <w:lang w:val="en-US" w:eastAsia="en-US"/>
        </w:rPr>
        <w:t>5.2</w:t>
      </w:r>
      <w:r w:rsidR="00C92220">
        <w:rPr>
          <w:lang w:val="en-US" w:eastAsia="en-US"/>
        </w:rPr>
        <w:fldChar w:fldCharType="end"/>
      </w:r>
      <w:r w:rsidR="00121DE1">
        <w:rPr>
          <w:lang w:val="en-US" w:eastAsia="en-US"/>
        </w:rPr>
        <w:t>)</w:t>
      </w:r>
      <w:r w:rsidRPr="3B057DA6">
        <w:rPr>
          <w:lang w:val="en-US" w:eastAsia="en-US"/>
        </w:rPr>
        <w:t xml:space="preserve"> </w:t>
      </w:r>
      <w:r w:rsidR="00E52843" w:rsidRPr="3B057DA6">
        <w:rPr>
          <w:lang w:val="en-US" w:eastAsia="en-US"/>
        </w:rPr>
        <w:t>appl</w:t>
      </w:r>
      <w:r w:rsidR="00E52843">
        <w:rPr>
          <w:lang w:val="en-US" w:eastAsia="en-US"/>
        </w:rPr>
        <w:t>y</w:t>
      </w:r>
      <w:r w:rsidR="00E52843" w:rsidRPr="3B057DA6">
        <w:rPr>
          <w:lang w:val="en-US" w:eastAsia="en-US"/>
        </w:rPr>
        <w:t xml:space="preserve"> </w:t>
      </w:r>
      <w:r w:rsidRPr="3B057DA6">
        <w:rPr>
          <w:lang w:val="en-US" w:eastAsia="en-US"/>
        </w:rPr>
        <w:t xml:space="preserve">to each </w:t>
      </w:r>
      <w:r w:rsidR="00EB72BC">
        <w:t>electricity generation or consumption source </w:t>
      </w:r>
      <w:r w:rsidR="00EB72BC">
        <w:rPr>
          <w:i/>
        </w:rPr>
        <w:t>s</w:t>
      </w:r>
      <w:r w:rsidR="0026201B">
        <w:rPr>
          <w:i/>
        </w:rPr>
        <w:t>,</w:t>
      </w:r>
      <w:r w:rsidRPr="3B057DA6">
        <w:rPr>
          <w:lang w:val="en-US" w:eastAsia="en-US"/>
        </w:rPr>
        <w:t xml:space="preserve"> or how activity participants shall determine which of these scenarios </w:t>
      </w:r>
      <w:r w:rsidR="00A70C82" w:rsidRPr="3B057DA6">
        <w:rPr>
          <w:lang w:val="en-US" w:eastAsia="en-US"/>
        </w:rPr>
        <w:t>appl</w:t>
      </w:r>
      <w:r w:rsidR="00A70C82">
        <w:rPr>
          <w:lang w:val="en-US" w:eastAsia="en-US"/>
        </w:rPr>
        <w:t>y</w:t>
      </w:r>
      <w:r w:rsidR="00FF70B5">
        <w:rPr>
          <w:lang w:val="en-US" w:eastAsia="en-US"/>
        </w:rPr>
        <w:t>;</w:t>
      </w:r>
      <w:r w:rsidR="003E57FA">
        <w:rPr>
          <w:lang w:val="en-US" w:eastAsia="en-US"/>
        </w:rPr>
        <w:t xml:space="preserve"> </w:t>
      </w:r>
      <w:r w:rsidR="6E2E42B1" w:rsidRPr="3B057DA6">
        <w:rPr>
          <w:lang w:val="en-US" w:eastAsia="en-US"/>
        </w:rPr>
        <w:t>and</w:t>
      </w:r>
    </w:p>
    <w:p w14:paraId="4A6969F2" w14:textId="005BADD4" w:rsidR="00CF3186" w:rsidRPr="00B01EB5" w:rsidRDefault="39BF9108" w:rsidP="00A704C1">
      <w:pPr>
        <w:pStyle w:val="SDMSubPara1"/>
      </w:pPr>
      <w:r w:rsidRPr="00B01EB5">
        <w:t>How the uncertainty of the emission factor</w:t>
      </w:r>
      <w:r w:rsidR="00DC1E35" w:rsidRPr="00B01EB5">
        <w:t xml:space="preserve">, </w:t>
      </w:r>
      <w:r w:rsidR="00A14F35" w:rsidRPr="00B01EB5">
        <w:t xml:space="preserve">the quantification of </w:t>
      </w:r>
      <w:r w:rsidR="1A9B00E3" w:rsidRPr="00B01EB5">
        <w:t>the</w:t>
      </w:r>
      <w:r w:rsidR="00A14F35" w:rsidRPr="00B01EB5">
        <w:t xml:space="preserve"> amount of electricity generated or consumed, and the transmission and distribution losses </w:t>
      </w:r>
      <w:r w:rsidR="6B0A270A" w:rsidRPr="00B01EB5">
        <w:t>shall be</w:t>
      </w:r>
      <w:r w:rsidRPr="00B01EB5">
        <w:t xml:space="preserve"> </w:t>
      </w:r>
      <w:r w:rsidR="00192689" w:rsidRPr="00B01EB5">
        <w:t xml:space="preserve">considered </w:t>
      </w:r>
      <w:r w:rsidRPr="00B01EB5">
        <w:t xml:space="preserve">in </w:t>
      </w:r>
      <w:r w:rsidR="007345F4" w:rsidRPr="00B01EB5">
        <w:t xml:space="preserve">the </w:t>
      </w:r>
      <w:r w:rsidRPr="00B01EB5">
        <w:t>emission redu</w:t>
      </w:r>
      <w:r w:rsidR="237CEDD2" w:rsidRPr="00B01EB5">
        <w:t>c</w:t>
      </w:r>
      <w:r w:rsidRPr="00B01EB5">
        <w:t>tion calculation.</w:t>
      </w:r>
    </w:p>
    <w:p w14:paraId="1CEEBDD9" w14:textId="52474E74" w:rsidR="2F0A9B0E" w:rsidRPr="00780E96" w:rsidRDefault="6C7D4AED" w:rsidP="00184FDB">
      <w:pPr>
        <w:pStyle w:val="SDMPara"/>
        <w:rPr>
          <w:rFonts w:eastAsia="Arial"/>
        </w:rPr>
      </w:pPr>
      <w:r w:rsidRPr="00780E96">
        <w:rPr>
          <w:rFonts w:eastAsia="Arial"/>
        </w:rPr>
        <w:t>Where a standardized baseline is developed using this methodological tool, all provisions pertaining to the</w:t>
      </w:r>
      <w:r w:rsidR="004710A9" w:rsidRPr="00780E96">
        <w:rPr>
          <w:rFonts w:eastAsia="Arial"/>
        </w:rPr>
        <w:t xml:space="preserve"> </w:t>
      </w:r>
      <w:r w:rsidR="003E0C3F" w:rsidRPr="00780E96">
        <w:rPr>
          <w:rFonts w:eastAsia="Arial"/>
        </w:rPr>
        <w:t>preparation of the project design document (PDD</w:t>
      </w:r>
      <w:r w:rsidR="0061032C" w:rsidRPr="00780E96">
        <w:rPr>
          <w:rFonts w:eastAsia="Arial"/>
        </w:rPr>
        <w:t>), the generic component of the programme of activities design document (PoA-DD)</w:t>
      </w:r>
      <w:r w:rsidR="00307C24" w:rsidRPr="00780E96">
        <w:rPr>
          <w:rFonts w:eastAsia="Arial"/>
        </w:rPr>
        <w:t xml:space="preserve"> and the component project design document (CP-DD)</w:t>
      </w:r>
      <w:r w:rsidR="003607BC" w:rsidRPr="00780E96">
        <w:rPr>
          <w:rFonts w:eastAsia="Arial"/>
        </w:rPr>
        <w:t>,</w:t>
      </w:r>
      <w:r w:rsidR="00307C24" w:rsidRPr="00780E96">
        <w:rPr>
          <w:rFonts w:eastAsia="Arial"/>
        </w:rPr>
        <w:t xml:space="preserve"> </w:t>
      </w:r>
      <w:r w:rsidRPr="00780E96">
        <w:rPr>
          <w:rFonts w:eastAsia="Arial"/>
        </w:rPr>
        <w:t>and monitoring report</w:t>
      </w:r>
      <w:r w:rsidR="00307C24" w:rsidRPr="00780E96">
        <w:rPr>
          <w:rFonts w:eastAsia="Arial"/>
        </w:rPr>
        <w:t>s</w:t>
      </w:r>
      <w:r w:rsidR="003E0C3F" w:rsidRPr="00780E96">
        <w:rPr>
          <w:rFonts w:eastAsia="Arial"/>
        </w:rPr>
        <w:t>,</w:t>
      </w:r>
      <w:r w:rsidRPr="00780E96">
        <w:rPr>
          <w:rFonts w:eastAsia="Arial"/>
        </w:rPr>
        <w:t xml:space="preserve"> as specified in this tool</w:t>
      </w:r>
      <w:r w:rsidR="003E0C3F" w:rsidRPr="00780E96">
        <w:rPr>
          <w:rFonts w:eastAsia="Arial"/>
        </w:rPr>
        <w:t>,</w:t>
      </w:r>
      <w:r w:rsidRPr="00780E96">
        <w:rPr>
          <w:rFonts w:eastAsia="Arial"/>
        </w:rPr>
        <w:t xml:space="preserve"> shall be </w:t>
      </w:r>
      <w:r w:rsidR="24F2C4E2" w:rsidRPr="00780E96">
        <w:rPr>
          <w:rFonts w:eastAsia="Arial"/>
        </w:rPr>
        <w:t>documented in the</w:t>
      </w:r>
      <w:r w:rsidR="048F4543" w:rsidRPr="00780E96">
        <w:rPr>
          <w:rFonts w:eastAsia="Arial"/>
        </w:rPr>
        <w:t xml:space="preserve"> </w:t>
      </w:r>
      <w:r w:rsidR="1EDEA6E2" w:rsidRPr="00780E96">
        <w:rPr>
          <w:rFonts w:eastAsia="Arial"/>
        </w:rPr>
        <w:t>submission of the proposed standardized baseline</w:t>
      </w:r>
      <w:r w:rsidRPr="00780E96">
        <w:rPr>
          <w:rFonts w:eastAsia="Arial"/>
        </w:rPr>
        <w:t>.</w:t>
      </w:r>
    </w:p>
    <w:p w14:paraId="49124719" w14:textId="77777777" w:rsidR="00A41BA3" w:rsidRPr="00780E96" w:rsidRDefault="00CF3186" w:rsidP="00184FDB">
      <w:pPr>
        <w:pStyle w:val="SDMPara"/>
      </w:pPr>
      <w:r w:rsidRPr="00780E96">
        <w:t>Where the mechanism methodology referring to this methodological tool specifies approaches that differ from those described in this methodological tool, the requirements contained in the mechanism methodology shall take precedence.</w:t>
      </w:r>
    </w:p>
    <w:p w14:paraId="5D3E7048" w14:textId="77777777" w:rsidR="00F42D86" w:rsidRPr="00780E96" w:rsidRDefault="00F42D86">
      <w:pPr>
        <w:pStyle w:val="SDMHead1"/>
      </w:pPr>
      <w:bookmarkStart w:id="251" w:name="_Toc215208595"/>
      <w:bookmarkStart w:id="252" w:name="_Toc215216114"/>
      <w:bookmarkStart w:id="253" w:name="_Toc215222850"/>
      <w:bookmarkStart w:id="254" w:name="_Toc215223038"/>
      <w:bookmarkStart w:id="255" w:name="_Toc215223260"/>
      <w:bookmarkStart w:id="256" w:name="_Toc346039902"/>
      <w:bookmarkStart w:id="257" w:name="_Toc352521232"/>
      <w:bookmarkStart w:id="258" w:name="_Toc353201622"/>
      <w:bookmarkStart w:id="259" w:name="_Toc354405687"/>
      <w:bookmarkStart w:id="260" w:name="_Toc354405701"/>
      <w:bookmarkStart w:id="261" w:name="_Toc354503032"/>
      <w:bookmarkStart w:id="262" w:name="_Toc202965398"/>
      <w:bookmarkStart w:id="263" w:name="_Toc212389901"/>
      <w:bookmarkStart w:id="264" w:name="_Toc215208596"/>
      <w:bookmarkStart w:id="265" w:name="_Toc215216115"/>
      <w:bookmarkStart w:id="266" w:name="_Toc215222851"/>
      <w:bookmarkStart w:id="267" w:name="_Toc215223039"/>
      <w:bookmarkStart w:id="268" w:name="_Toc215223261"/>
      <w:bookmarkStart w:id="269" w:name="_Toc215574882"/>
      <w:bookmarkStart w:id="270" w:name="_Toc215923321"/>
      <w:bookmarkStart w:id="271" w:name="_Toc216093017"/>
      <w:bookmarkStart w:id="272" w:name="_Toc216271746"/>
      <w:bookmarkStart w:id="273" w:name="_Toc216279363"/>
      <w:bookmarkStart w:id="274" w:name="_Toc216283401"/>
      <w:bookmarkStart w:id="275" w:name="_Toc216288019"/>
      <w:bookmarkStart w:id="276" w:name="_Toc219666126"/>
      <w:bookmarkStart w:id="277" w:name="_Toc220001387"/>
      <w:bookmarkStart w:id="278" w:name="_Toc221096410"/>
      <w:bookmarkStart w:id="279" w:name="_Toc221097962"/>
      <w:bookmarkStart w:id="280" w:name="_Toc221116258"/>
      <w:bookmarkStart w:id="281" w:name="_Toc221117274"/>
      <w:bookmarkStart w:id="282" w:name="_Toc222132112"/>
      <w:bookmarkStart w:id="283" w:name="_Toc222494913"/>
      <w:bookmarkStart w:id="284" w:name="_Toc222512429"/>
      <w:bookmarkStart w:id="285" w:name="_Toc222741749"/>
      <w:bookmarkStart w:id="286" w:name="_Toc234853830"/>
      <w:bookmarkStart w:id="287" w:name="_Toc235002268"/>
      <w:bookmarkStart w:id="288" w:name="_Toc235003427"/>
      <w:bookmarkStart w:id="289" w:name="_Toc236154224"/>
      <w:bookmarkStart w:id="290" w:name="_Toc236216601"/>
      <w:bookmarkStart w:id="291" w:name="_Toc240545089"/>
      <w:bookmarkStart w:id="292" w:name="_Toc240545305"/>
      <w:bookmarkStart w:id="293" w:name="_Toc240576887"/>
      <w:bookmarkEnd w:id="250"/>
      <w:bookmarkEnd w:id="251"/>
      <w:bookmarkEnd w:id="252"/>
      <w:bookmarkEnd w:id="253"/>
      <w:bookmarkEnd w:id="254"/>
      <w:bookmarkEnd w:id="255"/>
      <w:r w:rsidRPr="00780E96">
        <w:t xml:space="preserve">Normative </w:t>
      </w:r>
      <w:r w:rsidR="001816C9" w:rsidRPr="00780E96">
        <w:t xml:space="preserve">and informative </w:t>
      </w:r>
      <w:r w:rsidRPr="00780E96">
        <w:t>references</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p>
    <w:p w14:paraId="580C7D21" w14:textId="678F0647" w:rsidR="00FB671C" w:rsidRPr="00780E96" w:rsidRDefault="0070626D" w:rsidP="00184FDB">
      <w:pPr>
        <w:pStyle w:val="SDMPara"/>
      </w:pPr>
      <w:bookmarkStart w:id="294" w:name="_Toc346039903"/>
      <w:bookmarkStart w:id="295" w:name="_Toc352521233"/>
      <w:bookmarkStart w:id="296" w:name="_Toc353201623"/>
      <w:bookmarkStart w:id="297" w:name="_Toc354405688"/>
      <w:bookmarkStart w:id="298" w:name="_Toc354405702"/>
      <w:bookmarkStart w:id="299" w:name="_Toc354503033"/>
      <w:r w:rsidRPr="00780E96">
        <w:t>This</w:t>
      </w:r>
      <w:r w:rsidR="00E2583B" w:rsidRPr="00780E96">
        <w:t xml:space="preserve"> normative document is indispensable for the application of this methodological tool. The most recent version of </w:t>
      </w:r>
      <w:r w:rsidRPr="00780E96">
        <w:t xml:space="preserve">this </w:t>
      </w:r>
      <w:r w:rsidR="00E2583B" w:rsidRPr="00780E96">
        <w:t>document</w:t>
      </w:r>
      <w:r w:rsidR="0061185A" w:rsidRPr="00780E96">
        <w:t xml:space="preserve"> </w:t>
      </w:r>
      <w:r w:rsidR="00E2583B" w:rsidRPr="00780E96">
        <w:t>shall apply:</w:t>
      </w:r>
      <w:r w:rsidR="000F0DBF" w:rsidRPr="00780E96">
        <w:t xml:space="preserve"> </w:t>
      </w:r>
      <w:r w:rsidR="005B7902" w:rsidRPr="00780E96">
        <w:t>Intergovernmental Panel on Climate Change (2019)</w:t>
      </w:r>
      <w:r w:rsidR="00A41714" w:rsidRPr="00780E96">
        <w:t>.</w:t>
      </w:r>
      <w:r w:rsidR="005B7902" w:rsidRPr="00780E96">
        <w:t xml:space="preserve"> 2019 Refinement to the 2006 IPCC Guidelines for National Greenhouse Gas Inventories</w:t>
      </w:r>
      <w:r w:rsidR="009B305F" w:rsidRPr="00780E96">
        <w:t>.</w:t>
      </w:r>
      <w:r w:rsidR="009B336B" w:rsidRPr="00780E96">
        <w:rPr>
          <w:rStyle w:val="FootnoteReference"/>
        </w:rPr>
        <w:footnoteReference w:id="6"/>
      </w:r>
    </w:p>
    <w:p w14:paraId="722940AA" w14:textId="77777777" w:rsidR="009D0F50" w:rsidRPr="00780E96" w:rsidRDefault="009D0F50">
      <w:pPr>
        <w:pStyle w:val="SDMHead1"/>
      </w:pPr>
      <w:bookmarkStart w:id="300" w:name="_Toc478738158"/>
      <w:bookmarkStart w:id="301" w:name="_Toc202965400"/>
      <w:bookmarkStart w:id="302" w:name="_Toc212389902"/>
      <w:bookmarkStart w:id="303" w:name="_Toc215208597"/>
      <w:bookmarkStart w:id="304" w:name="_Toc215216116"/>
      <w:bookmarkStart w:id="305" w:name="_Toc215222852"/>
      <w:bookmarkStart w:id="306" w:name="_Toc215223040"/>
      <w:bookmarkStart w:id="307" w:name="_Toc215223262"/>
      <w:bookmarkStart w:id="308" w:name="_Toc215574883"/>
      <w:bookmarkStart w:id="309" w:name="_Toc215923322"/>
      <w:bookmarkStart w:id="310" w:name="_Toc216093018"/>
      <w:bookmarkStart w:id="311" w:name="_Toc216271747"/>
      <w:bookmarkStart w:id="312" w:name="_Toc216279364"/>
      <w:bookmarkStart w:id="313" w:name="_Toc216283402"/>
      <w:bookmarkStart w:id="314" w:name="_Toc216288020"/>
      <w:bookmarkStart w:id="315" w:name="_Toc219666127"/>
      <w:bookmarkStart w:id="316" w:name="_Toc220001388"/>
      <w:bookmarkStart w:id="317" w:name="_Toc221096411"/>
      <w:bookmarkStart w:id="318" w:name="_Toc221097963"/>
      <w:bookmarkStart w:id="319" w:name="_Toc221116259"/>
      <w:bookmarkStart w:id="320" w:name="_Toc221117275"/>
      <w:bookmarkStart w:id="321" w:name="_Toc222132113"/>
      <w:bookmarkStart w:id="322" w:name="_Toc222494914"/>
      <w:bookmarkStart w:id="323" w:name="_Toc222512430"/>
      <w:bookmarkStart w:id="324" w:name="_Toc222741750"/>
      <w:bookmarkStart w:id="325" w:name="_Toc234853831"/>
      <w:bookmarkStart w:id="326" w:name="_Toc235002269"/>
      <w:bookmarkStart w:id="327" w:name="_Toc235003428"/>
      <w:bookmarkStart w:id="328" w:name="_Toc236154225"/>
      <w:bookmarkStart w:id="329" w:name="_Toc236216602"/>
      <w:bookmarkStart w:id="330" w:name="_Toc240545090"/>
      <w:bookmarkStart w:id="331" w:name="_Toc240545306"/>
      <w:bookmarkStart w:id="332" w:name="_Toc240576888"/>
      <w:bookmarkEnd w:id="294"/>
      <w:bookmarkEnd w:id="295"/>
      <w:bookmarkEnd w:id="296"/>
      <w:bookmarkEnd w:id="297"/>
      <w:bookmarkEnd w:id="298"/>
      <w:bookmarkEnd w:id="299"/>
      <w:r w:rsidRPr="00780E96">
        <w:t>Methodolog</w:t>
      </w:r>
      <w:r w:rsidR="009F0083" w:rsidRPr="00780E96">
        <w:t>ical</w:t>
      </w:r>
      <w:r w:rsidRPr="00780E96">
        <w:t xml:space="preserve"> </w:t>
      </w:r>
      <w:bookmarkEnd w:id="300"/>
      <w:bookmarkEnd w:id="301"/>
      <w:r w:rsidR="009F0083" w:rsidRPr="00780E96">
        <w:t>approaches</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p>
    <w:p w14:paraId="33A2A641" w14:textId="14998B8A" w:rsidR="00841D39" w:rsidRPr="00780E96" w:rsidRDefault="10C0A323" w:rsidP="00F471A3">
      <w:pPr>
        <w:pStyle w:val="SDMPara"/>
      </w:pPr>
      <w:bookmarkStart w:id="333" w:name="_Toc478738159"/>
      <w:bookmarkStart w:id="334" w:name="_Toc202965401"/>
      <w:r w:rsidRPr="00780E96">
        <w:t>Activity participants shall determine emissions from electricity consumption and/or generation through the steps</w:t>
      </w:r>
      <w:r w:rsidR="6CCE3140" w:rsidRPr="00780E96">
        <w:t xml:space="preserve"> </w:t>
      </w:r>
      <w:r w:rsidR="6904599E" w:rsidRPr="00780E96">
        <w:t xml:space="preserve">listed below. </w:t>
      </w:r>
      <w:r w:rsidR="00F471A3" w:rsidRPr="00780E96">
        <w:t xml:space="preserve">Flowcharts are included </w:t>
      </w:r>
      <w:r w:rsidR="6904599E" w:rsidRPr="00780E96">
        <w:t xml:space="preserve">in </w:t>
      </w:r>
      <w:r w:rsidR="51C53271" w:rsidRPr="00780E96">
        <w:t>a</w:t>
      </w:r>
      <w:r w:rsidR="6904599E" w:rsidRPr="00780E96">
        <w:t>ppendix</w:t>
      </w:r>
      <w:r w:rsidR="239CFBA7" w:rsidRPr="00780E96">
        <w:t> </w:t>
      </w:r>
      <w:r w:rsidR="4477540B" w:rsidRPr="00780E96">
        <w:t>1</w:t>
      </w:r>
      <w:r w:rsidR="6904599E" w:rsidRPr="00780E96">
        <w:t xml:space="preserve"> illustrating </w:t>
      </w:r>
      <w:r w:rsidR="4477540B" w:rsidRPr="00780E96">
        <w:t xml:space="preserve">the application of these steps for </w:t>
      </w:r>
      <w:r w:rsidR="1F596399" w:rsidRPr="00780E96">
        <w:t xml:space="preserve">the different scenarios discussed under </w:t>
      </w:r>
      <w:r w:rsidR="647C1520" w:rsidRPr="00780E96">
        <w:t>s</w:t>
      </w:r>
      <w:r w:rsidR="1F596399" w:rsidRPr="00780E96">
        <w:t>tep</w:t>
      </w:r>
      <w:r w:rsidR="239CFBA7" w:rsidRPr="00780E96">
        <w:t> </w:t>
      </w:r>
      <w:r w:rsidR="1F596399" w:rsidRPr="00780E96">
        <w:t>2</w:t>
      </w:r>
      <w:r w:rsidR="3E7E71D4" w:rsidRPr="00780E96">
        <w:t>.</w:t>
      </w:r>
    </w:p>
    <w:p w14:paraId="01D0E60E" w14:textId="3017DC22" w:rsidR="001D6F3F" w:rsidRPr="00780E96" w:rsidRDefault="001D6F3F" w:rsidP="00A704C1">
      <w:pPr>
        <w:pStyle w:val="SDMSubPara1"/>
      </w:pPr>
      <w:r w:rsidRPr="00780E96">
        <w:rPr>
          <w:b/>
          <w:bCs/>
        </w:rPr>
        <w:t>Step</w:t>
      </w:r>
      <w:r w:rsidR="00F7210B" w:rsidRPr="00780E96">
        <w:rPr>
          <w:b/>
          <w:bCs/>
        </w:rPr>
        <w:t> </w:t>
      </w:r>
      <w:r w:rsidRPr="00780E96">
        <w:rPr>
          <w:b/>
          <w:bCs/>
        </w:rPr>
        <w:t>1:</w:t>
      </w:r>
      <w:r w:rsidRPr="00780E96">
        <w:t xml:space="preserve"> </w:t>
      </w:r>
      <w:bookmarkStart w:id="335" w:name="_Hlk215688443"/>
      <w:r w:rsidR="00AA7C0C" w:rsidRPr="00780E96">
        <w:t>identify</w:t>
      </w:r>
      <w:r w:rsidR="00AA7C0C" w:rsidRPr="00780E96" w:rsidDel="005263B7">
        <w:t xml:space="preserve"> </w:t>
      </w:r>
      <w:r w:rsidR="00F46BA2" w:rsidRPr="00780E96">
        <w:t>all</w:t>
      </w:r>
      <w:r w:rsidR="005263B7" w:rsidRPr="00780E96">
        <w:t xml:space="preserve"> </w:t>
      </w:r>
      <w:r w:rsidRPr="00780E96">
        <w:t xml:space="preserve">relevant </w:t>
      </w:r>
      <w:r w:rsidR="005F316C" w:rsidRPr="00780E96">
        <w:t xml:space="preserve">electricity generation </w:t>
      </w:r>
      <w:r w:rsidR="0007208C" w:rsidRPr="00780E96">
        <w:t>and</w:t>
      </w:r>
      <w:r w:rsidR="005F316C" w:rsidRPr="00780E96">
        <w:t xml:space="preserve"> consumption source</w:t>
      </w:r>
      <w:r w:rsidR="00C01AB4" w:rsidRPr="00780E96">
        <w:t>s</w:t>
      </w:r>
      <w:r w:rsidR="005F316C" w:rsidRPr="00780E96">
        <w:t> </w:t>
      </w:r>
      <w:r w:rsidR="005F316C" w:rsidRPr="00780E96">
        <w:rPr>
          <w:i/>
          <w:iCs/>
        </w:rPr>
        <w:t>s</w:t>
      </w:r>
      <w:r w:rsidR="005F316C" w:rsidRPr="00780E96">
        <w:t xml:space="preserve"> </w:t>
      </w:r>
      <w:r w:rsidRPr="00780E96">
        <w:t xml:space="preserve">in relation to the Article 6.4 </w:t>
      </w:r>
      <w:bookmarkEnd w:id="335"/>
      <w:r w:rsidR="006279B7" w:rsidRPr="00780E96">
        <w:t xml:space="preserve">project or CP </w:t>
      </w:r>
      <w:r w:rsidRPr="00780E96">
        <w:t>(</w:t>
      </w:r>
      <w:r w:rsidR="002A0259" w:rsidRPr="00780E96">
        <w:t xml:space="preserve">see </w:t>
      </w:r>
      <w:r w:rsidRPr="00780E96">
        <w:t>section</w:t>
      </w:r>
      <w:r w:rsidR="00451F27" w:rsidRPr="00780E96">
        <w:t> </w:t>
      </w:r>
      <w:r w:rsidR="00F53C82" w:rsidRPr="00780E96">
        <w:fldChar w:fldCharType="begin"/>
      </w:r>
      <w:r w:rsidR="00F53C82" w:rsidRPr="00780E96">
        <w:instrText xml:space="preserve"> REF _Ref221036476 \w \h </w:instrText>
      </w:r>
      <w:r w:rsidR="00780E96">
        <w:instrText xml:space="preserve"> \* MERGEFORMAT </w:instrText>
      </w:r>
      <w:r w:rsidR="00F53C82" w:rsidRPr="00780E96">
        <w:fldChar w:fldCharType="separate"/>
      </w:r>
      <w:r w:rsidR="003B0135" w:rsidRPr="00780E96">
        <w:rPr>
          <w:cs/>
        </w:rPr>
        <w:t>‎</w:t>
      </w:r>
      <w:r w:rsidR="003B0135" w:rsidRPr="00780E96">
        <w:t>5.1</w:t>
      </w:r>
      <w:r w:rsidR="00F53C82" w:rsidRPr="00780E96">
        <w:fldChar w:fldCharType="end"/>
      </w:r>
      <w:r w:rsidRPr="00780E96">
        <w:t>);</w:t>
      </w:r>
    </w:p>
    <w:p w14:paraId="461663C7" w14:textId="1E64D1FB" w:rsidR="001D6F3F" w:rsidRPr="00780E96" w:rsidRDefault="5D1B63AA" w:rsidP="00A704C1">
      <w:pPr>
        <w:pStyle w:val="SDMSubPara1"/>
      </w:pPr>
      <w:r w:rsidRPr="00780E96">
        <w:rPr>
          <w:b/>
          <w:bCs/>
        </w:rPr>
        <w:t>Step</w:t>
      </w:r>
      <w:r w:rsidR="622BEDE1" w:rsidRPr="00780E96">
        <w:rPr>
          <w:b/>
          <w:bCs/>
        </w:rPr>
        <w:t> </w:t>
      </w:r>
      <w:r w:rsidRPr="00780E96">
        <w:rPr>
          <w:b/>
          <w:bCs/>
        </w:rPr>
        <w:t>2:</w:t>
      </w:r>
      <w:r w:rsidRPr="00780E96">
        <w:t xml:space="preserve"> </w:t>
      </w:r>
      <w:r w:rsidR="00AA7C0C" w:rsidRPr="00780E96">
        <w:t>determine</w:t>
      </w:r>
      <w:r w:rsidR="00C56B20" w:rsidRPr="00780E96">
        <w:t>,</w:t>
      </w:r>
      <w:r w:rsidRPr="00780E96">
        <w:t xml:space="preserve"> for each </w:t>
      </w:r>
      <w:r w:rsidR="3834969F" w:rsidRPr="00780E96">
        <w:t>electricity generation or consumption source </w:t>
      </w:r>
      <w:r w:rsidR="3834969F" w:rsidRPr="00780E96">
        <w:rPr>
          <w:i/>
        </w:rPr>
        <w:t>s</w:t>
      </w:r>
      <w:r w:rsidR="00C56B20" w:rsidRPr="00780E96">
        <w:t>,</w:t>
      </w:r>
      <w:r w:rsidR="3834969F" w:rsidRPr="00780E96">
        <w:t xml:space="preserve"> </w:t>
      </w:r>
      <w:r w:rsidRPr="00780E96">
        <w:t xml:space="preserve">whether electricity is </w:t>
      </w:r>
      <w:r w:rsidR="4A20D65A" w:rsidRPr="00780E96">
        <w:t xml:space="preserve">consumed </w:t>
      </w:r>
      <w:r w:rsidRPr="00780E96">
        <w:t xml:space="preserve">from </w:t>
      </w:r>
      <w:r w:rsidR="2FF6FEB8" w:rsidRPr="00780E96">
        <w:t>or fed into</w:t>
      </w:r>
      <w:r w:rsidRPr="00780E96">
        <w:t xml:space="preserve"> </w:t>
      </w:r>
      <w:r w:rsidR="1B35D584" w:rsidRPr="00780E96">
        <w:t>an</w:t>
      </w:r>
      <w:r w:rsidR="17D5FC47" w:rsidRPr="00780E96">
        <w:t xml:space="preserve"> electric</w:t>
      </w:r>
      <w:r w:rsidR="341E3A0B" w:rsidRPr="00780E96">
        <w:t>ity</w:t>
      </w:r>
      <w:r w:rsidR="17D5FC47" w:rsidRPr="00780E96">
        <w:t xml:space="preserve"> system</w:t>
      </w:r>
      <w:r w:rsidR="002A0259" w:rsidRPr="00780E96">
        <w:t>,</w:t>
      </w:r>
      <w:r w:rsidR="17D5FC47" w:rsidRPr="00780E96">
        <w:t xml:space="preserve"> </w:t>
      </w:r>
      <w:r w:rsidRPr="00780E96">
        <w:t xml:space="preserve">or </w:t>
      </w:r>
      <w:r w:rsidR="2FF6FEB8" w:rsidRPr="00780E96">
        <w:t xml:space="preserve">whether it is consumed </w:t>
      </w:r>
      <w:r w:rsidR="17D5FC47" w:rsidRPr="00780E96">
        <w:t xml:space="preserve">from </w:t>
      </w:r>
      <w:r w:rsidR="2FF6FEB8" w:rsidRPr="00780E96">
        <w:t>or avoids power</w:t>
      </w:r>
      <w:r w:rsidR="39B1CFD7" w:rsidRPr="00780E96">
        <w:t xml:space="preserve"> generation by </w:t>
      </w:r>
      <w:r w:rsidR="000B302C" w:rsidRPr="00780E96">
        <w:t>fossil</w:t>
      </w:r>
      <w:r w:rsidR="1C2D3AB8" w:rsidRPr="00780E96">
        <w:t>-</w:t>
      </w:r>
      <w:r w:rsidR="000B302C" w:rsidRPr="00780E96">
        <w:t xml:space="preserve">fuel fired </w:t>
      </w:r>
      <w:r w:rsidRPr="00780E96">
        <w:t xml:space="preserve">captive power </w:t>
      </w:r>
      <w:r w:rsidR="79B2ECE3" w:rsidRPr="00780E96">
        <w:t>plant(s)</w:t>
      </w:r>
      <w:r w:rsidRPr="00780E96">
        <w:t xml:space="preserve"> (</w:t>
      </w:r>
      <w:r w:rsidR="002A0259" w:rsidRPr="00780E96">
        <w:t xml:space="preserve">see </w:t>
      </w:r>
      <w:r w:rsidRPr="00780E96">
        <w:t>section</w:t>
      </w:r>
      <w:r w:rsidR="27827080" w:rsidRPr="00780E96">
        <w:t> </w:t>
      </w:r>
      <w:r w:rsidR="00F53C82" w:rsidRPr="00780E96">
        <w:fldChar w:fldCharType="begin"/>
      </w:r>
      <w:r w:rsidR="00F53C82" w:rsidRPr="00780E96">
        <w:instrText xml:space="preserve"> REF _Ref221036493 \w \h </w:instrText>
      </w:r>
      <w:r w:rsidR="00780E96">
        <w:instrText xml:space="preserve"> \* MERGEFORMAT </w:instrText>
      </w:r>
      <w:r w:rsidR="00F53C82" w:rsidRPr="00780E96">
        <w:fldChar w:fldCharType="separate"/>
      </w:r>
      <w:r w:rsidR="003B0135" w:rsidRPr="00780E96">
        <w:rPr>
          <w:cs/>
        </w:rPr>
        <w:t>‎</w:t>
      </w:r>
      <w:r w:rsidR="003B0135" w:rsidRPr="00780E96">
        <w:t>5.2</w:t>
      </w:r>
      <w:r w:rsidR="00F53C82" w:rsidRPr="00780E96">
        <w:fldChar w:fldCharType="end"/>
      </w:r>
      <w:r w:rsidRPr="00780E96">
        <w:t>);</w:t>
      </w:r>
    </w:p>
    <w:p w14:paraId="63FEA814" w14:textId="1CD8448E" w:rsidR="001D6F3F" w:rsidRPr="00780E96" w:rsidRDefault="001D6F3F" w:rsidP="00A704C1">
      <w:pPr>
        <w:pStyle w:val="SDMSubPara1"/>
      </w:pPr>
      <w:r w:rsidRPr="00780E96">
        <w:rPr>
          <w:b/>
          <w:bCs/>
        </w:rPr>
        <w:t>Step</w:t>
      </w:r>
      <w:r w:rsidR="00F7210B" w:rsidRPr="00780E96">
        <w:rPr>
          <w:b/>
          <w:bCs/>
        </w:rPr>
        <w:t> </w:t>
      </w:r>
      <w:r w:rsidRPr="00780E96">
        <w:rPr>
          <w:b/>
          <w:bCs/>
        </w:rPr>
        <w:t>3:</w:t>
      </w:r>
      <w:r w:rsidRPr="00780E96">
        <w:t xml:space="preserve"> </w:t>
      </w:r>
      <w:r w:rsidR="00AA7C0C" w:rsidRPr="00780E96">
        <w:t xml:space="preserve">identify </w:t>
      </w:r>
      <w:r w:rsidRPr="00780E96">
        <w:t>the relevant electricity system</w:t>
      </w:r>
      <w:r w:rsidR="007C7087" w:rsidRPr="00780E96">
        <w:t>(</w:t>
      </w:r>
      <w:r w:rsidRPr="00780E96">
        <w:t>s</w:t>
      </w:r>
      <w:r w:rsidR="007C7087" w:rsidRPr="00780E96">
        <w:t>)</w:t>
      </w:r>
      <w:r w:rsidRPr="00780E96">
        <w:t>, where applicable (</w:t>
      </w:r>
      <w:r w:rsidR="002A0259" w:rsidRPr="00780E96">
        <w:t xml:space="preserve">see </w:t>
      </w:r>
      <w:r w:rsidRPr="00780E96">
        <w:t>section</w:t>
      </w:r>
      <w:r w:rsidR="00F53C82" w:rsidRPr="00780E96">
        <w:t xml:space="preserve"> </w:t>
      </w:r>
      <w:r w:rsidR="00F53C82" w:rsidRPr="00780E96">
        <w:fldChar w:fldCharType="begin"/>
      </w:r>
      <w:r w:rsidR="00F53C82" w:rsidRPr="00780E96">
        <w:instrText xml:space="preserve"> REF _Ref221036511 \w \h </w:instrText>
      </w:r>
      <w:r w:rsidR="00780E96">
        <w:instrText xml:space="preserve"> \* MERGEFORMAT </w:instrText>
      </w:r>
      <w:r w:rsidR="00F53C82" w:rsidRPr="00780E96">
        <w:fldChar w:fldCharType="separate"/>
      </w:r>
      <w:r w:rsidR="003B0135" w:rsidRPr="00780E96">
        <w:rPr>
          <w:cs/>
        </w:rPr>
        <w:t>‎</w:t>
      </w:r>
      <w:r w:rsidR="003B0135" w:rsidRPr="00780E96">
        <w:t>5.3</w:t>
      </w:r>
      <w:r w:rsidR="00F53C82" w:rsidRPr="00780E96">
        <w:fldChar w:fldCharType="end"/>
      </w:r>
      <w:r w:rsidRPr="00780E96">
        <w:t>);</w:t>
      </w:r>
    </w:p>
    <w:p w14:paraId="3B82EF7E" w14:textId="2FCAC22B" w:rsidR="00FF70B5" w:rsidRPr="00780E96" w:rsidRDefault="0030784C" w:rsidP="00A704C1">
      <w:pPr>
        <w:pStyle w:val="SDMSubPara1"/>
      </w:pPr>
      <w:r w:rsidRPr="00780E96">
        <w:rPr>
          <w:b/>
          <w:bCs/>
        </w:rPr>
        <w:t>Step</w:t>
      </w:r>
      <w:r w:rsidR="00F7210B" w:rsidRPr="00780E96">
        <w:rPr>
          <w:b/>
          <w:bCs/>
        </w:rPr>
        <w:t> </w:t>
      </w:r>
      <w:r w:rsidRPr="00780E96">
        <w:rPr>
          <w:b/>
          <w:bCs/>
        </w:rPr>
        <w:t>4:</w:t>
      </w:r>
      <w:r w:rsidRPr="00780E96">
        <w:t xml:space="preserve"> </w:t>
      </w:r>
      <w:r w:rsidR="00AA7C0C" w:rsidRPr="00780E96">
        <w:t xml:space="preserve">determine </w:t>
      </w:r>
      <w:r w:rsidR="00A73F1E" w:rsidRPr="00780E96">
        <w:t xml:space="preserve">whether </w:t>
      </w:r>
      <w:r w:rsidR="00837DF4" w:rsidRPr="00780E96">
        <w:t xml:space="preserve">applying </w:t>
      </w:r>
      <w:r w:rsidR="008139F3" w:rsidRPr="00780E96">
        <w:t xml:space="preserve">a </w:t>
      </w:r>
      <w:r w:rsidR="00A73F1E" w:rsidRPr="00780E96">
        <w:t xml:space="preserve">higher or </w:t>
      </w:r>
      <w:r w:rsidR="00F857DB" w:rsidRPr="00780E96">
        <w:t xml:space="preserve">a </w:t>
      </w:r>
      <w:r w:rsidR="00A73F1E" w:rsidRPr="00780E96">
        <w:t>lower</w:t>
      </w:r>
      <w:r w:rsidR="005450C8" w:rsidRPr="00780E96">
        <w:t xml:space="preserve"> value</w:t>
      </w:r>
      <w:r w:rsidR="008139F3" w:rsidRPr="00780E96">
        <w:t xml:space="preserve"> </w:t>
      </w:r>
      <w:r w:rsidRPr="00780E96">
        <w:t>for emission</w:t>
      </w:r>
      <w:r w:rsidR="0021414E" w:rsidRPr="00780E96">
        <w:t>s</w:t>
      </w:r>
      <w:r w:rsidR="00EB5D11" w:rsidRPr="00780E96">
        <w:t xml:space="preserve"> </w:t>
      </w:r>
      <w:r w:rsidRPr="00780E96">
        <w:t>from electricity generation</w:t>
      </w:r>
      <w:r w:rsidR="00EB5D11" w:rsidRPr="00780E96">
        <w:t xml:space="preserve"> </w:t>
      </w:r>
      <w:r w:rsidR="00C029DC" w:rsidRPr="00780E96">
        <w:t>and/</w:t>
      </w:r>
      <w:r w:rsidR="00EB5D11" w:rsidRPr="00780E96">
        <w:t xml:space="preserve">or </w:t>
      </w:r>
      <w:r w:rsidRPr="00780E96">
        <w:t>consumption</w:t>
      </w:r>
      <w:r w:rsidR="00EB5D11" w:rsidRPr="00780E96">
        <w:t xml:space="preserve"> is more conservative</w:t>
      </w:r>
      <w:r w:rsidR="00FF70B5" w:rsidRPr="00780E96">
        <w:t xml:space="preserve"> </w:t>
      </w:r>
      <w:r w:rsidRPr="00780E96">
        <w:t>(</w:t>
      </w:r>
      <w:r w:rsidR="002B3856" w:rsidRPr="00780E96">
        <w:t xml:space="preserve">see </w:t>
      </w:r>
      <w:r w:rsidRPr="00780E96">
        <w:t>section</w:t>
      </w:r>
      <w:r w:rsidR="00F53C82" w:rsidRPr="00780E96">
        <w:t xml:space="preserve"> </w:t>
      </w:r>
      <w:r w:rsidR="00F53C82" w:rsidRPr="00780E96">
        <w:fldChar w:fldCharType="begin"/>
      </w:r>
      <w:r w:rsidR="00F53C82" w:rsidRPr="00780E96">
        <w:instrText xml:space="preserve"> REF _Ref221036530 \w \h </w:instrText>
      </w:r>
      <w:r w:rsidR="00780E96">
        <w:instrText xml:space="preserve"> \* MERGEFORMAT </w:instrText>
      </w:r>
      <w:r w:rsidR="00F53C82" w:rsidRPr="00780E96">
        <w:fldChar w:fldCharType="separate"/>
      </w:r>
      <w:r w:rsidR="003B0135" w:rsidRPr="00780E96">
        <w:rPr>
          <w:cs/>
        </w:rPr>
        <w:t>‎</w:t>
      </w:r>
      <w:r w:rsidR="003B0135" w:rsidRPr="00780E96">
        <w:t>5.4</w:t>
      </w:r>
      <w:r w:rsidR="00F53C82" w:rsidRPr="00780E96">
        <w:fldChar w:fldCharType="end"/>
      </w:r>
      <w:r w:rsidRPr="00780E96">
        <w:t>);</w:t>
      </w:r>
    </w:p>
    <w:p w14:paraId="292A81A7" w14:textId="1087C982" w:rsidR="001D6F3F" w:rsidRPr="00780E96" w:rsidRDefault="001D6F3F" w:rsidP="00A704C1">
      <w:pPr>
        <w:pStyle w:val="SDMSubPara1"/>
      </w:pPr>
      <w:r w:rsidRPr="00780E96">
        <w:rPr>
          <w:b/>
          <w:bCs/>
        </w:rPr>
        <w:t>Step</w:t>
      </w:r>
      <w:r w:rsidR="00F7210B" w:rsidRPr="00780E96">
        <w:rPr>
          <w:b/>
          <w:bCs/>
        </w:rPr>
        <w:t> </w:t>
      </w:r>
      <w:r w:rsidR="0030784C" w:rsidRPr="00780E96">
        <w:rPr>
          <w:b/>
          <w:bCs/>
        </w:rPr>
        <w:t>5</w:t>
      </w:r>
      <w:r w:rsidRPr="00780E96">
        <w:rPr>
          <w:b/>
          <w:bCs/>
        </w:rPr>
        <w:t>:</w:t>
      </w:r>
      <w:r w:rsidRPr="00780E96">
        <w:t xml:space="preserve"> </w:t>
      </w:r>
      <w:r w:rsidR="00AA7C0C" w:rsidRPr="00780E96">
        <w:t xml:space="preserve">determine </w:t>
      </w:r>
      <w:r w:rsidRPr="00780E96">
        <w:t xml:space="preserve">the amount of electricity </w:t>
      </w:r>
      <w:r w:rsidR="001A234D" w:rsidRPr="00780E96">
        <w:t xml:space="preserve">generation </w:t>
      </w:r>
      <w:r w:rsidR="00C029DC" w:rsidRPr="00780E96">
        <w:t>and/</w:t>
      </w:r>
      <w:r w:rsidRPr="00780E96">
        <w:t xml:space="preserve">or </w:t>
      </w:r>
      <w:r w:rsidR="001A234D" w:rsidRPr="00780E96">
        <w:t>consumption</w:t>
      </w:r>
      <w:r w:rsidR="00400CBF" w:rsidRPr="00780E96">
        <w:t xml:space="preserve"> </w:t>
      </w:r>
      <w:r w:rsidRPr="00780E96">
        <w:t>(</w:t>
      </w:r>
      <w:r w:rsidR="002B3856" w:rsidRPr="00780E96">
        <w:t xml:space="preserve">see </w:t>
      </w:r>
      <w:r w:rsidRPr="00780E96">
        <w:t>sectio</w:t>
      </w:r>
      <w:r w:rsidR="00CF4B2C" w:rsidRPr="00780E96">
        <w:t xml:space="preserve">n </w:t>
      </w:r>
      <w:r w:rsidR="00F53C82" w:rsidRPr="00780E96">
        <w:fldChar w:fldCharType="begin"/>
      </w:r>
      <w:r w:rsidR="00F53C82" w:rsidRPr="00780E96">
        <w:instrText xml:space="preserve"> REF _Ref221036542 \w \h </w:instrText>
      </w:r>
      <w:r w:rsidR="00780E96">
        <w:instrText xml:space="preserve"> \* MERGEFORMAT </w:instrText>
      </w:r>
      <w:r w:rsidR="00F53C82" w:rsidRPr="00780E96">
        <w:fldChar w:fldCharType="separate"/>
      </w:r>
      <w:r w:rsidR="003B0135" w:rsidRPr="00780E96">
        <w:rPr>
          <w:cs/>
        </w:rPr>
        <w:t>‎</w:t>
      </w:r>
      <w:r w:rsidR="003B0135" w:rsidRPr="00780E96">
        <w:t>5.5</w:t>
      </w:r>
      <w:r w:rsidR="00F53C82" w:rsidRPr="00780E96">
        <w:fldChar w:fldCharType="end"/>
      </w:r>
      <w:r w:rsidRPr="00780E96">
        <w:t>);</w:t>
      </w:r>
    </w:p>
    <w:p w14:paraId="5EBCA514" w14:textId="444A4A8E" w:rsidR="001D6F3F" w:rsidRPr="00780E96" w:rsidRDefault="00CB2392" w:rsidP="00A704C1">
      <w:pPr>
        <w:pStyle w:val="SDMSubPara1"/>
      </w:pPr>
      <w:r w:rsidRPr="00780E96">
        <w:rPr>
          <w:b/>
          <w:bCs/>
        </w:rPr>
        <w:t>Step</w:t>
      </w:r>
      <w:r w:rsidR="00F7210B" w:rsidRPr="00780E96">
        <w:rPr>
          <w:b/>
          <w:bCs/>
        </w:rPr>
        <w:t> </w:t>
      </w:r>
      <w:r w:rsidRPr="00780E96">
        <w:rPr>
          <w:b/>
          <w:bCs/>
        </w:rPr>
        <w:t>6:</w:t>
      </w:r>
      <w:r w:rsidRPr="00780E96">
        <w:t xml:space="preserve"> </w:t>
      </w:r>
      <w:r w:rsidR="00AA7C0C" w:rsidRPr="00780E96">
        <w:t xml:space="preserve">determine </w:t>
      </w:r>
      <w:r w:rsidR="00737805" w:rsidRPr="00780E96">
        <w:t xml:space="preserve">which emission factor is applicable </w:t>
      </w:r>
      <w:r w:rsidRPr="00780E96">
        <w:t>(</w:t>
      </w:r>
      <w:r w:rsidR="002B3856" w:rsidRPr="00780E96">
        <w:t xml:space="preserve">see </w:t>
      </w:r>
      <w:r w:rsidRPr="00780E96">
        <w:t>section</w:t>
      </w:r>
      <w:r w:rsidR="00F53C82" w:rsidRPr="00780E96">
        <w:t xml:space="preserve"> </w:t>
      </w:r>
      <w:r w:rsidR="00084BC3" w:rsidRPr="00780E96">
        <w:fldChar w:fldCharType="begin"/>
      </w:r>
      <w:r w:rsidR="00084BC3" w:rsidRPr="00780E96">
        <w:instrText xml:space="preserve"> REF _Ref212234563 \w \h </w:instrText>
      </w:r>
      <w:r w:rsidR="00780E96">
        <w:instrText xml:space="preserve"> \* MERGEFORMAT </w:instrText>
      </w:r>
      <w:r w:rsidR="00084BC3" w:rsidRPr="00780E96">
        <w:fldChar w:fldCharType="separate"/>
      </w:r>
      <w:r w:rsidR="003B0135" w:rsidRPr="00780E96">
        <w:rPr>
          <w:cs/>
        </w:rPr>
        <w:t>‎</w:t>
      </w:r>
      <w:r w:rsidR="003B0135" w:rsidRPr="00780E96">
        <w:t>5.6</w:t>
      </w:r>
      <w:r w:rsidR="00084BC3" w:rsidRPr="00780E96">
        <w:fldChar w:fldCharType="end"/>
      </w:r>
      <w:r w:rsidRPr="00780E96">
        <w:t>)</w:t>
      </w:r>
      <w:r w:rsidR="00D5077E" w:rsidRPr="00780E96">
        <w:t>;</w:t>
      </w:r>
    </w:p>
    <w:p w14:paraId="0615E010" w14:textId="711B0A9E" w:rsidR="002A3C11" w:rsidRPr="00780E96" w:rsidRDefault="002A3C11" w:rsidP="00A704C1">
      <w:pPr>
        <w:pStyle w:val="SDMSubPara1"/>
      </w:pPr>
      <w:r w:rsidRPr="00780E96">
        <w:rPr>
          <w:b/>
          <w:bCs/>
        </w:rPr>
        <w:t>Step</w:t>
      </w:r>
      <w:r w:rsidR="00F7210B" w:rsidRPr="00780E96">
        <w:rPr>
          <w:b/>
          <w:bCs/>
        </w:rPr>
        <w:t> </w:t>
      </w:r>
      <w:r w:rsidRPr="00780E96">
        <w:rPr>
          <w:b/>
          <w:bCs/>
        </w:rPr>
        <w:t>7</w:t>
      </w:r>
      <w:r w:rsidR="00FD3DBC" w:rsidRPr="00780E96">
        <w:rPr>
          <w:b/>
          <w:bCs/>
        </w:rPr>
        <w:t>:</w:t>
      </w:r>
      <w:r w:rsidRPr="00780E96">
        <w:t xml:space="preserve"> </w:t>
      </w:r>
      <w:r w:rsidR="00AA7C0C" w:rsidRPr="00780E96">
        <w:t xml:space="preserve">determine </w:t>
      </w:r>
      <w:r w:rsidRPr="00780E96">
        <w:t>the emission factor of the electricity system</w:t>
      </w:r>
      <w:r w:rsidR="00A24448" w:rsidRPr="00780E96">
        <w:t>, where applicable</w:t>
      </w:r>
      <w:r w:rsidRPr="00780E96">
        <w:t xml:space="preserve"> (</w:t>
      </w:r>
      <w:r w:rsidR="002B3856" w:rsidRPr="00780E96">
        <w:t xml:space="preserve">see </w:t>
      </w:r>
      <w:r w:rsidRPr="00780E96">
        <w:t xml:space="preserve">section </w:t>
      </w:r>
      <w:r w:rsidR="00084BC3" w:rsidRPr="00780E96">
        <w:fldChar w:fldCharType="begin"/>
      </w:r>
      <w:r w:rsidR="00084BC3" w:rsidRPr="00780E96">
        <w:instrText xml:space="preserve"> REF _Ref215680223 \w \h </w:instrText>
      </w:r>
      <w:r w:rsidR="00780E96">
        <w:instrText xml:space="preserve"> \* MERGEFORMAT </w:instrText>
      </w:r>
      <w:r w:rsidR="00084BC3" w:rsidRPr="00780E96">
        <w:fldChar w:fldCharType="separate"/>
      </w:r>
      <w:r w:rsidR="003B0135" w:rsidRPr="00780E96">
        <w:rPr>
          <w:cs/>
        </w:rPr>
        <w:t>‎</w:t>
      </w:r>
      <w:r w:rsidR="003B0135" w:rsidRPr="00780E96">
        <w:t>5.7</w:t>
      </w:r>
      <w:r w:rsidR="00084BC3" w:rsidRPr="00780E96">
        <w:fldChar w:fldCharType="end"/>
      </w:r>
      <w:r w:rsidRPr="00780E96">
        <w:t>);</w:t>
      </w:r>
    </w:p>
    <w:p w14:paraId="10417997" w14:textId="357331DB" w:rsidR="002A3C11" w:rsidRPr="00780E96" w:rsidRDefault="009205D6" w:rsidP="00A704C1">
      <w:pPr>
        <w:pStyle w:val="SDMSubPara1"/>
      </w:pPr>
      <w:r w:rsidRPr="00780E96">
        <w:rPr>
          <w:b/>
          <w:bCs/>
        </w:rPr>
        <w:t>Step</w:t>
      </w:r>
      <w:r w:rsidR="00F7210B" w:rsidRPr="00780E96">
        <w:rPr>
          <w:b/>
          <w:bCs/>
        </w:rPr>
        <w:t> </w:t>
      </w:r>
      <w:r w:rsidRPr="00780E96">
        <w:rPr>
          <w:b/>
          <w:bCs/>
        </w:rPr>
        <w:t>8:</w:t>
      </w:r>
      <w:r w:rsidRPr="00780E96">
        <w:t xml:space="preserve"> </w:t>
      </w:r>
      <w:r w:rsidR="00AA7C0C" w:rsidRPr="00780E96">
        <w:t xml:space="preserve">determine </w:t>
      </w:r>
      <w:r w:rsidRPr="00780E96">
        <w:t>the emission factor for electricity sourced from captive fossil</w:t>
      </w:r>
      <w:r w:rsidR="194344CD" w:rsidRPr="00780E96">
        <w:t>-</w:t>
      </w:r>
      <w:r w:rsidRPr="00780E96">
        <w:t xml:space="preserve">fuel </w:t>
      </w:r>
      <w:r w:rsidR="194344CD" w:rsidRPr="00780E96">
        <w:t xml:space="preserve">fired </w:t>
      </w:r>
      <w:r w:rsidRPr="00780E96">
        <w:t>power plants</w:t>
      </w:r>
      <w:r w:rsidR="008E0FBB" w:rsidRPr="00780E96">
        <w:t>, where applicable</w:t>
      </w:r>
      <w:r w:rsidRPr="00780E96">
        <w:t xml:space="preserve"> (</w:t>
      </w:r>
      <w:r w:rsidR="00436AC3" w:rsidRPr="00780E96">
        <w:t xml:space="preserve">see </w:t>
      </w:r>
      <w:r w:rsidRPr="00780E96">
        <w:t xml:space="preserve">section </w:t>
      </w:r>
      <w:r w:rsidR="001E655D" w:rsidRPr="00780E96">
        <w:fldChar w:fldCharType="begin"/>
      </w:r>
      <w:r w:rsidR="001E655D" w:rsidRPr="00780E96">
        <w:instrText xml:space="preserve"> REF _Ref215680292 \w \h </w:instrText>
      </w:r>
      <w:r w:rsidR="00780E96">
        <w:instrText xml:space="preserve"> \* MERGEFORMAT </w:instrText>
      </w:r>
      <w:r w:rsidR="001E655D" w:rsidRPr="00780E96">
        <w:fldChar w:fldCharType="separate"/>
      </w:r>
      <w:r w:rsidR="003B0135" w:rsidRPr="00780E96">
        <w:rPr>
          <w:cs/>
        </w:rPr>
        <w:t>‎</w:t>
      </w:r>
      <w:r w:rsidR="003B0135" w:rsidRPr="00780E96">
        <w:t>5.8</w:t>
      </w:r>
      <w:r w:rsidR="001E655D" w:rsidRPr="00780E96">
        <w:fldChar w:fldCharType="end"/>
      </w:r>
      <w:r w:rsidRPr="00780E96">
        <w:t>)</w:t>
      </w:r>
      <w:r w:rsidR="00F61D61" w:rsidRPr="00780E96">
        <w:t>;</w:t>
      </w:r>
    </w:p>
    <w:p w14:paraId="3AE25D0A" w14:textId="1F4C6C1D" w:rsidR="001D6F3F" w:rsidRPr="00780E96" w:rsidRDefault="00CB2392" w:rsidP="00A704C1">
      <w:pPr>
        <w:pStyle w:val="SDMSubPara1"/>
      </w:pPr>
      <w:r w:rsidRPr="00780E96">
        <w:rPr>
          <w:b/>
          <w:bCs/>
        </w:rPr>
        <w:t>Step</w:t>
      </w:r>
      <w:r w:rsidR="00F7210B" w:rsidRPr="00780E96">
        <w:rPr>
          <w:b/>
          <w:bCs/>
        </w:rPr>
        <w:t> </w:t>
      </w:r>
      <w:r w:rsidR="002A3C11" w:rsidRPr="00780E96">
        <w:rPr>
          <w:b/>
          <w:bCs/>
        </w:rPr>
        <w:t>9</w:t>
      </w:r>
      <w:r w:rsidRPr="00780E96">
        <w:rPr>
          <w:b/>
          <w:bCs/>
        </w:rPr>
        <w:t>:</w:t>
      </w:r>
      <w:r w:rsidRPr="00780E96">
        <w:t xml:space="preserve"> </w:t>
      </w:r>
      <w:bookmarkStart w:id="336" w:name="_Hlk215689744"/>
      <w:r w:rsidR="00AA7C0C" w:rsidRPr="00780E96">
        <w:t xml:space="preserve">determine </w:t>
      </w:r>
      <w:r w:rsidR="0094340B" w:rsidRPr="00780E96">
        <w:t>the</w:t>
      </w:r>
      <w:r w:rsidR="001D6F3F" w:rsidRPr="00780E96">
        <w:t xml:space="preserve"> transmission and distribution losses</w:t>
      </w:r>
      <w:r w:rsidR="004767EA" w:rsidRPr="00780E96">
        <w:t xml:space="preserve"> </w:t>
      </w:r>
      <w:r w:rsidR="00436AC3" w:rsidRPr="00780E96">
        <w:t xml:space="preserve">in </w:t>
      </w:r>
      <w:r w:rsidR="004767EA" w:rsidRPr="00780E96">
        <w:t>the electricity system</w:t>
      </w:r>
      <w:r w:rsidR="0094340B" w:rsidRPr="00780E96">
        <w:t>, where applicable</w:t>
      </w:r>
      <w:bookmarkEnd w:id="336"/>
      <w:r w:rsidR="001D6F3F" w:rsidRPr="00780E96">
        <w:t xml:space="preserve"> </w:t>
      </w:r>
      <w:r w:rsidRPr="00780E96">
        <w:t>(</w:t>
      </w:r>
      <w:r w:rsidR="00436AC3" w:rsidRPr="00780E96">
        <w:t xml:space="preserve">see </w:t>
      </w:r>
      <w:r w:rsidRPr="00780E96">
        <w:t>section</w:t>
      </w:r>
      <w:r w:rsidR="001E655D" w:rsidRPr="00780E96">
        <w:t xml:space="preserve"> </w:t>
      </w:r>
      <w:r w:rsidR="001E655D" w:rsidRPr="00780E96">
        <w:fldChar w:fldCharType="begin"/>
      </w:r>
      <w:r w:rsidR="001E655D" w:rsidRPr="00780E96">
        <w:instrText xml:space="preserve"> REF _Ref221036644 \w \h </w:instrText>
      </w:r>
      <w:r w:rsidR="00780E96">
        <w:instrText xml:space="preserve"> \* MERGEFORMAT </w:instrText>
      </w:r>
      <w:r w:rsidR="001E655D" w:rsidRPr="00780E96">
        <w:fldChar w:fldCharType="separate"/>
      </w:r>
      <w:r w:rsidR="003B0135" w:rsidRPr="00780E96">
        <w:rPr>
          <w:cs/>
        </w:rPr>
        <w:t>‎</w:t>
      </w:r>
      <w:r w:rsidR="003B0135" w:rsidRPr="00780E96">
        <w:t>5.9</w:t>
      </w:r>
      <w:r w:rsidR="001E655D" w:rsidRPr="00780E96">
        <w:fldChar w:fldCharType="end"/>
      </w:r>
      <w:r w:rsidRPr="00780E96">
        <w:t>)</w:t>
      </w:r>
      <w:r w:rsidR="001D6F3F" w:rsidRPr="00780E96">
        <w:t>;</w:t>
      </w:r>
      <w:r w:rsidR="00110D83" w:rsidRPr="00780E96">
        <w:t xml:space="preserve"> and</w:t>
      </w:r>
    </w:p>
    <w:p w14:paraId="1918118A" w14:textId="51DC47EF" w:rsidR="001D6F3F" w:rsidRPr="00780E96" w:rsidRDefault="00CB2392" w:rsidP="00A704C1">
      <w:pPr>
        <w:pStyle w:val="SDMSubPara1"/>
      </w:pPr>
      <w:r w:rsidRPr="00780E96">
        <w:rPr>
          <w:b/>
          <w:bCs/>
        </w:rPr>
        <w:t>Step</w:t>
      </w:r>
      <w:r w:rsidR="00F7210B" w:rsidRPr="00780E96">
        <w:rPr>
          <w:b/>
          <w:bCs/>
        </w:rPr>
        <w:t> </w:t>
      </w:r>
      <w:r w:rsidR="002A3C11" w:rsidRPr="00780E96">
        <w:rPr>
          <w:b/>
          <w:bCs/>
        </w:rPr>
        <w:t>10</w:t>
      </w:r>
      <w:r w:rsidRPr="00780E96">
        <w:rPr>
          <w:b/>
          <w:bCs/>
        </w:rPr>
        <w:t>:</w:t>
      </w:r>
      <w:r w:rsidRPr="00780E96">
        <w:t xml:space="preserve"> </w:t>
      </w:r>
      <w:r w:rsidR="00AA7C0C" w:rsidRPr="00780E96">
        <w:t xml:space="preserve">determine </w:t>
      </w:r>
      <w:r w:rsidR="001D6F3F" w:rsidRPr="00780E96">
        <w:t xml:space="preserve">the emissions from electricity generation and/or consumption </w:t>
      </w:r>
      <w:r w:rsidRPr="00780E96">
        <w:t>(</w:t>
      </w:r>
      <w:r w:rsidR="00110D83" w:rsidRPr="00780E96">
        <w:t xml:space="preserve">see </w:t>
      </w:r>
      <w:r w:rsidRPr="00780E96">
        <w:t>section</w:t>
      </w:r>
      <w:r w:rsidR="001E655D" w:rsidRPr="00780E96">
        <w:t xml:space="preserve"> </w:t>
      </w:r>
      <w:r w:rsidR="001E655D" w:rsidRPr="00780E96">
        <w:fldChar w:fldCharType="begin"/>
      </w:r>
      <w:r w:rsidR="001E655D" w:rsidRPr="00780E96">
        <w:instrText xml:space="preserve"> REF _Ref212234592 \w \h </w:instrText>
      </w:r>
      <w:r w:rsidR="00780E96">
        <w:instrText xml:space="preserve"> \* MERGEFORMAT </w:instrText>
      </w:r>
      <w:r w:rsidR="001E655D" w:rsidRPr="00780E96">
        <w:fldChar w:fldCharType="separate"/>
      </w:r>
      <w:r w:rsidR="003B0135" w:rsidRPr="00780E96">
        <w:rPr>
          <w:cs/>
        </w:rPr>
        <w:t>‎</w:t>
      </w:r>
      <w:r w:rsidR="003B0135" w:rsidRPr="00780E96">
        <w:t>5.10</w:t>
      </w:r>
      <w:r w:rsidR="001E655D" w:rsidRPr="00780E96">
        <w:fldChar w:fldCharType="end"/>
      </w:r>
      <w:r w:rsidRPr="00780E96">
        <w:t>)</w:t>
      </w:r>
      <w:r w:rsidR="001D6F3F" w:rsidRPr="00780E96">
        <w:t>.</w:t>
      </w:r>
    </w:p>
    <w:p w14:paraId="4B65AADB" w14:textId="28CBE75A" w:rsidR="001D6F3F" w:rsidRPr="00780E96" w:rsidRDefault="009A4242">
      <w:pPr>
        <w:pStyle w:val="SDMHead2"/>
      </w:pPr>
      <w:bookmarkStart w:id="337" w:name="_Ref212202647"/>
      <w:bookmarkStart w:id="338" w:name="_Toc212389903"/>
      <w:bookmarkStart w:id="339" w:name="_Toc215208598"/>
      <w:bookmarkStart w:id="340" w:name="_Toc215216117"/>
      <w:bookmarkStart w:id="341" w:name="_Toc215222853"/>
      <w:bookmarkStart w:id="342" w:name="_Toc215223041"/>
      <w:bookmarkStart w:id="343" w:name="_Toc215223263"/>
      <w:bookmarkStart w:id="344" w:name="_Toc215574884"/>
      <w:bookmarkStart w:id="345" w:name="_Toc215923323"/>
      <w:bookmarkStart w:id="346" w:name="_Toc216093019"/>
      <w:bookmarkStart w:id="347" w:name="_Toc216271748"/>
      <w:bookmarkStart w:id="348" w:name="_Toc216279365"/>
      <w:bookmarkStart w:id="349" w:name="_Toc216283403"/>
      <w:bookmarkStart w:id="350" w:name="_Toc216288021"/>
      <w:bookmarkStart w:id="351" w:name="_Toc219666128"/>
      <w:bookmarkStart w:id="352" w:name="_Ref221036476"/>
      <w:bookmarkStart w:id="353" w:name="_Ref221036703"/>
      <w:bookmarkStart w:id="354" w:name="_Toc221096412"/>
      <w:bookmarkStart w:id="355" w:name="_Toc221097964"/>
      <w:bookmarkStart w:id="356" w:name="_Toc221116260"/>
      <w:bookmarkStart w:id="357" w:name="_Toc221117276"/>
      <w:bookmarkStart w:id="358" w:name="_Toc222132114"/>
      <w:bookmarkStart w:id="359" w:name="_Toc222494915"/>
      <w:bookmarkStart w:id="360" w:name="_Toc222512431"/>
      <w:bookmarkStart w:id="361" w:name="_Toc222741751"/>
      <w:bookmarkStart w:id="362" w:name="_Toc234853832"/>
      <w:bookmarkStart w:id="363" w:name="_Toc235002270"/>
      <w:bookmarkStart w:id="364" w:name="_Toc235003429"/>
      <w:bookmarkStart w:id="365" w:name="_Toc236154226"/>
      <w:bookmarkStart w:id="366" w:name="_Toc236216603"/>
      <w:bookmarkStart w:id="367" w:name="_Toc240545091"/>
      <w:bookmarkStart w:id="368" w:name="_Toc240545307"/>
      <w:bookmarkStart w:id="369" w:name="_Toc240576889"/>
      <w:r w:rsidRPr="00780E96">
        <w:t>Step</w:t>
      </w:r>
      <w:r w:rsidR="00126F8A" w:rsidRPr="00780E96">
        <w:t> </w:t>
      </w:r>
      <w:r w:rsidRPr="00780E96">
        <w:t xml:space="preserve">1: </w:t>
      </w:r>
      <w:bookmarkEnd w:id="337"/>
      <w:bookmarkEnd w:id="338"/>
      <w:bookmarkEnd w:id="339"/>
      <w:bookmarkEnd w:id="340"/>
      <w:bookmarkEnd w:id="341"/>
      <w:bookmarkEnd w:id="342"/>
      <w:bookmarkEnd w:id="343"/>
      <w:bookmarkEnd w:id="344"/>
      <w:r w:rsidR="00A27C0C" w:rsidRPr="00780E96">
        <w:t>Identify all relevant electricity generation and consumption source</w:t>
      </w:r>
      <w:r w:rsidR="00A67D25" w:rsidRPr="00780E96">
        <w:t>s </w:t>
      </w:r>
      <w:r w:rsidR="00A27C0C" w:rsidRPr="00780E96">
        <w:rPr>
          <w:i/>
          <w:iCs/>
        </w:rPr>
        <w:t>s</w:t>
      </w:r>
      <w:r w:rsidR="00A27C0C" w:rsidRPr="00780E96">
        <w:t xml:space="preserve"> in relation to the Article 6.4 </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r w:rsidR="006279B7" w:rsidRPr="00780E96">
        <w:t>project or CP</w:t>
      </w:r>
      <w:bookmarkEnd w:id="367"/>
      <w:bookmarkEnd w:id="368"/>
      <w:bookmarkEnd w:id="369"/>
    </w:p>
    <w:p w14:paraId="16587797" w14:textId="67D1849B" w:rsidR="00BA4DEB" w:rsidRPr="00780E96" w:rsidRDefault="47D531C9" w:rsidP="00184FDB">
      <w:pPr>
        <w:pStyle w:val="SDMPara"/>
      </w:pPr>
      <w:r w:rsidRPr="00780E96">
        <w:t>Activity participants shall</w:t>
      </w:r>
      <w:r w:rsidR="2364A4B6" w:rsidRPr="00780E96">
        <w:t xml:space="preserve"> </w:t>
      </w:r>
      <w:r w:rsidRPr="00780E96">
        <w:t xml:space="preserve">identify all </w:t>
      </w:r>
      <w:r w:rsidR="7D0DADD3" w:rsidRPr="00780E96">
        <w:t xml:space="preserve">electricity generation </w:t>
      </w:r>
      <w:r w:rsidR="34455B6A" w:rsidRPr="00780E96">
        <w:t>and</w:t>
      </w:r>
      <w:r w:rsidR="7D0DADD3" w:rsidRPr="00780E96">
        <w:t xml:space="preserve"> consumption sources </w:t>
      </w:r>
      <w:r w:rsidR="7D0DADD3" w:rsidRPr="00780E96">
        <w:rPr>
          <w:i/>
          <w:iCs/>
        </w:rPr>
        <w:t>s</w:t>
      </w:r>
      <w:r w:rsidR="7D0DADD3" w:rsidRPr="00780E96">
        <w:t xml:space="preserve"> </w:t>
      </w:r>
      <w:r w:rsidRPr="00780E96">
        <w:t>in relation to the Article 6.4</w:t>
      </w:r>
      <w:r w:rsidR="004710A9" w:rsidRPr="00780E96">
        <w:t xml:space="preserve"> </w:t>
      </w:r>
      <w:r w:rsidR="00C74EE1" w:rsidRPr="00780E96">
        <w:t>project or CP in the PDD or in the CP-DD, respectively</w:t>
      </w:r>
      <w:r w:rsidR="2364A4B6" w:rsidRPr="00780E96">
        <w:t>, in accordance with the methodology referring to this methodological tool</w:t>
      </w:r>
      <w:r w:rsidRPr="00780E96">
        <w:t xml:space="preserve">. This may include </w:t>
      </w:r>
      <w:r w:rsidR="7C6F8FAC" w:rsidRPr="00780E96">
        <w:t xml:space="preserve">electricity generation and consumption sources </w:t>
      </w:r>
      <w:r w:rsidR="5A26ACFA" w:rsidRPr="00780E96">
        <w:t>which may occur</w:t>
      </w:r>
      <w:r w:rsidRPr="00780E96">
        <w:t xml:space="preserve"> in the </w:t>
      </w:r>
      <w:r w:rsidR="00B708B8" w:rsidRPr="00780E96">
        <w:t xml:space="preserve">activity scenario </w:t>
      </w:r>
      <w:r w:rsidRPr="00780E96">
        <w:t xml:space="preserve">or baseline scenario. It may also include </w:t>
      </w:r>
      <w:r w:rsidR="7C6F8FAC" w:rsidRPr="00780E96">
        <w:t>electricity generation</w:t>
      </w:r>
      <w:r w:rsidR="007B6D17" w:rsidRPr="00780E96">
        <w:t>,</w:t>
      </w:r>
      <w:r w:rsidR="7C6F8FAC" w:rsidRPr="00780E96">
        <w:t xml:space="preserve"> and consumption source</w:t>
      </w:r>
      <w:r w:rsidR="1CFDB0B7" w:rsidRPr="00780E96">
        <w:t>s</w:t>
      </w:r>
      <w:r w:rsidR="7C6F8FAC" w:rsidRPr="00780E96">
        <w:t xml:space="preserve"> </w:t>
      </w:r>
      <w:r w:rsidRPr="00780E96">
        <w:t>classified as leakage sources</w:t>
      </w:r>
      <w:r w:rsidR="4B14BDE9" w:rsidRPr="00780E96">
        <w:t>,</w:t>
      </w:r>
      <w:r w:rsidRPr="00780E96">
        <w:t xml:space="preserve"> where these are considered </w:t>
      </w:r>
      <w:r w:rsidR="4B14BDE9" w:rsidRPr="00780E96">
        <w:t>in accordance with</w:t>
      </w:r>
      <w:r w:rsidRPr="00780E96">
        <w:t xml:space="preserve"> the mechanism methodology referring to this </w:t>
      </w:r>
      <w:r w:rsidR="6F3097D0" w:rsidRPr="00780E96">
        <w:t xml:space="preserve">methodological </w:t>
      </w:r>
      <w:r w:rsidRPr="00780E96">
        <w:t xml:space="preserve">tool. Note that any net “positive leakage” shall not be accounted for, </w:t>
      </w:r>
      <w:r w:rsidR="030A4DB6" w:rsidRPr="00780E96">
        <w:t>in accordance with</w:t>
      </w:r>
      <w:r w:rsidRPr="00780E96">
        <w:t xml:space="preserve"> the provisions </w:t>
      </w:r>
      <w:r w:rsidR="030A4DB6" w:rsidRPr="00780E96">
        <w:t xml:space="preserve">of </w:t>
      </w:r>
      <w:r w:rsidRPr="00780E96">
        <w:t xml:space="preserve">the </w:t>
      </w:r>
      <w:r w:rsidR="224DB49F" w:rsidRPr="00780E96">
        <w:t>“</w:t>
      </w:r>
      <w:r w:rsidR="1889D159" w:rsidRPr="00780E96">
        <w:t>Standard:</w:t>
      </w:r>
      <w:r w:rsidR="37A829F8" w:rsidRPr="00780E96">
        <w:t xml:space="preserve"> </w:t>
      </w:r>
      <w:r w:rsidRPr="00780E96">
        <w:t>Addressing leakage in mechanism methodologies” (A6.4-STAN-METH-005</w:t>
      </w:r>
      <w:r w:rsidR="6E29BAD3" w:rsidRPr="00780E96">
        <w:t>, hereinafter referred</w:t>
      </w:r>
      <w:r w:rsidR="67D894A4" w:rsidRPr="00780E96">
        <w:t xml:space="preserve"> to</w:t>
      </w:r>
      <w:r w:rsidR="6E29BAD3" w:rsidRPr="00780E96">
        <w:t xml:space="preserve"> as</w:t>
      </w:r>
      <w:r w:rsidR="285FD0C1" w:rsidRPr="00780E96">
        <w:t xml:space="preserve"> the</w:t>
      </w:r>
      <w:r w:rsidR="6E29BAD3" w:rsidRPr="00780E96">
        <w:t xml:space="preserve"> “</w:t>
      </w:r>
      <w:r w:rsidR="2A2F0E99" w:rsidRPr="00780E96">
        <w:t>L</w:t>
      </w:r>
      <w:r w:rsidR="6E29BAD3" w:rsidRPr="00780E96">
        <w:t xml:space="preserve">eakage </w:t>
      </w:r>
      <w:r w:rsidR="687D219E" w:rsidRPr="00780E96">
        <w:t>S</w:t>
      </w:r>
      <w:r w:rsidR="6E29BAD3" w:rsidRPr="00780E96">
        <w:t>tandard”</w:t>
      </w:r>
      <w:r w:rsidRPr="00780E96">
        <w:t>).</w:t>
      </w:r>
      <w:r w:rsidR="00BA4DEB" w:rsidRPr="00780E96">
        <w:rPr>
          <w:rStyle w:val="FootnoteReference"/>
        </w:rPr>
        <w:footnoteReference w:id="7"/>
      </w:r>
    </w:p>
    <w:p w14:paraId="5AF0A223" w14:textId="04FFB318" w:rsidR="00BA4DEB" w:rsidRPr="00780E96" w:rsidRDefault="00BA4DEB" w:rsidP="00F62D64">
      <w:pPr>
        <w:pStyle w:val="SDMPara"/>
        <w:keepNext/>
      </w:pPr>
      <w:r w:rsidRPr="00780E96">
        <w:t xml:space="preserve">For each identified </w:t>
      </w:r>
      <w:r w:rsidR="004D66C6" w:rsidRPr="00780E96">
        <w:t>electricity generation or consumption source </w:t>
      </w:r>
      <w:r w:rsidR="004D66C6" w:rsidRPr="00780E96">
        <w:rPr>
          <w:i/>
          <w:iCs/>
        </w:rPr>
        <w:t>s</w:t>
      </w:r>
      <w:r w:rsidRPr="00780E96">
        <w:t>, activity participants shall</w:t>
      </w:r>
      <w:r w:rsidR="008C5638" w:rsidRPr="00780E96">
        <w:t>,</w:t>
      </w:r>
      <w:r w:rsidRPr="00780E96">
        <w:t xml:space="preserve"> in the</w:t>
      </w:r>
      <w:r w:rsidR="00FF5A4F" w:rsidRPr="00780E96">
        <w:t xml:space="preserve"> </w:t>
      </w:r>
      <w:r w:rsidR="00124FB4" w:rsidRPr="00780E96">
        <w:t>PDD or CP-DD:</w:t>
      </w:r>
    </w:p>
    <w:p w14:paraId="5C890117" w14:textId="1E78DDC0" w:rsidR="009B5FEF" w:rsidRPr="00780E96" w:rsidRDefault="009B5FEF" w:rsidP="00A704C1">
      <w:pPr>
        <w:pStyle w:val="SDMSubPara1"/>
      </w:pPr>
      <w:r w:rsidRPr="00780E96">
        <w:t>Assign a unique number</w:t>
      </w:r>
      <w:r w:rsidR="00E52A9C" w:rsidRPr="00780E96">
        <w:t xml:space="preserve"> </w:t>
      </w:r>
      <w:r w:rsidRPr="00780E96">
        <w:t xml:space="preserve">to </w:t>
      </w:r>
      <w:r w:rsidR="00E52A9C" w:rsidRPr="00780E96">
        <w:t xml:space="preserve">the </w:t>
      </w:r>
      <w:r w:rsidRPr="00780E96">
        <w:t xml:space="preserve">identified </w:t>
      </w:r>
      <w:r w:rsidR="00551A71" w:rsidRPr="00780E96">
        <w:t>source</w:t>
      </w:r>
      <w:r w:rsidRPr="00780E96">
        <w:t>;</w:t>
      </w:r>
    </w:p>
    <w:p w14:paraId="0EFBAA2C" w14:textId="77777777" w:rsidR="00BA4DEB" w:rsidRPr="00780E96" w:rsidRDefault="00BA4DEB" w:rsidP="00A704C1">
      <w:pPr>
        <w:pStyle w:val="SDMSubPara1"/>
      </w:pPr>
      <w:r w:rsidRPr="00780E96">
        <w:t xml:space="preserve">Describe the electricity generation or consumption </w:t>
      </w:r>
      <w:r w:rsidR="00C24DFE" w:rsidRPr="00780E96">
        <w:t>source</w:t>
      </w:r>
      <w:r w:rsidRPr="00780E96">
        <w:t xml:space="preserve"> and its location;</w:t>
      </w:r>
    </w:p>
    <w:p w14:paraId="67BC1327" w14:textId="1DE73DB1" w:rsidR="5019A4AA" w:rsidRPr="00780E96" w:rsidRDefault="5019A4AA" w:rsidP="00A704C1">
      <w:pPr>
        <w:pStyle w:val="SDMSubPara1"/>
      </w:pPr>
      <w:r w:rsidRPr="00780E96">
        <w:t>Classify an electricity generation source as either intermittent or non-intermittent</w:t>
      </w:r>
      <w:r w:rsidR="3A8B4133" w:rsidRPr="00780E96">
        <w:t>,</w:t>
      </w:r>
      <w:r w:rsidRPr="00780E96">
        <w:t xml:space="preserve"> and an electricity consumption source</w:t>
      </w:r>
      <w:r w:rsidR="76601815" w:rsidRPr="00780E96">
        <w:t xml:space="preserve"> as either depending </w:t>
      </w:r>
      <w:r w:rsidR="00B730E9" w:rsidRPr="00780E96">
        <w:t xml:space="preserve">on </w:t>
      </w:r>
      <w:r w:rsidR="76601815" w:rsidRPr="00780E96">
        <w:t>or not depending on intermittent electricity supply</w:t>
      </w:r>
      <w:r w:rsidR="4BAA5A58" w:rsidRPr="00780E96">
        <w:t>;</w:t>
      </w:r>
    </w:p>
    <w:p w14:paraId="3537AFB6" w14:textId="4A07FB29" w:rsidR="00BA4DEB" w:rsidRPr="00780E96" w:rsidRDefault="00BA4DEB" w:rsidP="00A704C1">
      <w:pPr>
        <w:pStyle w:val="SDMSubPara1"/>
      </w:pPr>
      <w:r w:rsidRPr="00780E96">
        <w:t>Specify how electricity generation or consumption is quantified</w:t>
      </w:r>
      <w:r w:rsidR="005F57C2" w:rsidRPr="00780E96">
        <w:t xml:space="preserve"> for that source</w:t>
      </w:r>
      <w:r w:rsidRPr="00780E96">
        <w:t>;</w:t>
      </w:r>
      <w:r w:rsidR="000C2CDB" w:rsidRPr="00780E96">
        <w:t xml:space="preserve"> and</w:t>
      </w:r>
    </w:p>
    <w:p w14:paraId="345CAC37" w14:textId="49857FBE" w:rsidR="009A4242" w:rsidRPr="00780E96" w:rsidRDefault="00BA4DEB" w:rsidP="00A704C1">
      <w:pPr>
        <w:pStyle w:val="SDMSubPara1"/>
      </w:pPr>
      <w:r w:rsidRPr="00780E96">
        <w:t xml:space="preserve">Specify whether the electricity generation or consumption </w:t>
      </w:r>
      <w:r w:rsidR="00C24DFE" w:rsidRPr="00780E96">
        <w:t>source</w:t>
      </w:r>
      <w:r w:rsidRPr="00780E96">
        <w:t xml:space="preserve"> occurs in the </w:t>
      </w:r>
      <w:r w:rsidR="00C12C35" w:rsidRPr="00780E96">
        <w:t xml:space="preserve">activity </w:t>
      </w:r>
      <w:r w:rsidRPr="00780E96">
        <w:t>scenario, the baseline scenario, or both, including in relation to any leakage sources</w:t>
      </w:r>
      <w:r w:rsidR="00A032BE" w:rsidRPr="00780E96">
        <w:t>.</w:t>
      </w:r>
    </w:p>
    <w:p w14:paraId="62477E50" w14:textId="3EC6B4AC" w:rsidR="009A4242" w:rsidRPr="00780E96" w:rsidRDefault="0DEE5B42">
      <w:pPr>
        <w:pStyle w:val="SDMHead2"/>
      </w:pPr>
      <w:bookmarkStart w:id="370" w:name="_Ref212202718"/>
      <w:bookmarkStart w:id="371" w:name="_Toc212389904"/>
      <w:bookmarkStart w:id="372" w:name="_Toc215208599"/>
      <w:bookmarkStart w:id="373" w:name="_Toc215216118"/>
      <w:bookmarkStart w:id="374" w:name="_Toc215222854"/>
      <w:bookmarkStart w:id="375" w:name="_Toc215223042"/>
      <w:bookmarkStart w:id="376" w:name="_Toc215223264"/>
      <w:bookmarkStart w:id="377" w:name="_Toc215574885"/>
      <w:bookmarkStart w:id="378" w:name="_Ref215680024"/>
      <w:bookmarkStart w:id="379" w:name="_Toc215923324"/>
      <w:bookmarkStart w:id="380" w:name="_Toc216093020"/>
      <w:bookmarkStart w:id="381" w:name="_Toc216271749"/>
      <w:bookmarkStart w:id="382" w:name="_Toc216279366"/>
      <w:bookmarkStart w:id="383" w:name="_Toc216283404"/>
      <w:bookmarkStart w:id="384" w:name="_Toc216288022"/>
      <w:bookmarkStart w:id="385" w:name="_Toc219666129"/>
      <w:bookmarkStart w:id="386" w:name="_Toc220001389"/>
      <w:bookmarkStart w:id="387" w:name="_Ref221036450"/>
      <w:bookmarkStart w:id="388" w:name="_Ref221036493"/>
      <w:bookmarkStart w:id="389" w:name="_Toc221096413"/>
      <w:bookmarkStart w:id="390" w:name="_Toc221097965"/>
      <w:bookmarkStart w:id="391" w:name="_Toc221116261"/>
      <w:bookmarkStart w:id="392" w:name="_Toc221117277"/>
      <w:bookmarkStart w:id="393" w:name="_Toc222132115"/>
      <w:bookmarkStart w:id="394" w:name="_Toc222494916"/>
      <w:bookmarkStart w:id="395" w:name="_Toc222512432"/>
      <w:bookmarkStart w:id="396" w:name="_Toc222741752"/>
      <w:bookmarkStart w:id="397" w:name="_Toc234853833"/>
      <w:bookmarkStart w:id="398" w:name="_Toc235002271"/>
      <w:bookmarkStart w:id="399" w:name="_Toc235003430"/>
      <w:bookmarkStart w:id="400" w:name="_Toc236154227"/>
      <w:bookmarkStart w:id="401" w:name="_Toc236216604"/>
      <w:bookmarkStart w:id="402" w:name="_Toc240545092"/>
      <w:bookmarkStart w:id="403" w:name="_Toc240545308"/>
      <w:bookmarkStart w:id="404" w:name="_Toc240576890"/>
      <w:r w:rsidRPr="00780E96">
        <w:rPr>
          <w:lang w:eastAsia="ja-JP"/>
        </w:rPr>
        <w:t>Step</w:t>
      </w:r>
      <w:r w:rsidR="00126F8A" w:rsidRPr="00780E96">
        <w:rPr>
          <w:lang w:eastAsia="ja-JP"/>
        </w:rPr>
        <w:t> </w:t>
      </w:r>
      <w:r w:rsidRPr="00780E96">
        <w:rPr>
          <w:lang w:eastAsia="ja-JP"/>
        </w:rPr>
        <w:t xml:space="preserve">2: </w:t>
      </w:r>
      <w:r w:rsidR="0B54D08D" w:rsidRPr="00780E96">
        <w:t>Determin</w:t>
      </w:r>
      <w:r w:rsidR="6B0B06B7" w:rsidRPr="00780E96">
        <w:t>e</w:t>
      </w:r>
      <w:r w:rsidR="005F554A" w:rsidRPr="00780E96">
        <w:t>,</w:t>
      </w:r>
      <w:r w:rsidR="218A55A8" w:rsidRPr="00780E96">
        <w:t xml:space="preserve"> </w:t>
      </w:r>
      <w:r w:rsidR="17D5FC47" w:rsidRPr="00780E96">
        <w:t xml:space="preserve">for </w:t>
      </w:r>
      <w:r w:rsidR="7FE94091" w:rsidRPr="00780E96">
        <w:t xml:space="preserve">each </w:t>
      </w:r>
      <w:r w:rsidR="37E9CD1D" w:rsidRPr="00780E96">
        <w:t>electricity generation or consumption source </w:t>
      </w:r>
      <w:r w:rsidR="37E9CD1D" w:rsidRPr="00780E96">
        <w:rPr>
          <w:i/>
          <w:iCs/>
        </w:rPr>
        <w:t>s</w:t>
      </w:r>
      <w:r w:rsidR="005F554A" w:rsidRPr="00780E96">
        <w:rPr>
          <w:i/>
          <w:iCs/>
        </w:rPr>
        <w:t>,</w:t>
      </w:r>
      <w:r w:rsidR="37E9CD1D" w:rsidRPr="00780E96">
        <w:t xml:space="preserve"> </w:t>
      </w:r>
      <w:r w:rsidR="218A55A8" w:rsidRPr="00780E96">
        <w:t xml:space="preserve">whether electricity is </w:t>
      </w:r>
      <w:r w:rsidR="506E6446" w:rsidRPr="00780E96">
        <w:t xml:space="preserve">consumed </w:t>
      </w:r>
      <w:r w:rsidR="218A55A8" w:rsidRPr="00780E96">
        <w:t xml:space="preserve">from </w:t>
      </w:r>
      <w:r w:rsidR="506E6446" w:rsidRPr="00780E96">
        <w:t>or fed into</w:t>
      </w:r>
      <w:r w:rsidR="218A55A8" w:rsidRPr="00780E96">
        <w:t xml:space="preserve"> </w:t>
      </w:r>
      <w:r w:rsidR="1B35D584" w:rsidRPr="00780E96">
        <w:t>an</w:t>
      </w:r>
      <w:r w:rsidR="17D5FC47" w:rsidRPr="00780E96">
        <w:t xml:space="preserve"> electric</w:t>
      </w:r>
      <w:r w:rsidR="0772EAA0" w:rsidRPr="00780E96">
        <w:t>ity</w:t>
      </w:r>
      <w:r w:rsidR="17D5FC47" w:rsidRPr="00780E96">
        <w:t xml:space="preserve"> system</w:t>
      </w:r>
      <w:r w:rsidR="00C93D8A" w:rsidRPr="00780E96">
        <w:t>,</w:t>
      </w:r>
      <w:r w:rsidR="17D5FC47" w:rsidRPr="00780E96">
        <w:t xml:space="preserve"> </w:t>
      </w:r>
      <w:r w:rsidR="218A55A8" w:rsidRPr="00780E96">
        <w:t xml:space="preserve">or </w:t>
      </w:r>
      <w:r w:rsidR="0F57E483" w:rsidRPr="00780E96">
        <w:t>whether it is consumed</w:t>
      </w:r>
      <w:r w:rsidR="3751E100" w:rsidRPr="00780E96">
        <w:t xml:space="preserve"> </w:t>
      </w:r>
      <w:r w:rsidR="17D5FC47" w:rsidRPr="00780E96">
        <w:t xml:space="preserve">from </w:t>
      </w:r>
      <w:r w:rsidR="3751E100" w:rsidRPr="00780E96">
        <w:t xml:space="preserve">or avoids power generation by </w:t>
      </w:r>
      <w:r w:rsidR="00C72D5E" w:rsidRPr="00780E96">
        <w:t>fossil</w:t>
      </w:r>
      <w:r w:rsidR="3CF1A715" w:rsidRPr="00780E96">
        <w:t>-</w:t>
      </w:r>
      <w:r w:rsidR="00C72D5E" w:rsidRPr="00780E96">
        <w:t xml:space="preserve">fuel fired </w:t>
      </w:r>
      <w:r w:rsidR="218A55A8" w:rsidRPr="00780E96">
        <w:t xml:space="preserve">captive power </w:t>
      </w:r>
      <w:bookmarkEnd w:id="370"/>
      <w:r w:rsidR="01EA9F69" w:rsidRPr="00780E96">
        <w:t>plant</w:t>
      </w:r>
      <w:r w:rsidR="17D5FC47" w:rsidRPr="00780E96">
        <w:t>(s)</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p>
    <w:p w14:paraId="6BC5B613" w14:textId="0AC08CE5" w:rsidR="003E2BCD" w:rsidRPr="00780E96" w:rsidRDefault="76C73928" w:rsidP="00F62D64">
      <w:pPr>
        <w:pStyle w:val="SDMPara"/>
        <w:keepNext/>
      </w:pPr>
      <w:r w:rsidRPr="00780E96">
        <w:t>Activity participants shall identify</w:t>
      </w:r>
      <w:r w:rsidR="00C93D8A" w:rsidRPr="00780E96">
        <w:t>,</w:t>
      </w:r>
      <w:r w:rsidRPr="00780E96">
        <w:t xml:space="preserve"> for each electricity generation or consumption </w:t>
      </w:r>
      <w:r w:rsidR="00813B8F" w:rsidRPr="00780E96">
        <w:t>source </w:t>
      </w:r>
      <w:r w:rsidR="00813B8F" w:rsidRPr="00780E96">
        <w:rPr>
          <w:i/>
          <w:iCs/>
        </w:rPr>
        <w:t>s</w:t>
      </w:r>
      <w:r w:rsidRPr="00780E96" w:rsidDel="00C93D8A">
        <w:t xml:space="preserve"> </w:t>
      </w:r>
      <w:r w:rsidRPr="00780E96">
        <w:t>identified in section</w:t>
      </w:r>
      <w:r w:rsidR="00877272" w:rsidRPr="00780E96">
        <w:t> </w:t>
      </w:r>
      <w:r w:rsidR="005977B2" w:rsidRPr="00780E96">
        <w:fldChar w:fldCharType="begin"/>
      </w:r>
      <w:r w:rsidR="005977B2" w:rsidRPr="00780E96">
        <w:instrText xml:space="preserve"> REF _Ref221036703 \w \h </w:instrText>
      </w:r>
      <w:r w:rsidR="00780E96">
        <w:instrText xml:space="preserve"> \* MERGEFORMAT </w:instrText>
      </w:r>
      <w:r w:rsidR="005977B2" w:rsidRPr="00780E96">
        <w:fldChar w:fldCharType="separate"/>
      </w:r>
      <w:r w:rsidR="003B0135" w:rsidRPr="00780E96">
        <w:rPr>
          <w:cs/>
        </w:rPr>
        <w:t>‎</w:t>
      </w:r>
      <w:r w:rsidR="003B0135" w:rsidRPr="00780E96">
        <w:t>5.1</w:t>
      </w:r>
      <w:r w:rsidR="005977B2" w:rsidRPr="00780E96">
        <w:fldChar w:fldCharType="end"/>
      </w:r>
      <w:r w:rsidR="2437096B" w:rsidRPr="00780E96">
        <w:t>,</w:t>
      </w:r>
      <w:r w:rsidRPr="00780E96">
        <w:t xml:space="preserve"> which of the following scenarios applies:</w:t>
      </w:r>
    </w:p>
    <w:p w14:paraId="1AE6F024" w14:textId="643787D2" w:rsidR="003E2BCD" w:rsidRPr="00780E96" w:rsidRDefault="003E2BCD" w:rsidP="00A704C1">
      <w:pPr>
        <w:pStyle w:val="SDMSubPara1"/>
      </w:pPr>
      <w:r w:rsidRPr="00780E96">
        <w:t>Scenario</w:t>
      </w:r>
      <w:r w:rsidR="00882BB1" w:rsidRPr="00780E96">
        <w:t> </w:t>
      </w:r>
      <w:r w:rsidRPr="00780E96">
        <w:t xml:space="preserve">A: </w:t>
      </w:r>
      <w:r w:rsidR="0052497E" w:rsidRPr="00780E96">
        <w:t>e</w:t>
      </w:r>
      <w:r w:rsidRPr="00780E96">
        <w:t xml:space="preserve">lectricity is consumed from or fed into </w:t>
      </w:r>
      <w:r w:rsidR="00CB697F" w:rsidRPr="00780E96">
        <w:t xml:space="preserve">an </w:t>
      </w:r>
      <w:r w:rsidRPr="00780E96">
        <w:t xml:space="preserve">electricity </w:t>
      </w:r>
      <w:r w:rsidR="00400D95" w:rsidRPr="00780E96">
        <w:t xml:space="preserve">system </w:t>
      </w:r>
      <w:r w:rsidRPr="00780E96">
        <w:t>only</w:t>
      </w:r>
      <w:r w:rsidR="0012718E" w:rsidRPr="00780E96">
        <w:t>;</w:t>
      </w:r>
    </w:p>
    <w:p w14:paraId="289744A9" w14:textId="7AF0EF3A" w:rsidR="003E2BCD" w:rsidRPr="00780E96" w:rsidRDefault="58C31EBD" w:rsidP="00A704C1">
      <w:pPr>
        <w:pStyle w:val="SDMSubPara1"/>
      </w:pPr>
      <w:r w:rsidRPr="00780E96">
        <w:t>Scenario</w:t>
      </w:r>
      <w:r w:rsidR="00882BB1" w:rsidRPr="00780E96">
        <w:t> </w:t>
      </w:r>
      <w:r w:rsidRPr="00780E96">
        <w:t xml:space="preserve">B: </w:t>
      </w:r>
      <w:r w:rsidR="0052497E" w:rsidRPr="00780E96">
        <w:t>e</w:t>
      </w:r>
      <w:r w:rsidRPr="00780E96">
        <w:t xml:space="preserve">lectricity </w:t>
      </w:r>
      <w:r w:rsidR="177D2C14" w:rsidRPr="00780E96">
        <w:t>is</w:t>
      </w:r>
      <w:r w:rsidRPr="00780E96">
        <w:t xml:space="preserve"> consumed from or avoids power generation by fossil-fuel fired captive power plant</w:t>
      </w:r>
      <w:r w:rsidR="000A55D3" w:rsidRPr="00780E96">
        <w:t>(s)</w:t>
      </w:r>
      <w:r w:rsidRPr="00780E96">
        <w:t xml:space="preserve"> only</w:t>
      </w:r>
      <w:r w:rsidR="1625356D" w:rsidRPr="00780E96">
        <w:t>;</w:t>
      </w:r>
      <w:r w:rsidRPr="00780E96">
        <w:t xml:space="preserve"> or</w:t>
      </w:r>
    </w:p>
    <w:p w14:paraId="4E31C7FB" w14:textId="62A6A58F" w:rsidR="003E2BCD" w:rsidRPr="00780E96" w:rsidRDefault="003E2BCD" w:rsidP="00A704C1">
      <w:pPr>
        <w:pStyle w:val="SDMSubPara1"/>
      </w:pPr>
      <w:r w:rsidRPr="00780E96">
        <w:t>Scenario</w:t>
      </w:r>
      <w:r w:rsidR="00882BB1" w:rsidRPr="00780E96">
        <w:t> </w:t>
      </w:r>
      <w:r w:rsidRPr="00780E96">
        <w:t>C:</w:t>
      </w:r>
      <w:r w:rsidRPr="00780E96" w:rsidDel="0052497E">
        <w:t xml:space="preserve"> </w:t>
      </w:r>
      <w:r w:rsidR="0052497E" w:rsidRPr="00780E96">
        <w:t xml:space="preserve">a </w:t>
      </w:r>
      <w:r w:rsidRPr="00780E96">
        <w:t>combination of scenario</w:t>
      </w:r>
      <w:r w:rsidR="0033712A" w:rsidRPr="00780E96">
        <w:t>s</w:t>
      </w:r>
      <w:r w:rsidRPr="00780E96">
        <w:t xml:space="preserve"> A and B, i.e.</w:t>
      </w:r>
      <w:r w:rsidR="4DA3EF20" w:rsidRPr="00780E96">
        <w:t>,</w:t>
      </w:r>
      <w:r w:rsidRPr="00780E96">
        <w:t xml:space="preserve"> the electricity is consumed from or fed into </w:t>
      </w:r>
      <w:r w:rsidR="008B45FF" w:rsidRPr="00780E96">
        <w:t xml:space="preserve">an </w:t>
      </w:r>
      <w:r w:rsidR="007742A3" w:rsidRPr="00780E96">
        <w:t>electricity sy</w:t>
      </w:r>
      <w:r w:rsidR="0037336D" w:rsidRPr="00780E96">
        <w:t>s</w:t>
      </w:r>
      <w:r w:rsidR="007742A3" w:rsidRPr="00780E96">
        <w:t xml:space="preserve">tem </w:t>
      </w:r>
      <w:r w:rsidRPr="00780E96">
        <w:t xml:space="preserve">and </w:t>
      </w:r>
      <w:r w:rsidR="0033712A" w:rsidRPr="00780E96">
        <w:t xml:space="preserve">is </w:t>
      </w:r>
      <w:r w:rsidRPr="00780E96">
        <w:t>consumed from or avoids power</w:t>
      </w:r>
      <w:r w:rsidR="00891C67" w:rsidRPr="00780E96">
        <w:t xml:space="preserve"> </w:t>
      </w:r>
      <w:r w:rsidRPr="00780E96">
        <w:t>generation by fossil</w:t>
      </w:r>
      <w:r w:rsidR="00595124" w:rsidRPr="00780E96">
        <w:t xml:space="preserve"> </w:t>
      </w:r>
      <w:r w:rsidR="009A37EE" w:rsidRPr="00780E96">
        <w:t>fuel-</w:t>
      </w:r>
      <w:r w:rsidRPr="00780E96">
        <w:t xml:space="preserve">fired </w:t>
      </w:r>
      <w:r w:rsidR="26FF574E" w:rsidRPr="00780E96">
        <w:t>captive power plant</w:t>
      </w:r>
      <w:r w:rsidR="000A55D3" w:rsidRPr="00780E96">
        <w:t>(s)</w:t>
      </w:r>
      <w:r w:rsidR="26FF574E" w:rsidRPr="00780E96">
        <w:t>.</w:t>
      </w:r>
    </w:p>
    <w:p w14:paraId="66D1D80D" w14:textId="24FC8D1E" w:rsidR="003E2BCD" w:rsidRPr="00780E96" w:rsidRDefault="003E2BCD" w:rsidP="00F62D64">
      <w:pPr>
        <w:pStyle w:val="SDMPara"/>
        <w:keepNext/>
      </w:pPr>
      <w:r w:rsidRPr="00780E96">
        <w:rPr>
          <w:b/>
          <w:bCs/>
        </w:rPr>
        <w:t>Scenario</w:t>
      </w:r>
      <w:r w:rsidR="00882BB1" w:rsidRPr="00780E96">
        <w:rPr>
          <w:b/>
          <w:bCs/>
        </w:rPr>
        <w:t> </w:t>
      </w:r>
      <w:r w:rsidRPr="00780E96">
        <w:rPr>
          <w:b/>
          <w:bCs/>
        </w:rPr>
        <w:t>A</w:t>
      </w:r>
      <w:r w:rsidRPr="00780E96">
        <w:t xml:space="preserve"> applies where:</w:t>
      </w:r>
    </w:p>
    <w:p w14:paraId="1B5A4BD5" w14:textId="74AD748F" w:rsidR="003E2BCD" w:rsidRPr="00780E96" w:rsidRDefault="003E2BCD" w:rsidP="00A704C1">
      <w:pPr>
        <w:pStyle w:val="SDMSubPara1"/>
      </w:pPr>
      <w:r w:rsidRPr="00780E96">
        <w:t xml:space="preserve">The electricity generation or </w:t>
      </w:r>
      <w:r w:rsidR="6D8B9ACC" w:rsidRPr="00780E96">
        <w:t>consumption</w:t>
      </w:r>
      <w:r w:rsidRPr="00780E96">
        <w:t xml:space="preserve"> </w:t>
      </w:r>
      <w:r w:rsidR="002361E6" w:rsidRPr="00780E96">
        <w:t>source</w:t>
      </w:r>
      <w:r w:rsidRPr="00780E96">
        <w:t xml:space="preserve"> is connected</w:t>
      </w:r>
      <w:r w:rsidR="001A5981" w:rsidRPr="00780E96">
        <w:t xml:space="preserve"> only</w:t>
      </w:r>
      <w:r w:rsidRPr="00780E96">
        <w:t xml:space="preserve"> to </w:t>
      </w:r>
      <w:r w:rsidR="2B8F8839" w:rsidRPr="00780E96">
        <w:t>an</w:t>
      </w:r>
      <w:r w:rsidRPr="00780E96" w:rsidDel="003E2BCD">
        <w:t xml:space="preserve"> </w:t>
      </w:r>
      <w:r w:rsidR="006B16E5" w:rsidRPr="00780E96">
        <w:t>electric</w:t>
      </w:r>
      <w:r w:rsidR="00843914" w:rsidRPr="00780E96">
        <w:t>ity</w:t>
      </w:r>
      <w:r w:rsidR="006B16E5" w:rsidRPr="00780E96">
        <w:t xml:space="preserve"> system </w:t>
      </w:r>
      <w:r w:rsidRPr="00780E96">
        <w:t>and no</w:t>
      </w:r>
      <w:r w:rsidR="006B16E5" w:rsidRPr="00780E96">
        <w:t>t to any</w:t>
      </w:r>
      <w:r w:rsidRPr="00780E96">
        <w:t xml:space="preserve"> </w:t>
      </w:r>
      <w:r w:rsidR="4F29D8DA" w:rsidRPr="00780E96">
        <w:t>fossil-fuel fired</w:t>
      </w:r>
      <w:r w:rsidRPr="00780E96">
        <w:t xml:space="preserve"> captive power plant; or</w:t>
      </w:r>
    </w:p>
    <w:p w14:paraId="721BED70" w14:textId="1F8B5B8A" w:rsidR="003E2BCD" w:rsidRPr="00780E96" w:rsidRDefault="003E2BCD" w:rsidP="00F62D64">
      <w:pPr>
        <w:pStyle w:val="SDMSubPara1"/>
        <w:keepNext/>
      </w:pPr>
      <w:r w:rsidRPr="00780E96">
        <w:t xml:space="preserve">The electricity generation or </w:t>
      </w:r>
      <w:r w:rsidR="6D8B9ACC" w:rsidRPr="00780E96">
        <w:t>consumption</w:t>
      </w:r>
      <w:r w:rsidRPr="00780E96">
        <w:t xml:space="preserve"> </w:t>
      </w:r>
      <w:r w:rsidR="002059F1" w:rsidRPr="00780E96">
        <w:t>source</w:t>
      </w:r>
      <w:r w:rsidRPr="00780E96">
        <w:t xml:space="preserve"> is connected to both </w:t>
      </w:r>
      <w:r w:rsidR="2B8F8839" w:rsidRPr="00780E96">
        <w:t>an</w:t>
      </w:r>
      <w:r w:rsidRPr="00780E96" w:rsidDel="003E2BCD">
        <w:t xml:space="preserve"> </w:t>
      </w:r>
      <w:r w:rsidR="006B16E5" w:rsidRPr="00780E96">
        <w:t>electric</w:t>
      </w:r>
      <w:r w:rsidR="00843914" w:rsidRPr="00780E96">
        <w:t>ity</w:t>
      </w:r>
      <w:r w:rsidR="006B16E5" w:rsidRPr="00780E96">
        <w:t xml:space="preserve"> system </w:t>
      </w:r>
      <w:r w:rsidRPr="00780E96">
        <w:t xml:space="preserve">and </w:t>
      </w:r>
      <w:r w:rsidR="324D3DF7" w:rsidRPr="00780E96">
        <w:t>fossil-fuel fired</w:t>
      </w:r>
      <w:r w:rsidRPr="00780E96">
        <w:t xml:space="preserve"> captive power plant</w:t>
      </w:r>
      <w:r w:rsidR="00D9137E" w:rsidRPr="00780E96">
        <w:t>(s)</w:t>
      </w:r>
      <w:r w:rsidR="00723BB8" w:rsidRPr="00780E96">
        <w:t>;</w:t>
      </w:r>
      <w:r w:rsidRPr="00780E96">
        <w:t xml:space="preserve"> </w:t>
      </w:r>
      <w:r w:rsidR="001F2EAD" w:rsidRPr="00780E96">
        <w:t>however,</w:t>
      </w:r>
      <w:r w:rsidRPr="00780E96">
        <w:t xml:space="preserve"> the implementation of the </w:t>
      </w:r>
      <w:r w:rsidR="006B16E5" w:rsidRPr="00780E96">
        <w:t xml:space="preserve">Article 6.4 </w:t>
      </w:r>
      <w:r w:rsidR="00707A6E" w:rsidRPr="00780E96">
        <w:t xml:space="preserve">project or CP </w:t>
      </w:r>
      <w:r w:rsidRPr="00780E96">
        <w:t xml:space="preserve">affects </w:t>
      </w:r>
      <w:r w:rsidR="00587E9D" w:rsidRPr="00780E96">
        <w:t xml:space="preserve">only </w:t>
      </w:r>
      <w:r w:rsidRPr="00780E96">
        <w:t xml:space="preserve">the quantity of electricity consumed from or fed into the </w:t>
      </w:r>
      <w:r w:rsidR="00722D8D" w:rsidRPr="00780E96">
        <w:t>electric</w:t>
      </w:r>
      <w:r w:rsidR="00AA3FF5" w:rsidRPr="00780E96">
        <w:t>ity</w:t>
      </w:r>
      <w:r w:rsidR="00722D8D" w:rsidRPr="00780E96">
        <w:t xml:space="preserve"> system </w:t>
      </w:r>
      <w:r w:rsidRPr="00780E96">
        <w:t xml:space="preserve">and </w:t>
      </w:r>
      <w:r w:rsidR="00E2729E" w:rsidRPr="00780E96">
        <w:t xml:space="preserve">does </w:t>
      </w:r>
      <w:r w:rsidRPr="00780E96">
        <w:t>not</w:t>
      </w:r>
      <w:r w:rsidR="00587E9D" w:rsidRPr="00780E96">
        <w:t xml:space="preserve"> affect</w:t>
      </w:r>
      <w:r w:rsidRPr="00780E96">
        <w:t xml:space="preserve"> the operation of the </w:t>
      </w:r>
      <w:r w:rsidR="2854A66F" w:rsidRPr="00780E96">
        <w:t>fossil-fuel fired</w:t>
      </w:r>
      <w:r w:rsidRPr="00780E96">
        <w:t xml:space="preserve"> captive power plant</w:t>
      </w:r>
      <w:r w:rsidR="00D9137E" w:rsidRPr="00780E96">
        <w:t>(s)</w:t>
      </w:r>
      <w:r w:rsidRPr="00780E96">
        <w:t>. This applies, for example</w:t>
      </w:r>
      <w:r w:rsidR="00587E9D" w:rsidRPr="00780E96">
        <w:t>, where</w:t>
      </w:r>
      <w:r w:rsidRPr="00780E96">
        <w:t>:</w:t>
      </w:r>
    </w:p>
    <w:p w14:paraId="607A319F" w14:textId="40438DE8" w:rsidR="00F74E46" w:rsidRPr="00780E96" w:rsidRDefault="00587E9D" w:rsidP="00973925">
      <w:pPr>
        <w:pStyle w:val="SDMSubPara2"/>
      </w:pPr>
      <w:r w:rsidRPr="00780E96">
        <w:t>At</w:t>
      </w:r>
      <w:r w:rsidR="003E2BCD" w:rsidRPr="00780E96">
        <w:t xml:space="preserve"> all times during the monitored period, the total electricity demand at the site of the </w:t>
      </w:r>
      <w:r w:rsidR="4412B451" w:rsidRPr="00780E96">
        <w:t>fossil-fuel fired</w:t>
      </w:r>
      <w:r w:rsidR="4C3E14D6" w:rsidRPr="00780E96">
        <w:t xml:space="preserve"> </w:t>
      </w:r>
      <w:r w:rsidR="003E2BCD" w:rsidRPr="00780E96">
        <w:t xml:space="preserve">captive power plant(s) is </w:t>
      </w:r>
      <w:r w:rsidR="00800B2A" w:rsidRPr="00780E96">
        <w:t xml:space="preserve">greater </w:t>
      </w:r>
      <w:r w:rsidR="003E2BCD" w:rsidRPr="00780E96">
        <w:t xml:space="preserve">than the electricity generation capacity of the </w:t>
      </w:r>
      <w:r w:rsidR="4A2D00BE" w:rsidRPr="00780E96">
        <w:t>fossil-fuel fired</w:t>
      </w:r>
      <w:r w:rsidR="003E2BCD" w:rsidRPr="00780E96">
        <w:t xml:space="preserve"> captive power plant(s) </w:t>
      </w:r>
      <w:r w:rsidR="00800B2A" w:rsidRPr="00780E96">
        <w:t xml:space="preserve">in </w:t>
      </w:r>
      <w:r w:rsidR="003E2BCD" w:rsidRPr="00780E96">
        <w:t xml:space="preserve">both the </w:t>
      </w:r>
      <w:r w:rsidR="00CE7CAE" w:rsidRPr="00780E96">
        <w:t xml:space="preserve">activity </w:t>
      </w:r>
      <w:r w:rsidR="00C60A5B" w:rsidRPr="00780E96">
        <w:t xml:space="preserve">scenario </w:t>
      </w:r>
      <w:r w:rsidR="003E2BCD" w:rsidRPr="00780E96">
        <w:t>and the baseline</w:t>
      </w:r>
      <w:r w:rsidR="00D47564" w:rsidRPr="00780E96">
        <w:t xml:space="preserve"> scenario</w:t>
      </w:r>
      <w:r w:rsidR="26FF574E" w:rsidRPr="00780E96">
        <w:t>;</w:t>
      </w:r>
      <w:r w:rsidR="003E2BCD" w:rsidRPr="00780E96">
        <w:t xml:space="preserve"> or</w:t>
      </w:r>
    </w:p>
    <w:p w14:paraId="671B763B" w14:textId="26BE2A47" w:rsidR="003E2BCD" w:rsidRPr="00780E96" w:rsidRDefault="00800B2A" w:rsidP="00A704C1">
      <w:pPr>
        <w:pStyle w:val="SDMSubPara2"/>
      </w:pPr>
      <w:r w:rsidRPr="00780E96">
        <w:t>T</w:t>
      </w:r>
      <w:r w:rsidR="003E2BCD" w:rsidRPr="00780E96">
        <w:t xml:space="preserve">he </w:t>
      </w:r>
      <w:r w:rsidR="541BF16B" w:rsidRPr="00780E96">
        <w:t>fossil-fuel fired</w:t>
      </w:r>
      <w:r w:rsidR="003E2BCD" w:rsidRPr="00780E96">
        <w:t xml:space="preserve"> captive power plant</w:t>
      </w:r>
      <w:r w:rsidR="009B4F99" w:rsidRPr="00780E96">
        <w:t>(s)</w:t>
      </w:r>
      <w:r w:rsidR="003E2BCD" w:rsidRPr="00780E96">
        <w:t xml:space="preserve"> </w:t>
      </w:r>
      <w:r w:rsidR="009B4F99" w:rsidRPr="00780E96">
        <w:t>are</w:t>
      </w:r>
      <w:r w:rsidR="003E2BCD" w:rsidRPr="00780E96">
        <w:t xml:space="preserve"> operated continuously (apart from maintenance) and feed any excess electricity into the </w:t>
      </w:r>
      <w:r w:rsidR="001777C4" w:rsidRPr="00780E96">
        <w:t>electricity system</w:t>
      </w:r>
      <w:r w:rsidR="003E2BCD" w:rsidRPr="00780E96">
        <w:t xml:space="preserve"> because revenues </w:t>
      </w:r>
      <w:r w:rsidRPr="00780E96">
        <w:t xml:space="preserve">from </w:t>
      </w:r>
      <w:r w:rsidR="003E2BCD" w:rsidRPr="00780E96">
        <w:t xml:space="preserve">feeding electricity into the </w:t>
      </w:r>
      <w:r w:rsidR="004275A8" w:rsidRPr="00780E96">
        <w:t xml:space="preserve">electricity system </w:t>
      </w:r>
      <w:r w:rsidRPr="00780E96">
        <w:t>exceed</w:t>
      </w:r>
      <w:r w:rsidR="003E2BCD" w:rsidRPr="00780E96">
        <w:t xml:space="preserve"> the plant</w:t>
      </w:r>
      <w:r w:rsidRPr="00780E96">
        <w:t>s</w:t>
      </w:r>
      <w:r w:rsidR="003329BA" w:rsidRPr="00780E96">
        <w:t>’</w:t>
      </w:r>
      <w:r w:rsidR="003E2BCD" w:rsidRPr="00780E96">
        <w:t xml:space="preserve"> operation costs</w:t>
      </w:r>
      <w:r w:rsidR="00440F4F" w:rsidRPr="00780E96">
        <w:t>; or</w:t>
      </w:r>
    </w:p>
    <w:p w14:paraId="239392CC" w14:textId="23C562FA" w:rsidR="003E2BCD" w:rsidRPr="00780E96" w:rsidRDefault="006503C9" w:rsidP="00A704C1">
      <w:pPr>
        <w:pStyle w:val="SDMSubPara2"/>
      </w:pPr>
      <w:r w:rsidRPr="00780E96">
        <w:t>T</w:t>
      </w:r>
      <w:r w:rsidR="003E2BCD" w:rsidRPr="00780E96">
        <w:t>he</w:t>
      </w:r>
      <w:r w:rsidR="227F6CAD" w:rsidRPr="00780E96">
        <w:t xml:space="preserve"> fossil-fuel fired</w:t>
      </w:r>
      <w:r w:rsidR="003E2BCD" w:rsidRPr="00780E96">
        <w:t xml:space="preserve"> captive power plant</w:t>
      </w:r>
      <w:r w:rsidR="003329BA" w:rsidRPr="00780E96">
        <w:t>(s)</w:t>
      </w:r>
      <w:r w:rsidR="003E2BCD" w:rsidRPr="00780E96">
        <w:t xml:space="preserve"> </w:t>
      </w:r>
      <w:r w:rsidR="003329BA" w:rsidRPr="00780E96">
        <w:t xml:space="preserve">are </w:t>
      </w:r>
      <w:r w:rsidR="003E2BCD" w:rsidRPr="00780E96">
        <w:t>centrally dispatched</w:t>
      </w:r>
      <w:r w:rsidRPr="00780E96">
        <w:t>,</w:t>
      </w:r>
      <w:r w:rsidR="003E2BCD" w:rsidRPr="00780E96">
        <w:t xml:space="preserve"> and </w:t>
      </w:r>
      <w:r w:rsidR="003329BA" w:rsidRPr="00780E96">
        <w:t xml:space="preserve">their </w:t>
      </w:r>
      <w:r w:rsidR="003E2BCD" w:rsidRPr="00780E96">
        <w:t>dispatch is</w:t>
      </w:r>
      <w:r w:rsidR="003E2BCD" w:rsidRPr="00780E96" w:rsidDel="006503C9">
        <w:t xml:space="preserve"> </w:t>
      </w:r>
      <w:r w:rsidRPr="00780E96">
        <w:t>therefor</w:t>
      </w:r>
      <w:r w:rsidR="001133A1" w:rsidRPr="00780E96">
        <w:t>e</w:t>
      </w:r>
      <w:r w:rsidRPr="00780E96">
        <w:t xml:space="preserve"> </w:t>
      </w:r>
      <w:r w:rsidR="003E2BCD" w:rsidRPr="00780E96">
        <w:t>outside the control of the activity participants</w:t>
      </w:r>
      <w:r w:rsidR="32DDBD44" w:rsidRPr="00780E96">
        <w:t>.</w:t>
      </w:r>
    </w:p>
    <w:p w14:paraId="6F735C05" w14:textId="3154DA97" w:rsidR="003E2BCD" w:rsidRPr="00780E96" w:rsidRDefault="003E2BCD" w:rsidP="00F62D64">
      <w:pPr>
        <w:pStyle w:val="SDMPara"/>
        <w:keepNext/>
      </w:pPr>
      <w:r w:rsidRPr="00780E96">
        <w:rPr>
          <w:b/>
          <w:bCs/>
        </w:rPr>
        <w:t>Scenario</w:t>
      </w:r>
      <w:r w:rsidR="00882BB1" w:rsidRPr="00780E96">
        <w:rPr>
          <w:b/>
          <w:bCs/>
        </w:rPr>
        <w:t> </w:t>
      </w:r>
      <w:r w:rsidRPr="00780E96">
        <w:rPr>
          <w:b/>
          <w:bCs/>
        </w:rPr>
        <w:t>B</w:t>
      </w:r>
      <w:r w:rsidRPr="00780E96">
        <w:t xml:space="preserve"> applies where:</w:t>
      </w:r>
    </w:p>
    <w:p w14:paraId="379E29B2" w14:textId="3880FD94" w:rsidR="003E2BCD" w:rsidRPr="00780E96" w:rsidRDefault="003E2BCD" w:rsidP="00A704C1">
      <w:pPr>
        <w:pStyle w:val="SDMSubPara1"/>
      </w:pPr>
      <w:r w:rsidRPr="00780E96">
        <w:t xml:space="preserve">The electricity generation or </w:t>
      </w:r>
      <w:r w:rsidR="6D8B9ACC" w:rsidRPr="00780E96">
        <w:t>consumption</w:t>
      </w:r>
      <w:r w:rsidRPr="00780E96">
        <w:t xml:space="preserve"> </w:t>
      </w:r>
      <w:r w:rsidR="00146B22" w:rsidRPr="00780E96">
        <w:t>source</w:t>
      </w:r>
      <w:r w:rsidRPr="00780E96">
        <w:t xml:space="preserve"> is connected</w:t>
      </w:r>
      <w:r w:rsidR="001208FB" w:rsidRPr="00780E96">
        <w:t xml:space="preserve"> only</w:t>
      </w:r>
      <w:r w:rsidRPr="00780E96">
        <w:t xml:space="preserve"> to </w:t>
      </w:r>
      <w:r w:rsidR="6F54A6FF" w:rsidRPr="00780E96">
        <w:t>fossil-fuel fired</w:t>
      </w:r>
      <w:r w:rsidR="7675EC23" w:rsidRPr="00780E96">
        <w:t xml:space="preserve"> </w:t>
      </w:r>
      <w:r w:rsidRPr="00780E96">
        <w:t>captive power plant</w:t>
      </w:r>
      <w:r w:rsidR="00717D5A" w:rsidRPr="00780E96">
        <w:t>(s)</w:t>
      </w:r>
      <w:r w:rsidRPr="00780E96">
        <w:t xml:space="preserve"> and not to </w:t>
      </w:r>
      <w:r w:rsidR="785921CD" w:rsidRPr="00780E96">
        <w:t xml:space="preserve">an </w:t>
      </w:r>
      <w:r w:rsidR="16D50E80" w:rsidRPr="00780E96">
        <w:t>electric</w:t>
      </w:r>
      <w:r w:rsidR="785921CD" w:rsidRPr="00780E96">
        <w:t>ity</w:t>
      </w:r>
      <w:r w:rsidR="00F325D3" w:rsidRPr="00780E96">
        <w:t xml:space="preserve"> system</w:t>
      </w:r>
      <w:r w:rsidRPr="00780E96">
        <w:t>; or</w:t>
      </w:r>
    </w:p>
    <w:p w14:paraId="1C89496A" w14:textId="64655C1B" w:rsidR="003E2BCD" w:rsidRPr="00780E96" w:rsidRDefault="003E2BCD" w:rsidP="00A704C1">
      <w:pPr>
        <w:pStyle w:val="SDMSubPara1"/>
      </w:pPr>
      <w:r w:rsidRPr="00780E96">
        <w:t xml:space="preserve">The implementation of the </w:t>
      </w:r>
      <w:r w:rsidR="00FD5CD2" w:rsidRPr="00780E96">
        <w:t xml:space="preserve">Article 6.4 </w:t>
      </w:r>
      <w:r w:rsidR="00830BF7" w:rsidRPr="00780E96">
        <w:t xml:space="preserve">project or CP </w:t>
      </w:r>
      <w:r w:rsidRPr="00780E96">
        <w:t xml:space="preserve">is clearly demonstrated to affect </w:t>
      </w:r>
      <w:r w:rsidR="00F12804" w:rsidRPr="00780E96">
        <w:t xml:space="preserve">only </w:t>
      </w:r>
      <w:r w:rsidRPr="00780E96">
        <w:t>the quantity of electricity generated</w:t>
      </w:r>
      <w:r w:rsidRPr="00780E96" w:rsidDel="00D55B53">
        <w:t xml:space="preserve"> </w:t>
      </w:r>
      <w:r w:rsidR="00D55B53" w:rsidRPr="00780E96">
        <w:t xml:space="preserve">by </w:t>
      </w:r>
      <w:r w:rsidRPr="00780E96">
        <w:t xml:space="preserve">the </w:t>
      </w:r>
      <w:r w:rsidR="34D25E2F" w:rsidRPr="00780E96">
        <w:t>fossil-fuel fired</w:t>
      </w:r>
      <w:r w:rsidRPr="00780E96">
        <w:t xml:space="preserve"> captive power plant(s) and does not affect the quantity of electricity consumed from or fed into the </w:t>
      </w:r>
      <w:r w:rsidR="16D50E80" w:rsidRPr="00780E96">
        <w:t>electric</w:t>
      </w:r>
      <w:r w:rsidR="785921CD" w:rsidRPr="00780E96">
        <w:t>ity</w:t>
      </w:r>
      <w:r w:rsidR="00F325D3" w:rsidRPr="00780E96">
        <w:t xml:space="preserve"> system</w:t>
      </w:r>
      <w:r w:rsidRPr="00780E96">
        <w:t>. This applies, for example</w:t>
      </w:r>
      <w:r w:rsidR="00D55B53" w:rsidRPr="00780E96">
        <w:t>, where</w:t>
      </w:r>
      <w:r w:rsidR="00EC590C" w:rsidRPr="00780E96" w:rsidDel="00517F33">
        <w:t>,</w:t>
      </w:r>
      <w:r w:rsidRPr="00780E96" w:rsidDel="00517F33">
        <w:t xml:space="preserve"> at</w:t>
      </w:r>
      <w:r w:rsidRPr="00780E96">
        <w:t xml:space="preserve"> all times during the monitored period, the total electricity </w:t>
      </w:r>
      <w:r w:rsidR="2FDCA5A3" w:rsidRPr="00780E96">
        <w:t>demand</w:t>
      </w:r>
      <w:r w:rsidRPr="00780E96">
        <w:t xml:space="preserve"> at the site of the </w:t>
      </w:r>
      <w:r w:rsidR="1428437E" w:rsidRPr="00780E96">
        <w:t xml:space="preserve">fossil-fuel fired </w:t>
      </w:r>
      <w:r w:rsidRPr="00780E96">
        <w:t xml:space="preserve">captive power plant(s) </w:t>
      </w:r>
      <w:r w:rsidR="00517F33" w:rsidRPr="00780E96">
        <w:t>exceeds</w:t>
      </w:r>
      <w:r w:rsidRPr="00780E96">
        <w:t xml:space="preserve"> the quantity of electricity that can physically be supplied by the </w:t>
      </w:r>
      <w:r w:rsidR="002779C8" w:rsidRPr="00780E96">
        <w:t>electric</w:t>
      </w:r>
      <w:r w:rsidR="00683887" w:rsidRPr="00780E96">
        <w:t>ity</w:t>
      </w:r>
      <w:r w:rsidR="002779C8" w:rsidRPr="00780E96">
        <w:t xml:space="preserve"> system </w:t>
      </w:r>
      <w:r w:rsidR="005212AA" w:rsidRPr="00780E96">
        <w:t xml:space="preserve">in </w:t>
      </w:r>
      <w:r w:rsidRPr="00780E96">
        <w:t xml:space="preserve">both the </w:t>
      </w:r>
      <w:r w:rsidR="00CE7CAE" w:rsidRPr="00780E96">
        <w:t xml:space="preserve">activity </w:t>
      </w:r>
      <w:r w:rsidR="00683887" w:rsidRPr="00780E96">
        <w:t>scenario</w:t>
      </w:r>
      <w:r w:rsidR="00CE7CAE" w:rsidRPr="00780E96">
        <w:t xml:space="preserve"> </w:t>
      </w:r>
      <w:r w:rsidRPr="00780E96">
        <w:t>and the baseline</w:t>
      </w:r>
      <w:r w:rsidR="00683887" w:rsidRPr="00780E96">
        <w:t xml:space="preserve"> scenario</w:t>
      </w:r>
      <w:r w:rsidR="002779C8" w:rsidRPr="00780E96">
        <w:t>.</w:t>
      </w:r>
    </w:p>
    <w:p w14:paraId="59D22D57" w14:textId="3D70CB9C" w:rsidR="003E2BCD" w:rsidRPr="00780E96" w:rsidRDefault="003E2BCD">
      <w:pPr>
        <w:pStyle w:val="SDMPara"/>
      </w:pPr>
      <w:r w:rsidRPr="00780E96">
        <w:rPr>
          <w:b/>
          <w:bCs/>
        </w:rPr>
        <w:t>Scenario</w:t>
      </w:r>
      <w:r w:rsidR="00882BB1" w:rsidRPr="00780E96">
        <w:rPr>
          <w:b/>
          <w:bCs/>
        </w:rPr>
        <w:t> </w:t>
      </w:r>
      <w:r w:rsidRPr="00780E96">
        <w:rPr>
          <w:b/>
          <w:bCs/>
        </w:rPr>
        <w:t>C</w:t>
      </w:r>
      <w:r w:rsidRPr="00780E96">
        <w:t xml:space="preserve"> applies </w:t>
      </w:r>
      <w:r w:rsidR="00C019F1" w:rsidRPr="00780E96">
        <w:t xml:space="preserve">in </w:t>
      </w:r>
      <w:r w:rsidRPr="00780E96">
        <w:t xml:space="preserve">all other cases where the electricity generation or consumption </w:t>
      </w:r>
      <w:r w:rsidR="00800E83" w:rsidRPr="00780E96">
        <w:t>source</w:t>
      </w:r>
      <w:r w:rsidRPr="00780E96">
        <w:t xml:space="preserve"> is connected to both </w:t>
      </w:r>
      <w:r w:rsidR="4344D6AD" w:rsidRPr="00780E96">
        <w:t>an</w:t>
      </w:r>
      <w:r w:rsidRPr="00780E96" w:rsidDel="004D7F29">
        <w:t xml:space="preserve"> </w:t>
      </w:r>
      <w:r w:rsidR="004D7F29" w:rsidRPr="00780E96">
        <w:t>electric</w:t>
      </w:r>
      <w:r w:rsidR="00E8522A" w:rsidRPr="00780E96">
        <w:t>ity</w:t>
      </w:r>
      <w:r w:rsidR="004D7F29" w:rsidRPr="00780E96">
        <w:t xml:space="preserve"> system </w:t>
      </w:r>
      <w:r w:rsidRPr="00780E96">
        <w:t xml:space="preserve">and </w:t>
      </w:r>
      <w:r w:rsidR="011D8384" w:rsidRPr="00780E96">
        <w:t>fossil-fuel fired</w:t>
      </w:r>
      <w:r w:rsidRPr="00780E96">
        <w:t xml:space="preserve"> captive power plant</w:t>
      </w:r>
      <w:r w:rsidR="00A07160" w:rsidRPr="00780E96">
        <w:t>(s)</w:t>
      </w:r>
      <w:r w:rsidRPr="00780E96">
        <w:t>.</w:t>
      </w:r>
    </w:p>
    <w:p w14:paraId="6F224788" w14:textId="531C7CE6" w:rsidR="009A4242" w:rsidRPr="00780E96" w:rsidRDefault="003E2BCD">
      <w:pPr>
        <w:pStyle w:val="SDMPara"/>
      </w:pPr>
      <w:r w:rsidRPr="00780E96">
        <w:t>Activity participants shall document</w:t>
      </w:r>
      <w:r w:rsidR="00DC0FB2" w:rsidRPr="00780E96">
        <w:t>,</w:t>
      </w:r>
      <w:r w:rsidRPr="00780E96">
        <w:t xml:space="preserve"> in the PDD</w:t>
      </w:r>
      <w:r w:rsidR="004452FF" w:rsidRPr="00780E96">
        <w:t xml:space="preserve"> or CP-DD </w:t>
      </w:r>
      <w:r w:rsidRPr="00780E96">
        <w:t>and in monitoring reports</w:t>
      </w:r>
      <w:r w:rsidR="00DC0FB2" w:rsidRPr="00780E96">
        <w:t>,</w:t>
      </w:r>
      <w:r w:rsidRPr="00780E96">
        <w:t xml:space="preserve"> which scenario applies, justify why the scenario applies</w:t>
      </w:r>
      <w:r w:rsidR="00DC0FB2" w:rsidRPr="00780E96">
        <w:t>,</w:t>
      </w:r>
      <w:r w:rsidRPr="00780E96">
        <w:t xml:space="preserve"> and provide relevant evidence. </w:t>
      </w:r>
      <w:r w:rsidRPr="00780E96">
        <w:rPr>
          <w:b/>
          <w:bCs/>
        </w:rPr>
        <w:t>Scenario</w:t>
      </w:r>
      <w:r w:rsidR="00882BB1" w:rsidRPr="00780E96">
        <w:rPr>
          <w:b/>
          <w:bCs/>
        </w:rPr>
        <w:t> </w:t>
      </w:r>
      <w:r w:rsidRPr="00780E96">
        <w:rPr>
          <w:b/>
          <w:bCs/>
        </w:rPr>
        <w:t>C</w:t>
      </w:r>
      <w:r w:rsidRPr="00780E96">
        <w:t xml:space="preserve"> shall be </w:t>
      </w:r>
      <w:r w:rsidR="00462584" w:rsidRPr="00780E96">
        <w:t>selected</w:t>
      </w:r>
      <w:r w:rsidRPr="00780E96">
        <w:t>, as a conservative approach</w:t>
      </w:r>
      <w:r w:rsidR="004D7F29" w:rsidRPr="00780E96">
        <w:t xml:space="preserve">, </w:t>
      </w:r>
      <w:r w:rsidR="00100B2F" w:rsidRPr="00780E96">
        <w:t xml:space="preserve">where </w:t>
      </w:r>
      <w:r w:rsidR="004D7F29" w:rsidRPr="00780E96">
        <w:t>it is not possible to</w:t>
      </w:r>
      <w:r w:rsidR="00710564" w:rsidRPr="00780E96">
        <w:t xml:space="preserve"> </w:t>
      </w:r>
      <w:r w:rsidR="001539E3" w:rsidRPr="00780E96">
        <w:t xml:space="preserve">clearly </w:t>
      </w:r>
      <w:r w:rsidR="00710564" w:rsidRPr="00780E96">
        <w:t xml:space="preserve">classify </w:t>
      </w:r>
      <w:r w:rsidR="0081454A" w:rsidRPr="00780E96">
        <w:t xml:space="preserve">the </w:t>
      </w:r>
      <w:r w:rsidR="00A65FC5" w:rsidRPr="00780E96">
        <w:t xml:space="preserve">circumstances as </w:t>
      </w:r>
      <w:r w:rsidR="005B68AB" w:rsidRPr="00780E96">
        <w:rPr>
          <w:b/>
          <w:bCs/>
        </w:rPr>
        <w:t>scenario</w:t>
      </w:r>
      <w:r w:rsidR="00877272" w:rsidRPr="00780E96">
        <w:rPr>
          <w:b/>
          <w:bCs/>
        </w:rPr>
        <w:t> </w:t>
      </w:r>
      <w:r w:rsidR="0081454A" w:rsidRPr="00780E96">
        <w:rPr>
          <w:b/>
          <w:bCs/>
        </w:rPr>
        <w:t>A</w:t>
      </w:r>
      <w:r w:rsidR="0081454A" w:rsidRPr="00780E96">
        <w:t xml:space="preserve"> or </w:t>
      </w:r>
      <w:r w:rsidR="005B68AB" w:rsidRPr="00780E96">
        <w:rPr>
          <w:b/>
          <w:bCs/>
        </w:rPr>
        <w:t>scenario</w:t>
      </w:r>
      <w:r w:rsidR="00877272" w:rsidRPr="00780E96">
        <w:rPr>
          <w:b/>
          <w:bCs/>
        </w:rPr>
        <w:t> </w:t>
      </w:r>
      <w:r w:rsidR="0081454A" w:rsidRPr="00780E96">
        <w:rPr>
          <w:b/>
          <w:bCs/>
        </w:rPr>
        <w:t>B</w:t>
      </w:r>
      <w:r w:rsidRPr="00780E96">
        <w:t>.</w:t>
      </w:r>
    </w:p>
    <w:p w14:paraId="111F1FF3" w14:textId="7A3C332E" w:rsidR="000B454F" w:rsidRPr="00780E96" w:rsidRDefault="007C7087">
      <w:pPr>
        <w:pStyle w:val="SDMHead2"/>
      </w:pPr>
      <w:bookmarkStart w:id="405" w:name="_Ref212234527"/>
      <w:bookmarkStart w:id="406" w:name="_Toc212389905"/>
      <w:bookmarkStart w:id="407" w:name="_Toc215208600"/>
      <w:bookmarkStart w:id="408" w:name="_Toc215216119"/>
      <w:bookmarkStart w:id="409" w:name="_Toc215222855"/>
      <w:bookmarkStart w:id="410" w:name="_Toc215223043"/>
      <w:bookmarkStart w:id="411" w:name="_Toc215223265"/>
      <w:bookmarkStart w:id="412" w:name="_Toc215574886"/>
      <w:bookmarkStart w:id="413" w:name="_Toc215923325"/>
      <w:bookmarkStart w:id="414" w:name="_Toc216093021"/>
      <w:bookmarkStart w:id="415" w:name="_Toc216271750"/>
      <w:bookmarkStart w:id="416" w:name="_Toc216279367"/>
      <w:bookmarkStart w:id="417" w:name="_Toc216283405"/>
      <w:bookmarkStart w:id="418" w:name="_Toc216288023"/>
      <w:bookmarkStart w:id="419" w:name="_Toc219666130"/>
      <w:bookmarkStart w:id="420" w:name="_Toc220001390"/>
      <w:bookmarkStart w:id="421" w:name="_Ref221036511"/>
      <w:bookmarkStart w:id="422" w:name="_Toc221096414"/>
      <w:bookmarkStart w:id="423" w:name="_Toc221097966"/>
      <w:bookmarkStart w:id="424" w:name="_Toc221116262"/>
      <w:bookmarkStart w:id="425" w:name="_Toc221117278"/>
      <w:bookmarkStart w:id="426" w:name="_Toc222132116"/>
      <w:bookmarkStart w:id="427" w:name="_Toc222494917"/>
      <w:bookmarkStart w:id="428" w:name="_Toc222512433"/>
      <w:bookmarkStart w:id="429" w:name="_Toc222741753"/>
      <w:bookmarkStart w:id="430" w:name="_Toc234853834"/>
      <w:bookmarkStart w:id="431" w:name="_Toc235002272"/>
      <w:bookmarkStart w:id="432" w:name="_Toc235003431"/>
      <w:bookmarkStart w:id="433" w:name="_Toc236154228"/>
      <w:bookmarkStart w:id="434" w:name="_Toc236216605"/>
      <w:bookmarkStart w:id="435" w:name="_Toc240545093"/>
      <w:bookmarkStart w:id="436" w:name="_Toc240545309"/>
      <w:bookmarkStart w:id="437" w:name="_Toc240576891"/>
      <w:r w:rsidRPr="00780E96">
        <w:t>Step</w:t>
      </w:r>
      <w:r w:rsidR="00126F8A" w:rsidRPr="00780E96">
        <w:t> </w:t>
      </w:r>
      <w:r w:rsidRPr="00780E96">
        <w:t>3:</w:t>
      </w:r>
      <w:r w:rsidRPr="00780E96">
        <w:rPr>
          <w:lang w:eastAsia="ja-JP"/>
        </w:rPr>
        <w:t xml:space="preserve"> Identify the relevant electricity system(s</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r w:rsidRPr="00780E96">
        <w:rPr>
          <w:lang w:eastAsia="ja-JP"/>
        </w:rPr>
        <w:t>)</w:t>
      </w:r>
      <w:r w:rsidR="00951074" w:rsidRPr="00780E96">
        <w:rPr>
          <w:lang w:eastAsia="ja-JP"/>
        </w:rPr>
        <w:t>, where applicable</w:t>
      </w:r>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p>
    <w:p w14:paraId="72196459" w14:textId="11ABD7A0" w:rsidR="00E50BB8" w:rsidRPr="00780E96" w:rsidRDefault="00F41859" w:rsidP="00F62D64">
      <w:pPr>
        <w:pStyle w:val="SDMPara"/>
        <w:keepNext/>
      </w:pPr>
      <w:r w:rsidRPr="00780E96" w:rsidDel="00043205">
        <w:t>T</w:t>
      </w:r>
      <w:r w:rsidRPr="00780E96">
        <w:t>his step is</w:t>
      </w:r>
      <w:r w:rsidR="00AE4B5D" w:rsidRPr="00780E96">
        <w:t xml:space="preserve"> </w:t>
      </w:r>
      <w:r w:rsidRPr="00780E96">
        <w:t xml:space="preserve">applicable </w:t>
      </w:r>
      <w:r w:rsidR="00D95CEE" w:rsidRPr="00780E96">
        <w:t xml:space="preserve">only </w:t>
      </w:r>
      <w:r w:rsidR="00E50BB8" w:rsidRPr="00780E96">
        <w:t>where</w:t>
      </w:r>
      <w:r w:rsidR="00E52996" w:rsidRPr="00780E96">
        <w:t>:</w:t>
      </w:r>
    </w:p>
    <w:p w14:paraId="532B9794" w14:textId="13AEEA4F" w:rsidR="00E50BB8" w:rsidRPr="00780E96" w:rsidRDefault="00F41859" w:rsidP="00A704C1">
      <w:pPr>
        <w:pStyle w:val="SDMSubPara1"/>
      </w:pPr>
      <w:r w:rsidRPr="00780E96">
        <w:rPr>
          <w:b/>
          <w:bCs/>
        </w:rPr>
        <w:t>Scenario</w:t>
      </w:r>
      <w:r w:rsidR="00882BB1" w:rsidRPr="00780E96">
        <w:rPr>
          <w:b/>
          <w:bCs/>
        </w:rPr>
        <w:t> </w:t>
      </w:r>
      <w:r w:rsidRPr="00780E96">
        <w:rPr>
          <w:b/>
          <w:bCs/>
        </w:rPr>
        <w:t>A</w:t>
      </w:r>
      <w:r w:rsidRPr="00780E96">
        <w:t xml:space="preserve"> or </w:t>
      </w:r>
      <w:r w:rsidR="002D5A0B" w:rsidRPr="00780E96">
        <w:rPr>
          <w:b/>
          <w:bCs/>
        </w:rPr>
        <w:t>scenario</w:t>
      </w:r>
      <w:r w:rsidR="00882BB1" w:rsidRPr="00780E96">
        <w:rPr>
          <w:b/>
          <w:bCs/>
        </w:rPr>
        <w:t> </w:t>
      </w:r>
      <w:r w:rsidRPr="00780E96">
        <w:rPr>
          <w:b/>
          <w:bCs/>
        </w:rPr>
        <w:t>C</w:t>
      </w:r>
      <w:r w:rsidRPr="00780E96" w:rsidDel="00407DC3">
        <w:t xml:space="preserve"> applies</w:t>
      </w:r>
      <w:r w:rsidR="00E50BB8" w:rsidRPr="00780E96">
        <w:t>; and</w:t>
      </w:r>
    </w:p>
    <w:p w14:paraId="4A62DC4F" w14:textId="17E9E457" w:rsidR="00CD601B" w:rsidRPr="00780E96" w:rsidRDefault="00416535" w:rsidP="00A704C1">
      <w:pPr>
        <w:pStyle w:val="SDMSubPara1"/>
      </w:pPr>
      <w:r w:rsidRPr="00780E96">
        <w:rPr>
          <w:b/>
          <w:bCs/>
        </w:rPr>
        <w:t>Option</w:t>
      </w:r>
      <w:r w:rsidR="00882BB1" w:rsidRPr="00780E96">
        <w:rPr>
          <w:b/>
          <w:bCs/>
        </w:rPr>
        <w:t> </w:t>
      </w:r>
      <w:r w:rsidR="00492466" w:rsidRPr="00780E96">
        <w:rPr>
          <w:b/>
          <w:bCs/>
        </w:rPr>
        <w:t>A</w:t>
      </w:r>
      <w:r w:rsidR="00492466" w:rsidRPr="00780E96">
        <w:t xml:space="preserve"> </w:t>
      </w:r>
      <w:r w:rsidR="000403DB" w:rsidRPr="00780E96">
        <w:t>(</w:t>
      </w:r>
      <w:r w:rsidR="00B962BF" w:rsidRPr="00780E96">
        <w:t xml:space="preserve">calculate </w:t>
      </w:r>
      <w:r w:rsidRPr="00780E96">
        <w:t>the combined margin emission factor of the electricity system)</w:t>
      </w:r>
      <w:r w:rsidR="00296012" w:rsidRPr="00780E96">
        <w:t>,</w:t>
      </w:r>
      <w:r w:rsidRPr="00780E96">
        <w:t xml:space="preserve"> </w:t>
      </w:r>
      <w:r w:rsidR="00D84DB1" w:rsidRPr="00780E96">
        <w:t xml:space="preserve">as specified </w:t>
      </w:r>
      <w:r w:rsidR="00492466" w:rsidRPr="00780E96">
        <w:t xml:space="preserve">in section </w:t>
      </w:r>
      <w:r w:rsidR="007653B6" w:rsidRPr="00780E96">
        <w:fldChar w:fldCharType="begin"/>
      </w:r>
      <w:r w:rsidR="007653B6" w:rsidRPr="00780E96">
        <w:instrText xml:space="preserve"> REF _Ref215608724 \w \h </w:instrText>
      </w:r>
      <w:r w:rsidR="00780E96">
        <w:instrText xml:space="preserve"> \* MERGEFORMAT </w:instrText>
      </w:r>
      <w:r w:rsidR="007653B6" w:rsidRPr="00780E96">
        <w:fldChar w:fldCharType="separate"/>
      </w:r>
      <w:r w:rsidR="003B0135" w:rsidRPr="00780E96">
        <w:rPr>
          <w:cs/>
        </w:rPr>
        <w:t>‎</w:t>
      </w:r>
      <w:r w:rsidR="003B0135" w:rsidRPr="00780E96">
        <w:t>5.7.1</w:t>
      </w:r>
      <w:r w:rsidR="007653B6" w:rsidRPr="00780E96">
        <w:fldChar w:fldCharType="end"/>
      </w:r>
      <w:r w:rsidR="00837BE8" w:rsidRPr="00780E96">
        <w:t xml:space="preserve"> </w:t>
      </w:r>
      <w:r w:rsidR="00F2455D" w:rsidRPr="00780E96">
        <w:t>is applied</w:t>
      </w:r>
      <w:r w:rsidR="39999E55" w:rsidRPr="00780E96">
        <w:t>.</w:t>
      </w:r>
    </w:p>
    <w:p w14:paraId="0EB78F49" w14:textId="77777777" w:rsidR="00F62D64" w:rsidRPr="00780E96" w:rsidRDefault="736D9E60">
      <w:pPr>
        <w:pStyle w:val="SDMPara"/>
        <w:rPr>
          <w:rFonts w:eastAsia="MS Mincho"/>
          <w:lang w:eastAsia="ja-JP"/>
        </w:rPr>
      </w:pPr>
      <w:bookmarkStart w:id="438" w:name="_Ref212208395"/>
      <w:r w:rsidRPr="00780E96">
        <w:t xml:space="preserve">Activity participants </w:t>
      </w:r>
      <w:r w:rsidR="25F3FE54" w:rsidRPr="00780E96">
        <w:t xml:space="preserve">shall </w:t>
      </w:r>
      <w:r w:rsidRPr="00780E96">
        <w:t xml:space="preserve">delineate the </w:t>
      </w:r>
      <w:r w:rsidR="25F3FE54" w:rsidRPr="00780E96">
        <w:t>project</w:t>
      </w:r>
      <w:r w:rsidR="00077083" w:rsidRPr="00780E96">
        <w:rPr>
          <w:rFonts w:eastAsia="MS Mincho" w:hint="eastAsia"/>
          <w:lang w:eastAsia="ja-JP"/>
        </w:rPr>
        <w:t xml:space="preserve"> </w:t>
      </w:r>
      <w:r w:rsidR="00F431F3" w:rsidRPr="00780E96">
        <w:rPr>
          <w:rFonts w:eastAsia="MS Mincho"/>
          <w:lang w:eastAsia="ja-JP"/>
        </w:rPr>
        <w:t>electricity</w:t>
      </w:r>
      <w:r w:rsidR="00077083" w:rsidRPr="00780E96">
        <w:rPr>
          <w:rFonts w:eastAsia="MS Mincho" w:hint="eastAsia"/>
          <w:lang w:eastAsia="ja-JP"/>
        </w:rPr>
        <w:t xml:space="preserve"> system</w:t>
      </w:r>
      <w:r w:rsidR="0045305F" w:rsidRPr="00780E96">
        <w:t xml:space="preserve"> </w:t>
      </w:r>
      <w:r w:rsidR="21EEA5F1" w:rsidRPr="00780E96">
        <w:t xml:space="preserve">and </w:t>
      </w:r>
      <w:r w:rsidR="4F3EC29B" w:rsidRPr="00780E96">
        <w:t xml:space="preserve">any </w:t>
      </w:r>
      <w:r w:rsidR="21EEA5F1" w:rsidRPr="00780E96">
        <w:t>connected electricity system(s</w:t>
      </w:r>
      <w:r w:rsidR="212650BE" w:rsidRPr="00780E96">
        <w:t>)</w:t>
      </w:r>
      <w:r w:rsidR="2DD1127E" w:rsidRPr="00780E96">
        <w:t xml:space="preserve"> and</w:t>
      </w:r>
      <w:r w:rsidR="3B9A25FB" w:rsidRPr="00780E96">
        <w:rPr>
          <w:rFonts w:eastAsia="Arial"/>
        </w:rPr>
        <w:t xml:space="preserve"> </w:t>
      </w:r>
      <w:r w:rsidR="00D84DB1" w:rsidRPr="00780E96">
        <w:rPr>
          <w:rFonts w:eastAsia="Arial"/>
        </w:rPr>
        <w:t xml:space="preserve">shall transparently </w:t>
      </w:r>
      <w:r w:rsidR="3B9A25FB" w:rsidRPr="00780E96">
        <w:rPr>
          <w:rFonts w:eastAsia="Arial"/>
        </w:rPr>
        <w:t xml:space="preserve">document the geographical </w:t>
      </w:r>
      <w:r w:rsidR="006114C8" w:rsidRPr="00780E96">
        <w:rPr>
          <w:rFonts w:eastAsia="Arial"/>
        </w:rPr>
        <w:t>boundary</w:t>
      </w:r>
      <w:r w:rsidR="3B9A25FB" w:rsidRPr="00780E96">
        <w:rPr>
          <w:rFonts w:eastAsia="Arial"/>
        </w:rPr>
        <w:t xml:space="preserve"> of the project </w:t>
      </w:r>
      <w:r w:rsidR="00F431F3" w:rsidRPr="00780E96">
        <w:rPr>
          <w:rFonts w:eastAsia="MS Mincho"/>
          <w:lang w:eastAsia="ja-JP"/>
        </w:rPr>
        <w:t>electricity</w:t>
      </w:r>
      <w:r w:rsidR="00077083" w:rsidRPr="00780E96">
        <w:rPr>
          <w:rFonts w:eastAsia="MS Mincho" w:hint="eastAsia"/>
          <w:lang w:eastAsia="ja-JP"/>
        </w:rPr>
        <w:t xml:space="preserve"> system</w:t>
      </w:r>
      <w:r w:rsidR="00077083" w:rsidRPr="00780E96">
        <w:rPr>
          <w:rFonts w:eastAsia="Arial"/>
        </w:rPr>
        <w:t xml:space="preserve"> </w:t>
      </w:r>
      <w:r w:rsidR="3B9A25FB" w:rsidRPr="00780E96">
        <w:rPr>
          <w:rFonts w:eastAsia="Arial"/>
        </w:rPr>
        <w:t>and any connected electricity system</w:t>
      </w:r>
      <w:r w:rsidR="00C27754" w:rsidRPr="00780E96">
        <w:rPr>
          <w:rFonts w:eastAsia="Arial"/>
        </w:rPr>
        <w:t>(s)</w:t>
      </w:r>
      <w:r w:rsidR="006E32CB" w:rsidRPr="00780E96">
        <w:rPr>
          <w:rFonts w:eastAsia="Arial"/>
        </w:rPr>
        <w:t xml:space="preserve"> in the PDD</w:t>
      </w:r>
      <w:r w:rsidR="006C17FA" w:rsidRPr="00780E96">
        <w:t xml:space="preserve"> or</w:t>
      </w:r>
      <w:r w:rsidR="00945CD4" w:rsidRPr="00780E96">
        <w:t xml:space="preserve"> </w:t>
      </w:r>
      <w:r w:rsidR="00D0130B" w:rsidRPr="00780E96">
        <w:t>CP-DD</w:t>
      </w:r>
      <w:r w:rsidR="00DD5F0F" w:rsidRPr="00780E96">
        <w:rPr>
          <w:rFonts w:eastAsia="Arial"/>
        </w:rPr>
        <w:t xml:space="preserve">. When doing so, activity participants shall also identify the relevant </w:t>
      </w:r>
      <w:r w:rsidR="00697EF6" w:rsidRPr="00780E96">
        <w:rPr>
          <w:rFonts w:eastAsia="Arial"/>
        </w:rPr>
        <w:t>dispatch centres</w:t>
      </w:r>
      <w:r w:rsidR="3B9A25FB" w:rsidRPr="00780E96">
        <w:rPr>
          <w:rFonts w:eastAsia="Arial"/>
        </w:rPr>
        <w:t>.</w:t>
      </w:r>
    </w:p>
    <w:p w14:paraId="284F28C2" w14:textId="6E214DEE" w:rsidR="00D036D0" w:rsidRPr="00780E96" w:rsidRDefault="07EE04C2" w:rsidP="00F62D64">
      <w:pPr>
        <w:pStyle w:val="SDMPara"/>
        <w:keepNext/>
      </w:pPr>
      <w:r w:rsidRPr="00780E96">
        <w:t>An electricity system (i.e.</w:t>
      </w:r>
      <w:r w:rsidR="75C0C8CE" w:rsidRPr="00780E96">
        <w:t>,</w:t>
      </w:r>
      <w:r w:rsidRPr="00780E96">
        <w:t xml:space="preserve"> the project </w:t>
      </w:r>
      <w:r w:rsidR="00F431F3" w:rsidRPr="00780E96">
        <w:rPr>
          <w:rFonts w:eastAsia="MS Mincho"/>
          <w:lang w:eastAsia="ja-JP"/>
        </w:rPr>
        <w:t>electricity</w:t>
      </w:r>
      <w:r w:rsidR="00077083" w:rsidRPr="00780E96">
        <w:rPr>
          <w:rFonts w:eastAsia="MS Mincho" w:hint="eastAsia"/>
          <w:lang w:eastAsia="ja-JP"/>
        </w:rPr>
        <w:t xml:space="preserve"> system </w:t>
      </w:r>
      <w:r w:rsidRPr="00780E96">
        <w:t>or a</w:t>
      </w:r>
      <w:r w:rsidR="05A008FE" w:rsidRPr="00780E96">
        <w:t>ny</w:t>
      </w:r>
      <w:r w:rsidRPr="00780E96">
        <w:t xml:space="preserve"> connected </w:t>
      </w:r>
      <w:r w:rsidR="00DE3FBD" w:rsidRPr="00780E96">
        <w:t xml:space="preserve">electricity </w:t>
      </w:r>
      <w:r w:rsidRPr="00780E96">
        <w:t>system</w:t>
      </w:r>
      <w:r w:rsidR="005A32EE" w:rsidRPr="00780E96">
        <w:t>(</w:t>
      </w:r>
      <w:r w:rsidR="05A008FE" w:rsidRPr="00780E96">
        <w:t>s</w:t>
      </w:r>
      <w:r w:rsidR="005A32EE" w:rsidRPr="00780E96">
        <w:t>)</w:t>
      </w:r>
      <w:r w:rsidRPr="00780E96">
        <w:t>)</w:t>
      </w:r>
      <w:r w:rsidR="4877DB5A" w:rsidRPr="00780E96">
        <w:t xml:space="preserve"> shall be </w:t>
      </w:r>
      <w:r w:rsidR="05A008FE" w:rsidRPr="00780E96">
        <w:t>delineated</w:t>
      </w:r>
      <w:r w:rsidR="4877DB5A" w:rsidRPr="00780E96">
        <w:t xml:space="preserve"> as follows</w:t>
      </w:r>
      <w:r w:rsidR="736D9E60" w:rsidRPr="00780E96">
        <w:t>:</w:t>
      </w:r>
      <w:bookmarkEnd w:id="438"/>
    </w:p>
    <w:p w14:paraId="7FDB6F97" w14:textId="166AD0AE" w:rsidR="00984EB0" w:rsidRPr="00780E96" w:rsidRDefault="0075573F" w:rsidP="00A704C1">
      <w:pPr>
        <w:pStyle w:val="SDMSubPara1"/>
      </w:pPr>
      <w:r w:rsidRPr="00780E96">
        <w:t>Where available,</w:t>
      </w:r>
      <w:r w:rsidR="0028272E" w:rsidRPr="00780E96">
        <w:t xml:space="preserve"> </w:t>
      </w:r>
      <w:r w:rsidRPr="00780E96">
        <w:t>u</w:t>
      </w:r>
      <w:r w:rsidR="00FE18A8" w:rsidRPr="00780E96">
        <w:t xml:space="preserve">se </w:t>
      </w:r>
      <w:r w:rsidR="005D73D8" w:rsidRPr="00780E96">
        <w:t>the</w:t>
      </w:r>
      <w:r w:rsidR="0028272E" w:rsidRPr="00780E96">
        <w:t xml:space="preserve"> delineation of electricity systems published by the DNA </w:t>
      </w:r>
      <w:r w:rsidR="00A818D8" w:rsidRPr="00780E96">
        <w:t xml:space="preserve">of the host country </w:t>
      </w:r>
      <w:r w:rsidR="0028272E" w:rsidRPr="00780E96">
        <w:t xml:space="preserve">or </w:t>
      </w:r>
      <w:r w:rsidR="004C7F4E" w:rsidRPr="00780E96">
        <w:t xml:space="preserve">by </w:t>
      </w:r>
      <w:r w:rsidR="00A818D8" w:rsidRPr="00780E96">
        <w:t xml:space="preserve">a </w:t>
      </w:r>
      <w:r w:rsidR="0028272E" w:rsidRPr="00780E96">
        <w:t xml:space="preserve">group of DNAs </w:t>
      </w:r>
      <w:r w:rsidR="00A818D8" w:rsidRPr="00780E96">
        <w:t xml:space="preserve">covering </w:t>
      </w:r>
      <w:r w:rsidR="0028272E" w:rsidRPr="00780E96" w:rsidDel="008F41C8">
        <w:t xml:space="preserve">the </w:t>
      </w:r>
      <w:r w:rsidR="0028272E" w:rsidRPr="00780E96">
        <w:t xml:space="preserve">host </w:t>
      </w:r>
      <w:r w:rsidR="00E275F0" w:rsidRPr="00780E96">
        <w:t xml:space="preserve">country as well as </w:t>
      </w:r>
      <w:r w:rsidR="00664B1F" w:rsidRPr="00780E96">
        <w:t>other countries</w:t>
      </w:r>
      <w:r w:rsidR="3C515FB5" w:rsidRPr="00780E96">
        <w:t>.</w:t>
      </w:r>
      <w:r w:rsidR="0028272E" w:rsidRPr="00780E96">
        <w:t xml:space="preserve"> </w:t>
      </w:r>
      <w:r w:rsidR="006D723F" w:rsidRPr="00780E96">
        <w:t>Where</w:t>
      </w:r>
      <w:r w:rsidR="0028272E" w:rsidRPr="00780E96">
        <w:t xml:space="preserve"> a delineation is provided by a group of DNAs, the same delineation </w:t>
      </w:r>
      <w:r w:rsidR="002F5E18" w:rsidRPr="00780E96">
        <w:t>shall</w:t>
      </w:r>
      <w:r w:rsidR="0028272E" w:rsidRPr="00780E96">
        <w:t xml:space="preserve"> be used by all activity participants applying th</w:t>
      </w:r>
      <w:r w:rsidR="00745695" w:rsidRPr="00780E96">
        <w:t>is methodological</w:t>
      </w:r>
      <w:r w:rsidR="0028272E" w:rsidRPr="00780E96">
        <w:t xml:space="preserve"> tool in </w:t>
      </w:r>
      <w:r w:rsidR="002F5E18" w:rsidRPr="00780E96">
        <w:t xml:space="preserve">those </w:t>
      </w:r>
      <w:r w:rsidR="0028272E" w:rsidRPr="00780E96">
        <w:t>countries;</w:t>
      </w:r>
      <w:r w:rsidR="00A02DAD" w:rsidRPr="00780E96">
        <w:t xml:space="preserve"> or</w:t>
      </w:r>
    </w:p>
    <w:p w14:paraId="2055013F" w14:textId="20995B0C" w:rsidR="00FF70B5" w:rsidRPr="00780E96" w:rsidRDefault="00E24BC0" w:rsidP="00F62D64">
      <w:pPr>
        <w:pStyle w:val="SDMSubPara1"/>
        <w:keepNext/>
      </w:pPr>
      <w:r w:rsidRPr="00780E96">
        <w:t xml:space="preserve">Where a delineation by the DNA </w:t>
      </w:r>
      <w:r w:rsidR="00FD0AD1" w:rsidRPr="00780E96">
        <w:t xml:space="preserve">or by a group of DNAs </w:t>
      </w:r>
      <w:r w:rsidRPr="00780E96">
        <w:t>is not available,</w:t>
      </w:r>
      <w:r w:rsidR="007D3F3A" w:rsidRPr="00780E96">
        <w:t xml:space="preserve"> </w:t>
      </w:r>
      <w:r w:rsidR="00C40A0C" w:rsidRPr="00780E96">
        <w:t xml:space="preserve">determine the delineation of </w:t>
      </w:r>
      <w:r w:rsidR="00D9610D" w:rsidRPr="00780E96">
        <w:t>electricity systems as follows</w:t>
      </w:r>
      <w:r w:rsidR="00FF70B5" w:rsidRPr="00780E96">
        <w:t>:</w:t>
      </w:r>
    </w:p>
    <w:p w14:paraId="781D9E6E" w14:textId="77777777" w:rsidR="00FF70B5" w:rsidRPr="00780E96" w:rsidRDefault="3A192BF7" w:rsidP="00973925">
      <w:pPr>
        <w:pStyle w:val="SDMSubPara2"/>
      </w:pPr>
      <w:r w:rsidRPr="00780E96">
        <w:t xml:space="preserve">Identify </w:t>
      </w:r>
      <w:r w:rsidR="48734768" w:rsidRPr="00780E96">
        <w:t>the dispatch area</w:t>
      </w:r>
      <w:r w:rsidR="7709FC7E" w:rsidRPr="00780E96">
        <w:t>s</w:t>
      </w:r>
      <w:r w:rsidR="48734768" w:rsidRPr="00780E96">
        <w:t xml:space="preserve"> </w:t>
      </w:r>
      <w:r w:rsidR="6BC9AB9C" w:rsidRPr="00780E96">
        <w:t xml:space="preserve">covered by </w:t>
      </w:r>
      <w:r w:rsidR="48734768" w:rsidRPr="00780E96">
        <w:t xml:space="preserve">the </w:t>
      </w:r>
      <w:r w:rsidR="23AF29D5" w:rsidRPr="00780E96">
        <w:t>respective</w:t>
      </w:r>
      <w:r w:rsidR="2345FDE5" w:rsidRPr="00780E96">
        <w:t xml:space="preserve"> </w:t>
      </w:r>
      <w:r w:rsidR="48734768" w:rsidRPr="00780E96">
        <w:t>dispatch centre</w:t>
      </w:r>
      <w:r w:rsidR="61109070" w:rsidRPr="00780E96">
        <w:t>s</w:t>
      </w:r>
      <w:r w:rsidR="00CF5B08" w:rsidRPr="00780E96">
        <w:t>;</w:t>
      </w:r>
    </w:p>
    <w:p w14:paraId="2353EC48" w14:textId="00BF0493" w:rsidR="00DE55BD" w:rsidRPr="00780E96" w:rsidRDefault="005107EE" w:rsidP="00A704C1">
      <w:pPr>
        <w:pStyle w:val="SDMSubPara2"/>
      </w:pPr>
      <w:bookmarkStart w:id="439" w:name="_Ref215751557"/>
      <w:r w:rsidRPr="00780E96">
        <w:t>Where</w:t>
      </w:r>
      <w:r w:rsidRPr="00780E96" w:rsidDel="00C106ED">
        <w:t xml:space="preserve"> </w:t>
      </w:r>
      <w:r w:rsidR="00C106ED" w:rsidRPr="00780E96">
        <w:t>a</w:t>
      </w:r>
      <w:r w:rsidRPr="00780E96">
        <w:t xml:space="preserve"> dispatch area is controlled by more than one dispatch centre</w:t>
      </w:r>
      <w:r w:rsidR="00201EE2" w:rsidRPr="00780E96">
        <w:t xml:space="preserve"> (</w:t>
      </w:r>
      <w:r w:rsidRPr="00780E96">
        <w:t>i.e.</w:t>
      </w:r>
      <w:r w:rsidR="00201EE2" w:rsidRPr="00780E96">
        <w:t>,</w:t>
      </w:r>
      <w:r w:rsidRPr="00780E96">
        <w:t xml:space="preserve"> </w:t>
      </w:r>
      <w:r w:rsidR="006D601D" w:rsidRPr="00780E96">
        <w:t xml:space="preserve">a </w:t>
      </w:r>
      <w:r w:rsidRPr="00780E96">
        <w:t>layered dispatch area</w:t>
      </w:r>
      <w:r w:rsidR="00201EE2" w:rsidRPr="00780E96">
        <w:t>)</w:t>
      </w:r>
      <w:r w:rsidRPr="00780E96">
        <w:t>, the higher</w:t>
      </w:r>
      <w:r w:rsidR="007C14C3" w:rsidRPr="00780E96">
        <w:t>-</w:t>
      </w:r>
      <w:r w:rsidRPr="00780E96">
        <w:t xml:space="preserve">level area shall be </w:t>
      </w:r>
      <w:r w:rsidR="00EC562A" w:rsidRPr="00780E96">
        <w:t>considered</w:t>
      </w:r>
      <w:r w:rsidR="00664CFC" w:rsidRPr="00780E96">
        <w:t xml:space="preserve"> </w:t>
      </w:r>
      <w:r w:rsidR="00AC07D2" w:rsidRPr="00780E96">
        <w:t>the</w:t>
      </w:r>
      <w:r w:rsidR="0049441E" w:rsidRPr="00780E96">
        <w:t xml:space="preserve"> top-level </w:t>
      </w:r>
      <w:r w:rsidR="00664CFC" w:rsidRPr="00780E96">
        <w:t xml:space="preserve">dispatch </w:t>
      </w:r>
      <w:r w:rsidR="5277F767" w:rsidRPr="00780E96">
        <w:t>area</w:t>
      </w:r>
      <w:r w:rsidR="0038346C" w:rsidRPr="00780E96">
        <w:t>;</w:t>
      </w:r>
      <w:r w:rsidR="009B336B" w:rsidRPr="00780E96">
        <w:rPr>
          <w:rStyle w:val="FootnoteReference"/>
        </w:rPr>
        <w:footnoteReference w:id="8"/>
      </w:r>
      <w:bookmarkEnd w:id="439"/>
    </w:p>
    <w:p w14:paraId="659C459E" w14:textId="5132217C" w:rsidR="00332886" w:rsidRPr="00780E96" w:rsidRDefault="7C0FF16B" w:rsidP="00A704C1">
      <w:pPr>
        <w:pStyle w:val="SDMSubPara2"/>
      </w:pPr>
      <w:r w:rsidRPr="00780E96">
        <w:t>Assess</w:t>
      </w:r>
      <w:r w:rsidR="00BC7B6F" w:rsidRPr="00780E96">
        <w:t xml:space="preserve"> whether </w:t>
      </w:r>
      <w:r w:rsidR="00792A4A" w:rsidRPr="00780E96">
        <w:t xml:space="preserve">any </w:t>
      </w:r>
      <w:r w:rsidR="00BC7B6F" w:rsidRPr="00780E96">
        <w:t xml:space="preserve">transmission constraints exist between </w:t>
      </w:r>
      <w:r w:rsidR="00C1001B" w:rsidRPr="00780E96">
        <w:t xml:space="preserve">the </w:t>
      </w:r>
      <w:r w:rsidR="00E87026" w:rsidRPr="00780E96">
        <w:t>top</w:t>
      </w:r>
      <w:r w:rsidR="009F664B" w:rsidRPr="00780E96">
        <w:t>-</w:t>
      </w:r>
      <w:r w:rsidR="00E87026" w:rsidRPr="00780E96">
        <w:t xml:space="preserve">level </w:t>
      </w:r>
      <w:r w:rsidR="008811B3" w:rsidRPr="00780E96">
        <w:t>dispatch areas</w:t>
      </w:r>
      <w:r w:rsidR="008761F6" w:rsidRPr="00780E96">
        <w:t xml:space="preserve"> identified in subparagraph (ii)</w:t>
      </w:r>
      <w:r w:rsidR="00332886" w:rsidRPr="00780E96">
        <w:t>;</w:t>
      </w:r>
      <w:r w:rsidR="00A07B0C" w:rsidRPr="00780E96">
        <w:t xml:space="preserve"> and</w:t>
      </w:r>
    </w:p>
    <w:p w14:paraId="3727B8D5" w14:textId="08C2BFD2" w:rsidR="000265DF" w:rsidRPr="00780E96" w:rsidRDefault="006C3FBF" w:rsidP="00A704C1">
      <w:pPr>
        <w:pStyle w:val="SDMSubPara2"/>
      </w:pPr>
      <w:r w:rsidRPr="00780E96">
        <w:t xml:space="preserve">Identify the </w:t>
      </w:r>
      <w:r w:rsidR="0021007A" w:rsidRPr="00780E96">
        <w:t xml:space="preserve">relevant </w:t>
      </w:r>
      <w:r w:rsidRPr="00780E96">
        <w:t>electricity system</w:t>
      </w:r>
      <w:r w:rsidR="0021007A" w:rsidRPr="00780E96">
        <w:t xml:space="preserve"> </w:t>
      </w:r>
      <w:r w:rsidRPr="00780E96">
        <w:t xml:space="preserve">as the area covered by all </w:t>
      </w:r>
      <w:r w:rsidR="009F664B" w:rsidRPr="00780E96">
        <w:t xml:space="preserve">top-level </w:t>
      </w:r>
      <w:r w:rsidR="000265DF" w:rsidRPr="00780E96">
        <w:t>dispatch cent</w:t>
      </w:r>
      <w:r w:rsidR="001F538B" w:rsidRPr="00780E96">
        <w:t>r</w:t>
      </w:r>
      <w:r w:rsidR="000265DF" w:rsidRPr="00780E96">
        <w:t xml:space="preserve">es </w:t>
      </w:r>
      <w:r w:rsidR="00A07B0C" w:rsidRPr="00780E96">
        <w:t xml:space="preserve">between </w:t>
      </w:r>
      <w:r w:rsidR="001F538B" w:rsidRPr="00780E96">
        <w:t xml:space="preserve">which </w:t>
      </w:r>
      <w:r w:rsidR="00A07B0C" w:rsidRPr="00780E96">
        <w:t xml:space="preserve">no </w:t>
      </w:r>
      <w:r w:rsidR="000265DF" w:rsidRPr="00780E96">
        <w:t xml:space="preserve">transmission </w:t>
      </w:r>
      <w:r w:rsidRPr="00780E96">
        <w:t>constraints</w:t>
      </w:r>
      <w:r w:rsidR="000265DF" w:rsidRPr="00780E96" w:rsidDel="00A07B0C">
        <w:t xml:space="preserve"> </w:t>
      </w:r>
      <w:r w:rsidR="00A07B0C" w:rsidRPr="00780E96">
        <w:t>exist</w:t>
      </w:r>
      <w:r w:rsidR="000265DF" w:rsidRPr="00780E96">
        <w:t>.</w:t>
      </w:r>
    </w:p>
    <w:p w14:paraId="09EA9594" w14:textId="590F6C79" w:rsidR="00FD0955" w:rsidRPr="00780E96" w:rsidRDefault="007A520B">
      <w:pPr>
        <w:pStyle w:val="SDMPara"/>
      </w:pPr>
      <w:r w:rsidRPr="00780E96">
        <w:t>The assessment of whether t</w:t>
      </w:r>
      <w:r w:rsidR="00FD0955" w:rsidRPr="00780E96">
        <w:t>ransmission constraints exist</w:t>
      </w:r>
      <w:r w:rsidRPr="00780E96">
        <w:t xml:space="preserve"> </w:t>
      </w:r>
      <w:r w:rsidR="00E96A6E" w:rsidRPr="00780E96">
        <w:t xml:space="preserve">between two </w:t>
      </w:r>
      <w:r w:rsidR="00506AE6" w:rsidRPr="00780E96">
        <w:t xml:space="preserve">top-level </w:t>
      </w:r>
      <w:r w:rsidR="00E96A6E" w:rsidRPr="00780E96">
        <w:t xml:space="preserve">dispatch centres </w:t>
      </w:r>
      <w:r w:rsidRPr="00780E96">
        <w:t>shall be conducted for a period</w:t>
      </w:r>
      <w:r w:rsidR="007F56A5" w:rsidRPr="00780E96">
        <w:t xml:space="preserve"> of </w:t>
      </w:r>
      <w:r w:rsidR="00741413" w:rsidRPr="00780E96">
        <w:t>one calendar year</w:t>
      </w:r>
      <w:r w:rsidR="00573866" w:rsidRPr="00780E96">
        <w:t>, using</w:t>
      </w:r>
      <w:r w:rsidR="00ED1228" w:rsidRPr="00780E96">
        <w:t xml:space="preserve"> </w:t>
      </w:r>
      <w:r w:rsidR="2F05A65C" w:rsidRPr="00780E96">
        <w:t xml:space="preserve">the most recent </w:t>
      </w:r>
      <w:r w:rsidR="00573866" w:rsidRPr="00780E96">
        <w:t>calendar year for which data is available</w:t>
      </w:r>
      <w:r w:rsidRPr="00780E96">
        <w:t>.</w:t>
      </w:r>
    </w:p>
    <w:p w14:paraId="07790C36" w14:textId="3277CC52" w:rsidR="0076318A" w:rsidRPr="00780E96" w:rsidRDefault="004213E0" w:rsidP="00F62D64">
      <w:pPr>
        <w:pStyle w:val="SDMPara"/>
        <w:keepNext/>
      </w:pPr>
      <w:r w:rsidRPr="00780E96">
        <w:rPr>
          <w:rFonts w:hint="eastAsia"/>
        </w:rPr>
        <w:t xml:space="preserve">It </w:t>
      </w:r>
      <w:r w:rsidR="00ED1228" w:rsidRPr="00780E96">
        <w:t>shall</w:t>
      </w:r>
      <w:r w:rsidR="00C06E83" w:rsidRPr="00780E96">
        <w:t xml:space="preserve"> be</w:t>
      </w:r>
      <w:r w:rsidR="00ED1228" w:rsidRPr="00780E96">
        <w:rPr>
          <w:rFonts w:hint="eastAsia"/>
        </w:rPr>
        <w:t xml:space="preserve"> </w:t>
      </w:r>
      <w:r w:rsidRPr="00780E96">
        <w:rPr>
          <w:rFonts w:hint="eastAsia"/>
        </w:rPr>
        <w:t xml:space="preserve">determined that </w:t>
      </w:r>
      <w:r w:rsidR="0076318A" w:rsidRPr="00780E96">
        <w:t>no transmission constraints</w:t>
      </w:r>
      <w:r w:rsidR="00C06E83" w:rsidRPr="00780E96">
        <w:t xml:space="preserve"> exist</w:t>
      </w:r>
      <w:r w:rsidR="0076318A" w:rsidRPr="00780E96">
        <w:t xml:space="preserve"> if any one of the following criteria is met</w:t>
      </w:r>
      <w:r w:rsidR="0076318A" w:rsidRPr="00780E96" w:rsidDel="000D7A7C">
        <w:t>:</w:t>
      </w:r>
    </w:p>
    <w:p w14:paraId="49D624FF" w14:textId="3E9495D5" w:rsidR="0076318A" w:rsidRPr="00780E96" w:rsidRDefault="001C12C0" w:rsidP="00973925">
      <w:pPr>
        <w:pStyle w:val="SDMSubPara1"/>
      </w:pPr>
      <w:r w:rsidRPr="00780E96">
        <w:t xml:space="preserve">In </w:t>
      </w:r>
      <w:r w:rsidR="00C06E83" w:rsidRPr="00780E96">
        <w:t xml:space="preserve">the </w:t>
      </w:r>
      <w:r w:rsidRPr="00780E96">
        <w:t xml:space="preserve">case of electricity systems with spot </w:t>
      </w:r>
      <w:r w:rsidR="009B4FA4" w:rsidRPr="00780E96">
        <w:t xml:space="preserve">electricity </w:t>
      </w:r>
      <w:r w:rsidRPr="00780E96">
        <w:t>markets</w:t>
      </w:r>
      <w:r w:rsidR="009B4FA4" w:rsidRPr="00780E96">
        <w:t>,</w:t>
      </w:r>
      <w:r w:rsidRPr="00780E96">
        <w:t xml:space="preserve"> </w:t>
      </w:r>
      <w:r w:rsidR="6F8566F6" w:rsidRPr="00780E96">
        <w:t>the difference</w:t>
      </w:r>
      <w:r w:rsidRPr="00780E96">
        <w:t xml:space="preserve"> in electricity prices (</w:t>
      </w:r>
      <w:r w:rsidR="002B6869" w:rsidRPr="00780E96">
        <w:t xml:space="preserve">excluding </w:t>
      </w:r>
      <w:r w:rsidRPr="00780E96">
        <w:t xml:space="preserve">transmission and distribution costs) </w:t>
      </w:r>
      <w:r w:rsidR="00DA6965" w:rsidRPr="00780E96">
        <w:t xml:space="preserve">between the two </w:t>
      </w:r>
      <w:r w:rsidR="0090393B" w:rsidRPr="00780E96">
        <w:t xml:space="preserve">top-level </w:t>
      </w:r>
      <w:r w:rsidR="00E96A6E" w:rsidRPr="00780E96">
        <w:t>dispatch centres</w:t>
      </w:r>
      <w:r w:rsidR="00DA6965" w:rsidRPr="00780E96">
        <w:t xml:space="preserve"> </w:t>
      </w:r>
      <w:r w:rsidR="00EA13A5" w:rsidRPr="00780E96">
        <w:t>is</w:t>
      </w:r>
      <w:r w:rsidR="00DA6965" w:rsidRPr="00780E96">
        <w:t xml:space="preserve"> </w:t>
      </w:r>
      <w:r w:rsidRPr="00780E96">
        <w:t xml:space="preserve">less than five per cent </w:t>
      </w:r>
      <w:r w:rsidR="00DA6965" w:rsidRPr="00780E96">
        <w:t xml:space="preserve">during </w:t>
      </w:r>
      <w:r w:rsidRPr="00780E96">
        <w:t xml:space="preserve">at least 90 per cent of the hours </w:t>
      </w:r>
      <w:r w:rsidR="00A40CB9" w:rsidRPr="00780E96">
        <w:t xml:space="preserve">within </w:t>
      </w:r>
      <w:r w:rsidR="00502685" w:rsidRPr="00780E96">
        <w:t xml:space="preserve">the assessment </w:t>
      </w:r>
      <w:r w:rsidR="1FB35A5D" w:rsidRPr="00780E96">
        <w:t>period</w:t>
      </w:r>
      <w:r w:rsidR="6F8566F6" w:rsidRPr="00780E96">
        <w:t>;</w:t>
      </w:r>
    </w:p>
    <w:p w14:paraId="37561903" w14:textId="35207488" w:rsidR="001C12C0" w:rsidRPr="00780E96" w:rsidRDefault="009A5DE2" w:rsidP="00F62D64">
      <w:pPr>
        <w:pStyle w:val="SDMSubPara1"/>
        <w:keepNext/>
      </w:pPr>
      <w:r w:rsidRPr="00780E96">
        <w:t xml:space="preserve">The transmission line(s) </w:t>
      </w:r>
      <w:r w:rsidR="00007F23" w:rsidRPr="00780E96">
        <w:t>between the two</w:t>
      </w:r>
      <w:r w:rsidR="00E96A6E" w:rsidRPr="00780E96">
        <w:t xml:space="preserve"> </w:t>
      </w:r>
      <w:r w:rsidR="0090393B" w:rsidRPr="00780E96">
        <w:t xml:space="preserve">top-level </w:t>
      </w:r>
      <w:r w:rsidR="00E96A6E" w:rsidRPr="00780E96">
        <w:t xml:space="preserve">dispatch centres </w:t>
      </w:r>
      <w:r w:rsidR="00FF12D0" w:rsidRPr="00780E96">
        <w:t xml:space="preserve">are </w:t>
      </w:r>
      <w:r w:rsidRPr="00780E96">
        <w:t xml:space="preserve">operated at 75 per cent or less of </w:t>
      </w:r>
      <w:r w:rsidR="00FF12D0" w:rsidRPr="00780E96">
        <w:t xml:space="preserve">their </w:t>
      </w:r>
      <w:r w:rsidRPr="00780E96">
        <w:t xml:space="preserve">rated capacity during 90 per cent or more of the hours </w:t>
      </w:r>
      <w:r w:rsidR="00BB69C0" w:rsidRPr="00780E96">
        <w:t xml:space="preserve">within </w:t>
      </w:r>
      <w:r w:rsidR="00D90A74" w:rsidRPr="00780E96">
        <w:t>the assessment period</w:t>
      </w:r>
      <w:r w:rsidR="00FF12D0" w:rsidRPr="00780E96">
        <w:t>. This shall be determined</w:t>
      </w:r>
      <w:r w:rsidR="00D90A74" w:rsidRPr="00780E96">
        <w:t xml:space="preserve"> as follows</w:t>
      </w:r>
      <w:r w:rsidRPr="00780E96">
        <w:t>:</w:t>
      </w:r>
    </w:p>
    <w:p w14:paraId="7D0A61C7" w14:textId="0DFA95B2" w:rsidR="004958C1" w:rsidRPr="00780E96" w:rsidRDefault="4C0AC80D" w:rsidP="00973925">
      <w:pPr>
        <w:pStyle w:val="SDMSubPara2"/>
        <w:rPr>
          <w:rFonts w:eastAsia="Arial"/>
        </w:rPr>
      </w:pPr>
      <w:r w:rsidRPr="00780E96">
        <w:t xml:space="preserve">Determine </w:t>
      </w:r>
      <w:r w:rsidR="48BD5B56" w:rsidRPr="00780E96">
        <w:t>the</w:t>
      </w:r>
      <w:r w:rsidRPr="00780E96">
        <w:t xml:space="preserve"> maximum load capacity of the transmission line</w:t>
      </w:r>
      <w:r w:rsidR="00B65859" w:rsidRPr="00780E96">
        <w:t>(</w:t>
      </w:r>
      <w:r w:rsidRPr="00780E96">
        <w:t>s</w:t>
      </w:r>
      <w:r w:rsidR="00B65859" w:rsidRPr="00780E96">
        <w:t>)</w:t>
      </w:r>
      <w:r w:rsidRPr="00780E96">
        <w:t xml:space="preserve"> between the two </w:t>
      </w:r>
      <w:r w:rsidR="00037CE7" w:rsidRPr="00780E96">
        <w:t>top-level</w:t>
      </w:r>
      <w:r w:rsidRPr="00780E96">
        <w:t xml:space="preserve"> dispatch centres based on official information (e.g.</w:t>
      </w:r>
      <w:r w:rsidR="2FD5B23D" w:rsidRPr="00780E96">
        <w:t>,</w:t>
      </w:r>
      <w:r w:rsidRPr="00780E96">
        <w:t xml:space="preserve"> from the </w:t>
      </w:r>
      <w:r w:rsidR="006D7E73" w:rsidRPr="00780E96">
        <w:t xml:space="preserve">system </w:t>
      </w:r>
      <w:r w:rsidRPr="00780E96" w:rsidDel="006D7E73">
        <w:t>operator</w:t>
      </w:r>
      <w:r w:rsidRPr="00780E96">
        <w:t>)</w:t>
      </w:r>
      <w:r w:rsidR="7B635050" w:rsidRPr="00780E96">
        <w:t>.</w:t>
      </w:r>
      <w:r w:rsidR="006D7E73" w:rsidRPr="00780E96">
        <w:rPr>
          <w:rFonts w:eastAsia="Arial"/>
        </w:rPr>
        <w:t xml:space="preserve"> Where </w:t>
      </w:r>
      <w:r w:rsidR="7B635050" w:rsidRPr="00780E96">
        <w:rPr>
          <w:rFonts w:eastAsia="Arial"/>
        </w:rPr>
        <w:t xml:space="preserve">more than one transmission line </w:t>
      </w:r>
      <w:r w:rsidR="006D7E73" w:rsidRPr="00780E96">
        <w:rPr>
          <w:rFonts w:eastAsia="Arial"/>
        </w:rPr>
        <w:t xml:space="preserve">operates </w:t>
      </w:r>
      <w:r w:rsidR="7B635050" w:rsidRPr="00780E96">
        <w:rPr>
          <w:rFonts w:eastAsia="Arial"/>
        </w:rPr>
        <w:t xml:space="preserve">between the two </w:t>
      </w:r>
      <w:r w:rsidR="00037CE7" w:rsidRPr="00780E96">
        <w:rPr>
          <w:rFonts w:eastAsia="Arial"/>
        </w:rPr>
        <w:t xml:space="preserve">top-level </w:t>
      </w:r>
      <w:r w:rsidR="7B635050" w:rsidRPr="00780E96">
        <w:rPr>
          <w:rFonts w:eastAsia="Arial"/>
        </w:rPr>
        <w:t>dispatch centres, the total load capacity of the transmission line</w:t>
      </w:r>
      <w:r w:rsidR="00362C03" w:rsidRPr="00780E96">
        <w:rPr>
          <w:rFonts w:eastAsia="Arial"/>
        </w:rPr>
        <w:t>(</w:t>
      </w:r>
      <w:r w:rsidR="7B635050" w:rsidRPr="00780E96">
        <w:rPr>
          <w:rFonts w:eastAsia="Arial"/>
        </w:rPr>
        <w:t>s</w:t>
      </w:r>
      <w:r w:rsidR="00362C03" w:rsidRPr="00780E96">
        <w:rPr>
          <w:rFonts w:eastAsia="Arial"/>
        </w:rPr>
        <w:t>)</w:t>
      </w:r>
      <w:r w:rsidR="7B635050" w:rsidRPr="00780E96">
        <w:rPr>
          <w:rFonts w:eastAsia="Arial"/>
        </w:rPr>
        <w:t xml:space="preserve"> shall apply</w:t>
      </w:r>
      <w:r w:rsidR="004958C1" w:rsidRPr="00780E96" w:rsidDel="4C0AC80D">
        <w:rPr>
          <w:rFonts w:eastAsia="Arial"/>
        </w:rPr>
        <w:t>;</w:t>
      </w:r>
    </w:p>
    <w:p w14:paraId="1255F965" w14:textId="31168F48" w:rsidR="0063118F" w:rsidRPr="00780E96" w:rsidRDefault="474C7158" w:rsidP="00A704C1">
      <w:pPr>
        <w:pStyle w:val="SDMSubPara2"/>
      </w:pPr>
      <w:r w:rsidRPr="00780E96">
        <w:t>Determine the operated load of the transmission line</w:t>
      </w:r>
      <w:r w:rsidR="00362C03" w:rsidRPr="00780E96">
        <w:t>(</w:t>
      </w:r>
      <w:r w:rsidRPr="00780E96">
        <w:t>s</w:t>
      </w:r>
      <w:r w:rsidR="00362C03" w:rsidRPr="00780E96">
        <w:t>)</w:t>
      </w:r>
      <w:r w:rsidRPr="00780E96">
        <w:t xml:space="preserve"> between the two </w:t>
      </w:r>
      <w:r w:rsidR="00037CE7" w:rsidRPr="00780E96">
        <w:t xml:space="preserve">top-level </w:t>
      </w:r>
      <w:r w:rsidRPr="00780E96">
        <w:t>dispatch centre</w:t>
      </w:r>
      <w:r w:rsidR="00486E92" w:rsidRPr="00780E96">
        <w:t>s</w:t>
      </w:r>
      <w:r w:rsidRPr="00780E96">
        <w:t xml:space="preserve"> in each hour </w:t>
      </w:r>
      <w:r w:rsidRPr="00780E96" w:rsidDel="00522DA7">
        <w:t>and</w:t>
      </w:r>
      <w:r w:rsidR="6EE1AAE2" w:rsidRPr="00780E96" w:rsidDel="00522DA7">
        <w:t xml:space="preserve"> </w:t>
      </w:r>
      <w:r w:rsidR="00522DA7" w:rsidRPr="00780E96">
        <w:t>assess</w:t>
      </w:r>
      <w:r w:rsidR="6EE1AAE2" w:rsidRPr="00780E96" w:rsidDel="00486E92">
        <w:t xml:space="preserve"> </w:t>
      </w:r>
      <w:r w:rsidR="6EE1AAE2" w:rsidRPr="00780E96">
        <w:t xml:space="preserve">whether </w:t>
      </w:r>
      <w:r w:rsidR="6B2786D8" w:rsidRPr="00780E96">
        <w:t xml:space="preserve">they are </w:t>
      </w:r>
      <w:r w:rsidR="6EE1AAE2" w:rsidRPr="00780E96">
        <w:t>operated at 75</w:t>
      </w:r>
      <w:r w:rsidR="001A33C9" w:rsidRPr="00780E96">
        <w:t> </w:t>
      </w:r>
      <w:r w:rsidR="6EE1AAE2" w:rsidRPr="00780E96">
        <w:t xml:space="preserve">per cent or less of </w:t>
      </w:r>
      <w:r w:rsidR="70503278" w:rsidRPr="00780E96">
        <w:t xml:space="preserve">their </w:t>
      </w:r>
      <w:r w:rsidR="6EE1AAE2" w:rsidRPr="00780E96">
        <w:t>rated capacity</w:t>
      </w:r>
      <w:r w:rsidR="33582F51" w:rsidRPr="00780E96">
        <w:t xml:space="preserve"> during that hour</w:t>
      </w:r>
      <w:r w:rsidR="6EE1AAE2" w:rsidRPr="00780E96">
        <w:t>;</w:t>
      </w:r>
    </w:p>
    <w:p w14:paraId="074D52F7" w14:textId="0B3B7F39" w:rsidR="0063118F" w:rsidRPr="00780E96" w:rsidRDefault="7565C776" w:rsidP="00A704C1">
      <w:pPr>
        <w:pStyle w:val="SDMSubPara2"/>
      </w:pPr>
      <w:r w:rsidRPr="00780E96">
        <w:t>Determine whether the cumulative number of hours in which the condition in subparagraph (ii) is met accounts for 90 per cent or more of the hours within the assessment period. If this condition is met, it shall be determined that no transmission constraints exist</w:t>
      </w:r>
      <w:r w:rsidR="0078007B" w:rsidRPr="00780E96">
        <w:t>;</w:t>
      </w:r>
      <w:r w:rsidR="00BC130E" w:rsidRPr="00780E96">
        <w:t xml:space="preserve"> </w:t>
      </w:r>
      <w:r w:rsidR="00E14F89" w:rsidRPr="00780E96">
        <w:t>otherwise,</w:t>
      </w:r>
      <w:r w:rsidR="00BC130E" w:rsidRPr="00780E96">
        <w:t xml:space="preserve"> a transmission constrain</w:t>
      </w:r>
      <w:r w:rsidR="00A54ED6" w:rsidRPr="00780E96">
        <w:rPr>
          <w:rFonts w:eastAsia="MS Mincho" w:hint="eastAsia"/>
          <w:lang w:eastAsia="ja-JP"/>
        </w:rPr>
        <w:t>t</w:t>
      </w:r>
      <w:r w:rsidR="00BC130E" w:rsidRPr="00780E96">
        <w:t xml:space="preserve"> is deemed to exist</w:t>
      </w:r>
      <w:r w:rsidR="001A33C9" w:rsidRPr="00780E96">
        <w:t>.</w:t>
      </w:r>
      <w:r w:rsidR="005637CA" w:rsidRPr="00780E96">
        <w:rPr>
          <w:rStyle w:val="FootnoteReference"/>
        </w:rPr>
        <w:footnoteReference w:id="9"/>
      </w:r>
      <w:r w:rsidR="008D6BDA" w:rsidRPr="00780E96">
        <w:t xml:space="preserve"> or</w:t>
      </w:r>
    </w:p>
    <w:p w14:paraId="3C7474D8" w14:textId="53DAA4E7" w:rsidR="00415668" w:rsidRPr="00780E96" w:rsidRDefault="00502D1B" w:rsidP="00A704C1">
      <w:pPr>
        <w:pStyle w:val="SDMSubPara2"/>
      </w:pPr>
      <w:r w:rsidRPr="00780E96">
        <w:t xml:space="preserve">The transmission capacity of the transmission line(s) </w:t>
      </w:r>
      <w:r w:rsidR="00DB0D39" w:rsidRPr="00780E96">
        <w:t xml:space="preserve">between the two independent dispatch centres </w:t>
      </w:r>
      <w:r w:rsidR="00640F0A" w:rsidRPr="00780E96">
        <w:t>exceeds</w:t>
      </w:r>
      <w:r w:rsidRPr="00780E96">
        <w:t xml:space="preserve"> 10</w:t>
      </w:r>
      <w:r w:rsidR="001A33C9" w:rsidRPr="00780E96">
        <w:t> </w:t>
      </w:r>
      <w:r w:rsidRPr="00780E96">
        <w:t xml:space="preserve">per cent of the installed </w:t>
      </w:r>
      <w:r w:rsidR="00DB0D39" w:rsidRPr="00780E96">
        <w:t xml:space="preserve">power generation </w:t>
      </w:r>
      <w:r w:rsidRPr="00780E96">
        <w:t xml:space="preserve">capacity </w:t>
      </w:r>
      <w:r w:rsidR="00640F0A" w:rsidRPr="00780E96">
        <w:t xml:space="preserve">of the smaller of the two </w:t>
      </w:r>
      <w:r w:rsidR="00DB0D39" w:rsidRPr="00780E96">
        <w:t xml:space="preserve">independent dispatch </w:t>
      </w:r>
      <w:r w:rsidR="68D44D7E" w:rsidRPr="00780E96">
        <w:t>centres</w:t>
      </w:r>
      <w:r w:rsidRPr="00780E96">
        <w:t>.</w:t>
      </w:r>
    </w:p>
    <w:p w14:paraId="5AB35543" w14:textId="6C116781" w:rsidR="00502D1B" w:rsidRPr="00780E96" w:rsidRDefault="007F4DF1">
      <w:pPr>
        <w:pStyle w:val="SDMPara"/>
      </w:pPr>
      <w:r w:rsidRPr="00780E96">
        <w:t xml:space="preserve">In addition, in cases involving </w:t>
      </w:r>
      <w:r w:rsidR="00F236A4" w:rsidRPr="00780E96">
        <w:t xml:space="preserve">an </w:t>
      </w:r>
      <w:r w:rsidRPr="00780E96">
        <w:t>international interconnection (</w:t>
      </w:r>
      <w:r w:rsidR="001B62A6" w:rsidRPr="00780E96">
        <w:t>i.e.,</w:t>
      </w:r>
      <w:r w:rsidRPr="00780E96">
        <w:t xml:space="preserve"> transmission line</w:t>
      </w:r>
      <w:r w:rsidR="00FA6F1F" w:rsidRPr="00780E96">
        <w:t>s</w:t>
      </w:r>
      <w:r w:rsidRPr="00780E96">
        <w:t xml:space="preserve"> between different countries), it </w:t>
      </w:r>
      <w:r w:rsidR="00F236A4" w:rsidRPr="00780E96">
        <w:t xml:space="preserve">shall </w:t>
      </w:r>
      <w:r w:rsidRPr="00780E96">
        <w:t xml:space="preserve">be further </w:t>
      </w:r>
      <w:r w:rsidR="00FA6F1F" w:rsidRPr="00780E96">
        <w:t xml:space="preserve">confirmed </w:t>
      </w:r>
      <w:r w:rsidRPr="00780E96">
        <w:t xml:space="preserve">that no legal restrictions </w:t>
      </w:r>
      <w:r w:rsidR="009F2AAC" w:rsidRPr="00780E96">
        <w:t xml:space="preserve">on </w:t>
      </w:r>
      <w:r w:rsidRPr="00780E96">
        <w:t>international electricity exchange</w:t>
      </w:r>
      <w:r w:rsidR="00FA6F1F" w:rsidRPr="00780E96">
        <w:t xml:space="preserve"> </w:t>
      </w:r>
      <w:r w:rsidR="009F2AAC" w:rsidRPr="00780E96">
        <w:t xml:space="preserve">exist </w:t>
      </w:r>
      <w:r w:rsidR="003D0F63" w:rsidRPr="00780E96">
        <w:t xml:space="preserve">in order to </w:t>
      </w:r>
      <w:r w:rsidR="00FA6F1F" w:rsidRPr="00780E96">
        <w:t xml:space="preserve">determine that </w:t>
      </w:r>
      <w:r w:rsidR="00B453CD" w:rsidRPr="00780E96">
        <w:t>no transmission constraints</w:t>
      </w:r>
      <w:r w:rsidR="003D0F63" w:rsidRPr="00780E96">
        <w:t xml:space="preserve"> exist</w:t>
      </w:r>
      <w:r w:rsidRPr="00780E96">
        <w:t>.</w:t>
      </w:r>
    </w:p>
    <w:p w14:paraId="3304A8A1" w14:textId="2345C49E" w:rsidR="0003794A" w:rsidRPr="00780E96" w:rsidRDefault="0054684E">
      <w:pPr>
        <w:pStyle w:val="SDMPara"/>
      </w:pPr>
      <w:r w:rsidRPr="00780E96">
        <w:t>The assessment of whether transmission constraints exist shall be updated at the renewal of the crediting period.</w:t>
      </w:r>
    </w:p>
    <w:p w14:paraId="2CDAE087" w14:textId="0FCA1226" w:rsidR="00906E05" w:rsidRPr="00780E96" w:rsidRDefault="00906E05">
      <w:pPr>
        <w:pStyle w:val="SDMPara"/>
      </w:pPr>
      <w:bookmarkStart w:id="440" w:name="_Ref212208403"/>
      <w:r w:rsidRPr="00780E96">
        <w:t>For the purpose</w:t>
      </w:r>
      <w:r w:rsidR="000B660F" w:rsidRPr="00780E96">
        <w:t>s</w:t>
      </w:r>
      <w:r w:rsidRPr="00780E96">
        <w:t xml:space="preserve"> of this </w:t>
      </w:r>
      <w:r w:rsidR="007F6E68" w:rsidRPr="00780E96">
        <w:t xml:space="preserve">methodological </w:t>
      </w:r>
      <w:r w:rsidRPr="00780E96">
        <w:t>tool, the reference system is the project</w:t>
      </w:r>
      <w:r w:rsidR="005F58EA" w:rsidRPr="00780E96">
        <w:t xml:space="preserve"> </w:t>
      </w:r>
      <w:r w:rsidRPr="00780E96">
        <w:t xml:space="preserve">electricity system. </w:t>
      </w:r>
      <w:r w:rsidR="000B660F" w:rsidRPr="00780E96">
        <w:t>Accordingly</w:t>
      </w:r>
      <w:r w:rsidR="00C63782" w:rsidRPr="00780E96">
        <w:t xml:space="preserve">, </w:t>
      </w:r>
      <w:r w:rsidRPr="00780E96">
        <w:t>electricity transfers from connected electricity system</w:t>
      </w:r>
      <w:r w:rsidR="00C63782" w:rsidRPr="00780E96">
        <w:t>(</w:t>
      </w:r>
      <w:r w:rsidRPr="00780E96">
        <w:t>s</w:t>
      </w:r>
      <w:r w:rsidR="00C63782" w:rsidRPr="00780E96">
        <w:t>)</w:t>
      </w:r>
      <w:r w:rsidRPr="00780E96">
        <w:t xml:space="preserve"> to the project electricity system are defined as electricity imports</w:t>
      </w:r>
      <w:r w:rsidR="003B7419" w:rsidRPr="00780E96">
        <w:t>,</w:t>
      </w:r>
      <w:r w:rsidRPr="00780E96">
        <w:t xml:space="preserve"> while electricity transfers from the project electricity system to connected electricity system</w:t>
      </w:r>
      <w:r w:rsidR="003B7419" w:rsidRPr="00780E96">
        <w:t>(</w:t>
      </w:r>
      <w:r w:rsidRPr="00780E96">
        <w:t>s</w:t>
      </w:r>
      <w:r w:rsidR="003B7419" w:rsidRPr="00780E96">
        <w:t>)</w:t>
      </w:r>
      <w:r w:rsidRPr="00780E96">
        <w:t xml:space="preserve"> are defined as electricity exports.</w:t>
      </w:r>
      <w:bookmarkEnd w:id="440"/>
    </w:p>
    <w:p w14:paraId="63E4782D" w14:textId="59920B58" w:rsidR="000A27E6" w:rsidRPr="00780E96" w:rsidRDefault="000A27E6">
      <w:pPr>
        <w:pStyle w:val="SDMHead2"/>
        <w:rPr>
          <w:lang w:eastAsia="ja-JP"/>
        </w:rPr>
      </w:pPr>
      <w:bookmarkStart w:id="441" w:name="_Ref212234549"/>
      <w:bookmarkStart w:id="442" w:name="_Toc212389907"/>
      <w:bookmarkStart w:id="443" w:name="_Toc215208601"/>
      <w:bookmarkStart w:id="444" w:name="_Toc215216120"/>
      <w:bookmarkStart w:id="445" w:name="_Toc215222856"/>
      <w:bookmarkStart w:id="446" w:name="_Toc215223044"/>
      <w:bookmarkStart w:id="447" w:name="_Toc215223266"/>
      <w:bookmarkStart w:id="448" w:name="_Toc215574887"/>
      <w:bookmarkStart w:id="449" w:name="_Toc215923326"/>
      <w:bookmarkStart w:id="450" w:name="_Toc216093022"/>
      <w:bookmarkStart w:id="451" w:name="_Toc216271751"/>
      <w:bookmarkStart w:id="452" w:name="_Toc216279368"/>
      <w:bookmarkStart w:id="453" w:name="_Toc216283406"/>
      <w:bookmarkStart w:id="454" w:name="_Toc216288024"/>
      <w:bookmarkStart w:id="455" w:name="_Toc219666131"/>
      <w:bookmarkStart w:id="456" w:name="_Toc220001391"/>
      <w:bookmarkStart w:id="457" w:name="_Ref221036530"/>
      <w:bookmarkStart w:id="458" w:name="_Toc221096415"/>
      <w:bookmarkStart w:id="459" w:name="_Toc221097967"/>
      <w:bookmarkStart w:id="460" w:name="_Toc221116263"/>
      <w:bookmarkStart w:id="461" w:name="_Toc221117279"/>
      <w:bookmarkStart w:id="462" w:name="_Toc222132117"/>
      <w:bookmarkStart w:id="463" w:name="_Toc222494918"/>
      <w:bookmarkStart w:id="464" w:name="_Toc222512434"/>
      <w:bookmarkStart w:id="465" w:name="_Toc222741754"/>
      <w:bookmarkStart w:id="466" w:name="_Toc234853835"/>
      <w:bookmarkStart w:id="467" w:name="_Toc235002273"/>
      <w:bookmarkStart w:id="468" w:name="_Toc235003432"/>
      <w:bookmarkStart w:id="469" w:name="_Toc236154229"/>
      <w:bookmarkStart w:id="470" w:name="_Toc236216606"/>
      <w:bookmarkStart w:id="471" w:name="_Toc240545094"/>
      <w:bookmarkStart w:id="472" w:name="_Toc240545310"/>
      <w:bookmarkStart w:id="473" w:name="_Toc240576892"/>
      <w:bookmarkStart w:id="474" w:name="_Ref212234537"/>
      <w:bookmarkStart w:id="475" w:name="_Toc212389906"/>
      <w:r w:rsidRPr="00780E96">
        <w:rPr>
          <w:lang w:eastAsia="ja-JP"/>
        </w:rPr>
        <w:t>Step</w:t>
      </w:r>
      <w:r w:rsidR="00126F8A" w:rsidRPr="00780E96">
        <w:rPr>
          <w:lang w:eastAsia="ja-JP"/>
        </w:rPr>
        <w:t> </w:t>
      </w:r>
      <w:r w:rsidRPr="00780E96">
        <w:rPr>
          <w:lang w:eastAsia="ja-JP"/>
        </w:rPr>
        <w:t xml:space="preserve">4: Determine </w:t>
      </w:r>
      <w:r w:rsidR="00767E80" w:rsidRPr="00780E96">
        <w:rPr>
          <w:lang w:eastAsia="ja-JP"/>
        </w:rPr>
        <w:t>whether a</w:t>
      </w:r>
      <w:r w:rsidR="00842A2A" w:rsidRPr="00780E96">
        <w:rPr>
          <w:lang w:eastAsia="ja-JP"/>
        </w:rPr>
        <w:t>pplying a</w:t>
      </w:r>
      <w:r w:rsidR="00767E80" w:rsidRPr="00780E96">
        <w:rPr>
          <w:lang w:eastAsia="ja-JP"/>
        </w:rPr>
        <w:t xml:space="preserve"> higher or </w:t>
      </w:r>
      <w:r w:rsidR="00AF03E2" w:rsidRPr="00780E96">
        <w:rPr>
          <w:lang w:eastAsia="ja-JP"/>
        </w:rPr>
        <w:t xml:space="preserve">a </w:t>
      </w:r>
      <w:r w:rsidR="00767E80" w:rsidRPr="00780E96">
        <w:rPr>
          <w:lang w:eastAsia="ja-JP"/>
        </w:rPr>
        <w:t xml:space="preserve">lower value </w:t>
      </w:r>
      <w:r w:rsidR="00FA7162" w:rsidRPr="00780E96">
        <w:rPr>
          <w:lang w:eastAsia="ja-JP"/>
        </w:rPr>
        <w:t>for emissions from electricity generation</w:t>
      </w:r>
      <w:r w:rsidR="00195D62" w:rsidRPr="00780E96">
        <w:rPr>
          <w:lang w:eastAsia="ja-JP"/>
        </w:rPr>
        <w:t xml:space="preserve"> </w:t>
      </w:r>
      <w:r w:rsidR="00B74AF5" w:rsidRPr="00780E96">
        <w:rPr>
          <w:lang w:eastAsia="ja-JP"/>
        </w:rPr>
        <w:t>and/</w:t>
      </w:r>
      <w:r w:rsidR="00195D62" w:rsidRPr="00780E96">
        <w:rPr>
          <w:lang w:eastAsia="ja-JP"/>
        </w:rPr>
        <w:t xml:space="preserve">or </w:t>
      </w:r>
      <w:r w:rsidR="00FA7162" w:rsidRPr="00780E96">
        <w:rPr>
          <w:lang w:eastAsia="ja-JP"/>
        </w:rPr>
        <w:t>consumption</w:t>
      </w:r>
      <w:bookmarkEnd w:id="441"/>
      <w:bookmarkEnd w:id="442"/>
      <w:r w:rsidR="00652202" w:rsidRPr="00780E96">
        <w:rPr>
          <w:lang w:eastAsia="ja-JP"/>
        </w:rPr>
        <w:t xml:space="preserve"> is more conservative</w:t>
      </w:r>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p>
    <w:p w14:paraId="4EE34E15" w14:textId="5E7D56D6" w:rsidR="000A27E6" w:rsidRPr="00780E96" w:rsidRDefault="00516445" w:rsidP="00F62D64">
      <w:pPr>
        <w:pStyle w:val="SDMPara"/>
        <w:keepNext/>
      </w:pPr>
      <w:r w:rsidRPr="00780E96">
        <w:t xml:space="preserve">This step serves to </w:t>
      </w:r>
      <w:r w:rsidR="00772A86" w:rsidRPr="00780E96">
        <w:t>determine whether applying a higher or a lower value for emission</w:t>
      </w:r>
      <w:r w:rsidR="008A6940" w:rsidRPr="00780E96">
        <w:t xml:space="preserve">s from electricity generation </w:t>
      </w:r>
      <w:r w:rsidR="00D95A80" w:rsidRPr="00780E96">
        <w:t>and/</w:t>
      </w:r>
      <w:r w:rsidR="008A6940" w:rsidRPr="00780E96">
        <w:t>or consumption</w:t>
      </w:r>
      <w:r w:rsidR="00772A86" w:rsidRPr="00780E96">
        <w:t xml:space="preserve"> represents the more conservative approach.</w:t>
      </w:r>
      <w:r w:rsidR="00772A86" w:rsidRPr="00780E96" w:rsidDel="00097DDF">
        <w:t xml:space="preserve"> </w:t>
      </w:r>
      <w:r w:rsidR="00097DDF" w:rsidRPr="00780E96">
        <w:t>For this purpose</w:t>
      </w:r>
      <w:r w:rsidR="000A27E6" w:rsidRPr="00780E96">
        <w:t xml:space="preserve">, this </w:t>
      </w:r>
      <w:r w:rsidR="00D262A7" w:rsidRPr="00780E96">
        <w:t xml:space="preserve">methodological </w:t>
      </w:r>
      <w:r w:rsidR="000A27E6" w:rsidRPr="00780E96">
        <w:t>tool defines two cases:</w:t>
      </w:r>
    </w:p>
    <w:p w14:paraId="01375F83" w14:textId="02E9AB76" w:rsidR="000A27E6" w:rsidRPr="00780E96" w:rsidRDefault="746C1C8A" w:rsidP="00973925">
      <w:pPr>
        <w:pStyle w:val="SDMSubPara1"/>
        <w:rPr>
          <w:rFonts w:eastAsia="Arial"/>
        </w:rPr>
      </w:pPr>
      <w:r w:rsidRPr="00780E96">
        <w:rPr>
          <w:b/>
          <w:bCs/>
        </w:rPr>
        <w:t>Case</w:t>
      </w:r>
      <w:r w:rsidR="00882BB1" w:rsidRPr="00780E96">
        <w:rPr>
          <w:b/>
          <w:bCs/>
        </w:rPr>
        <w:t> </w:t>
      </w:r>
      <w:r w:rsidRPr="00780E96">
        <w:rPr>
          <w:b/>
          <w:bCs/>
        </w:rPr>
        <w:t>1:</w:t>
      </w:r>
      <w:r w:rsidRPr="00780E96">
        <w:t xml:space="preserve"> </w:t>
      </w:r>
      <w:r w:rsidR="00C5703A" w:rsidRPr="00780E96">
        <w:t>s</w:t>
      </w:r>
      <w:r w:rsidR="00D262A7" w:rsidRPr="00780E96">
        <w:t xml:space="preserve">ituations </w:t>
      </w:r>
      <w:r w:rsidRPr="00780E96">
        <w:t>in which</w:t>
      </w:r>
      <w:r w:rsidR="6C9FA1E4" w:rsidRPr="00780E96">
        <w:t xml:space="preserve"> </w:t>
      </w:r>
      <w:r w:rsidRPr="00780E96">
        <w:t xml:space="preserve">a higher value for </w:t>
      </w:r>
      <w:r w:rsidRPr="00780E96" w:rsidDel="000A27E6">
        <w:t>emissions</w:t>
      </w:r>
      <w:r w:rsidR="00195D62" w:rsidRPr="00780E96">
        <w:t xml:space="preserve"> from electricity generation </w:t>
      </w:r>
      <w:r w:rsidR="00D95A80" w:rsidRPr="00780E96">
        <w:t>and/</w:t>
      </w:r>
      <w:r w:rsidR="00195D62" w:rsidRPr="00780E96">
        <w:t>or consumption</w:t>
      </w:r>
      <w:r w:rsidRPr="00780E96" w:rsidDel="000A27E6">
        <w:t xml:space="preserve"> </w:t>
      </w:r>
      <w:r w:rsidR="0D298217" w:rsidRPr="00780E96">
        <w:t>is</w:t>
      </w:r>
      <w:r w:rsidRPr="00780E96">
        <w:t xml:space="preserve"> more conservative. </w:t>
      </w:r>
      <w:r w:rsidR="76928B03" w:rsidRPr="00780E96">
        <w:rPr>
          <w:rFonts w:eastAsia="Arial"/>
        </w:rPr>
        <w:t xml:space="preserve">This case applies to </w:t>
      </w:r>
      <w:r w:rsidR="00860B0E" w:rsidRPr="00780E96">
        <w:rPr>
          <w:rFonts w:eastAsia="Arial"/>
        </w:rPr>
        <w:t xml:space="preserve">the determination of </w:t>
      </w:r>
      <w:r w:rsidR="00382330" w:rsidRPr="00780E96">
        <w:rPr>
          <w:rFonts w:eastAsia="Arial"/>
        </w:rPr>
        <w:t>the parameters</w:t>
      </w:r>
      <w:r w:rsidR="76928B03" w:rsidRPr="00780E96">
        <w:rPr>
          <w:rFonts w:eastAsia="Arial"/>
        </w:rPr>
        <w:t xml:space="preserve"> </w:t>
      </w:r>
      <w:r w:rsidR="003477B3" w:rsidRPr="00780E96">
        <w:rPr>
          <w:rFonts w:eastAsia="Arial"/>
          <w:i/>
        </w:rPr>
        <w:t>AE</w:t>
      </w:r>
      <w:r w:rsidR="2F625B7B" w:rsidRPr="00780E96">
        <w:rPr>
          <w:rFonts w:eastAsia="Arial"/>
          <w:i/>
          <w:iCs/>
          <w:vertAlign w:val="subscript"/>
        </w:rPr>
        <w:t>EG,y</w:t>
      </w:r>
      <w:r w:rsidR="00382330" w:rsidRPr="00780E96">
        <w:rPr>
          <w:rFonts w:eastAsia="SimSun"/>
        </w:rPr>
        <w:t>,</w:t>
      </w:r>
      <w:r w:rsidR="004D0CBF" w:rsidRPr="00780E96">
        <w:rPr>
          <w:rFonts w:eastAsia="SimSun"/>
        </w:rPr>
        <w:t xml:space="preserve"> </w:t>
      </w:r>
      <w:r w:rsidR="003477B3" w:rsidRPr="00780E96">
        <w:rPr>
          <w:rFonts w:eastAsia="SimSun"/>
          <w:i/>
          <w:iCs/>
        </w:rPr>
        <w:t>AE</w:t>
      </w:r>
      <w:r w:rsidR="2F625B7B" w:rsidRPr="00780E96">
        <w:rPr>
          <w:rFonts w:eastAsia="Arial"/>
          <w:i/>
          <w:iCs/>
          <w:vertAlign w:val="subscript"/>
        </w:rPr>
        <w:t>EC,y</w:t>
      </w:r>
      <w:r w:rsidR="004D0CBF" w:rsidRPr="00780E96">
        <w:rPr>
          <w:rFonts w:eastAsia="Arial"/>
        </w:rPr>
        <w:t xml:space="preserve">, </w:t>
      </w:r>
      <w:r w:rsidR="2F625B7B" w:rsidRPr="00780E96">
        <w:rPr>
          <w:rFonts w:eastAsia="Arial"/>
          <w:i/>
          <w:iCs/>
        </w:rPr>
        <w:t>LE</w:t>
      </w:r>
      <w:r w:rsidR="2F625B7B" w:rsidRPr="00780E96">
        <w:rPr>
          <w:rFonts w:eastAsia="Arial"/>
          <w:i/>
          <w:iCs/>
          <w:vertAlign w:val="subscript"/>
        </w:rPr>
        <w:t>EG,PJ,y</w:t>
      </w:r>
      <w:r w:rsidR="2F625B7B" w:rsidRPr="00780E96">
        <w:rPr>
          <w:rFonts w:eastAsia="Arial"/>
        </w:rPr>
        <w:t xml:space="preserve"> and </w:t>
      </w:r>
      <w:r w:rsidR="2F625B7B" w:rsidRPr="00780E96">
        <w:rPr>
          <w:rFonts w:eastAsia="Arial"/>
          <w:i/>
          <w:iCs/>
        </w:rPr>
        <w:t>LE</w:t>
      </w:r>
      <w:r w:rsidR="2F625B7B" w:rsidRPr="00780E96">
        <w:rPr>
          <w:rFonts w:eastAsia="Arial"/>
          <w:i/>
          <w:iCs/>
          <w:vertAlign w:val="subscript"/>
        </w:rPr>
        <w:t>EC,PJ,y</w:t>
      </w:r>
      <w:r w:rsidR="76928B03" w:rsidRPr="00780E96">
        <w:rPr>
          <w:rFonts w:eastAsia="Arial"/>
        </w:rPr>
        <w:t xml:space="preserve"> in </w:t>
      </w:r>
      <w:r w:rsidR="00666638" w:rsidRPr="00780E96">
        <w:rPr>
          <w:rFonts w:eastAsia="Arial"/>
        </w:rPr>
        <w:fldChar w:fldCharType="begin"/>
      </w:r>
      <w:r w:rsidR="00666638" w:rsidRPr="00780E96">
        <w:rPr>
          <w:rFonts w:eastAsia="Arial"/>
        </w:rPr>
        <w:instrText xml:space="preserve"> REF _Ref220950163 \h </w:instrText>
      </w:r>
      <w:r w:rsidR="00780E96">
        <w:rPr>
          <w:rFonts w:eastAsia="Arial"/>
        </w:rPr>
        <w:instrText xml:space="preserve"> \* MERGEFORMAT </w:instrText>
      </w:r>
      <w:r w:rsidR="00666638" w:rsidRPr="00780E96">
        <w:rPr>
          <w:rFonts w:eastAsia="Arial"/>
        </w:rPr>
      </w:r>
      <w:r w:rsidR="00666638" w:rsidRPr="00780E96">
        <w:rPr>
          <w:rFonts w:eastAsia="Arial"/>
        </w:rPr>
        <w:fldChar w:fldCharType="separate"/>
      </w:r>
      <w:r w:rsidR="003B0135" w:rsidRPr="00780E96">
        <w:t>Table </w:t>
      </w:r>
      <w:r w:rsidR="003B0135" w:rsidRPr="00780E96">
        <w:rPr>
          <w:noProof/>
        </w:rPr>
        <w:t>1</w:t>
      </w:r>
      <w:r w:rsidR="00666638" w:rsidRPr="00780E96">
        <w:rPr>
          <w:rFonts w:eastAsia="Arial"/>
        </w:rPr>
        <w:fldChar w:fldCharType="end"/>
      </w:r>
      <w:r w:rsidR="00BB25AA" w:rsidRPr="00780E96">
        <w:rPr>
          <w:rFonts w:eastAsia="Arial"/>
        </w:rPr>
        <w:t xml:space="preserve"> </w:t>
      </w:r>
      <w:r w:rsidR="00E46B7C" w:rsidRPr="00780E96">
        <w:rPr>
          <w:rFonts w:eastAsia="Arial"/>
        </w:rPr>
        <w:t>above;</w:t>
      </w:r>
      <w:r w:rsidR="00BB25AA" w:rsidRPr="00780E96">
        <w:rPr>
          <w:rFonts w:eastAsia="Arial"/>
        </w:rPr>
        <w:t xml:space="preserve"> </w:t>
      </w:r>
      <w:r w:rsidR="00D17505" w:rsidRPr="00780E96">
        <w:rPr>
          <w:rFonts w:eastAsia="Arial"/>
        </w:rPr>
        <w:t>and</w:t>
      </w:r>
    </w:p>
    <w:p w14:paraId="4457DCF0" w14:textId="596376C7" w:rsidR="6C9FA1E4" w:rsidRPr="00780E96" w:rsidRDefault="746C1C8A" w:rsidP="00A704C1">
      <w:pPr>
        <w:pStyle w:val="SDMSubPara1"/>
      </w:pPr>
      <w:r w:rsidRPr="00780E96">
        <w:rPr>
          <w:b/>
          <w:bCs/>
        </w:rPr>
        <w:t>Case</w:t>
      </w:r>
      <w:r w:rsidR="00882BB1" w:rsidRPr="00780E96">
        <w:rPr>
          <w:b/>
          <w:bCs/>
        </w:rPr>
        <w:t> </w:t>
      </w:r>
      <w:r w:rsidRPr="00780E96">
        <w:rPr>
          <w:b/>
          <w:bCs/>
        </w:rPr>
        <w:t>2:</w:t>
      </w:r>
      <w:r w:rsidRPr="00780E96">
        <w:t xml:space="preserve"> </w:t>
      </w:r>
      <w:r w:rsidR="00C5703A" w:rsidRPr="00780E96">
        <w:t>s</w:t>
      </w:r>
      <w:r w:rsidR="006E4A10" w:rsidRPr="00780E96">
        <w:t xml:space="preserve">ituations </w:t>
      </w:r>
      <w:r w:rsidR="6F16F690" w:rsidRPr="00780E96">
        <w:t>in which</w:t>
      </w:r>
      <w:r w:rsidRPr="00780E96">
        <w:t xml:space="preserve"> a lower value for emissions </w:t>
      </w:r>
      <w:r w:rsidR="7AEBBEB4" w:rsidRPr="00780E96">
        <w:t>from electricity generation or consumption</w:t>
      </w:r>
      <w:r w:rsidRPr="00780E96">
        <w:t xml:space="preserve"> is</w:t>
      </w:r>
      <w:r w:rsidR="00A702DD" w:rsidRPr="00780E96">
        <w:t xml:space="preserve"> more</w:t>
      </w:r>
      <w:r w:rsidRPr="00780E96">
        <w:t xml:space="preserve"> conservative. </w:t>
      </w:r>
      <w:r w:rsidR="4EB672EF" w:rsidRPr="00780E96">
        <w:rPr>
          <w:rFonts w:eastAsia="Arial"/>
        </w:rPr>
        <w:t xml:space="preserve">This case applies to </w:t>
      </w:r>
      <w:r w:rsidR="00F92008" w:rsidRPr="00780E96">
        <w:rPr>
          <w:rFonts w:eastAsia="Arial"/>
        </w:rPr>
        <w:t xml:space="preserve">the determination of </w:t>
      </w:r>
      <w:r w:rsidR="00FD2A91" w:rsidRPr="00780E96">
        <w:rPr>
          <w:rFonts w:eastAsia="Arial"/>
        </w:rPr>
        <w:t>the parameters</w:t>
      </w:r>
      <w:r w:rsidR="4EB672EF" w:rsidRPr="00780E96">
        <w:rPr>
          <w:rFonts w:eastAsia="Arial"/>
        </w:rPr>
        <w:t xml:space="preserve"> </w:t>
      </w:r>
      <w:r w:rsidR="58BA5C0A" w:rsidRPr="00780E96">
        <w:rPr>
          <w:rFonts w:eastAsia="Arial"/>
          <w:i/>
          <w:iCs/>
        </w:rPr>
        <w:t>BE</w:t>
      </w:r>
      <w:r w:rsidR="58BA5C0A" w:rsidRPr="00780E96">
        <w:rPr>
          <w:rFonts w:eastAsia="Arial"/>
          <w:i/>
          <w:iCs/>
          <w:vertAlign w:val="subscript"/>
        </w:rPr>
        <w:t>EG,y</w:t>
      </w:r>
      <w:r w:rsidR="00B84A58" w:rsidRPr="00780E96">
        <w:rPr>
          <w:rFonts w:eastAsia="SimSun"/>
        </w:rPr>
        <w:t>,</w:t>
      </w:r>
      <w:r w:rsidR="00B84A58" w:rsidRPr="00780E96">
        <w:rPr>
          <w:rFonts w:eastAsia="SimSun"/>
          <w:i/>
          <w:iCs/>
        </w:rPr>
        <w:t xml:space="preserve"> </w:t>
      </w:r>
      <w:r w:rsidR="58BA5C0A" w:rsidRPr="00780E96">
        <w:rPr>
          <w:rFonts w:eastAsia="Arial"/>
          <w:i/>
          <w:iCs/>
        </w:rPr>
        <w:t>BE</w:t>
      </w:r>
      <w:r w:rsidR="58BA5C0A" w:rsidRPr="00780E96">
        <w:rPr>
          <w:rFonts w:eastAsia="Arial"/>
          <w:i/>
          <w:iCs/>
          <w:vertAlign w:val="subscript"/>
        </w:rPr>
        <w:t>EC,y</w:t>
      </w:r>
      <w:r w:rsidR="00B84A58" w:rsidRPr="00780E96">
        <w:rPr>
          <w:rFonts w:eastAsia="SimSun"/>
        </w:rPr>
        <w:t>,</w:t>
      </w:r>
      <w:r w:rsidR="00B84A58" w:rsidRPr="00780E96">
        <w:rPr>
          <w:rFonts w:eastAsia="SimSun"/>
          <w:i/>
          <w:iCs/>
        </w:rPr>
        <w:t xml:space="preserve"> </w:t>
      </w:r>
      <w:r w:rsidR="58BA5C0A" w:rsidRPr="00780E96">
        <w:rPr>
          <w:rFonts w:eastAsia="Arial"/>
          <w:i/>
          <w:iCs/>
        </w:rPr>
        <w:t>LE</w:t>
      </w:r>
      <w:r w:rsidR="58BA5C0A" w:rsidRPr="00780E96">
        <w:rPr>
          <w:rFonts w:eastAsia="Arial"/>
          <w:i/>
          <w:iCs/>
          <w:vertAlign w:val="subscript"/>
        </w:rPr>
        <w:t>EG,BL,y</w:t>
      </w:r>
      <w:r w:rsidR="58BA5C0A" w:rsidRPr="00780E96">
        <w:rPr>
          <w:rFonts w:eastAsia="Arial"/>
        </w:rPr>
        <w:t xml:space="preserve"> and </w:t>
      </w:r>
      <w:r w:rsidR="58BA5C0A" w:rsidRPr="00780E96">
        <w:rPr>
          <w:rFonts w:eastAsia="Arial"/>
          <w:i/>
          <w:iCs/>
        </w:rPr>
        <w:t>LE</w:t>
      </w:r>
      <w:r w:rsidR="58BA5C0A" w:rsidRPr="00780E96">
        <w:rPr>
          <w:rFonts w:eastAsia="Arial"/>
          <w:i/>
          <w:iCs/>
          <w:vertAlign w:val="subscript"/>
        </w:rPr>
        <w:t>EC,BL,y</w:t>
      </w:r>
      <w:r w:rsidR="4EB672EF" w:rsidRPr="00780E96">
        <w:rPr>
          <w:rFonts w:eastAsia="Arial"/>
        </w:rPr>
        <w:t xml:space="preserve"> in</w:t>
      </w:r>
      <w:r w:rsidR="00C239FE" w:rsidRPr="00780E96">
        <w:rPr>
          <w:rFonts w:eastAsia="Arial"/>
        </w:rPr>
        <w:t xml:space="preserve"> </w:t>
      </w:r>
      <w:r w:rsidR="00666638" w:rsidRPr="00780E96">
        <w:rPr>
          <w:rFonts w:eastAsia="Arial"/>
        </w:rPr>
        <w:fldChar w:fldCharType="begin"/>
      </w:r>
      <w:r w:rsidR="00666638" w:rsidRPr="00780E96">
        <w:rPr>
          <w:rFonts w:eastAsia="Arial"/>
        </w:rPr>
        <w:instrText xml:space="preserve"> REF _Ref220950163 \h </w:instrText>
      </w:r>
      <w:r w:rsidR="00780E96">
        <w:rPr>
          <w:rFonts w:eastAsia="Arial"/>
        </w:rPr>
        <w:instrText xml:space="preserve"> \* MERGEFORMAT </w:instrText>
      </w:r>
      <w:r w:rsidR="00666638" w:rsidRPr="00780E96">
        <w:rPr>
          <w:rFonts w:eastAsia="Arial"/>
        </w:rPr>
      </w:r>
      <w:r w:rsidR="00666638" w:rsidRPr="00780E96">
        <w:rPr>
          <w:rFonts w:eastAsia="Arial"/>
        </w:rPr>
        <w:fldChar w:fldCharType="separate"/>
      </w:r>
      <w:r w:rsidR="003B0135" w:rsidRPr="00780E96">
        <w:t>Table </w:t>
      </w:r>
      <w:r w:rsidR="003B0135" w:rsidRPr="00780E96">
        <w:rPr>
          <w:noProof/>
        </w:rPr>
        <w:t>1</w:t>
      </w:r>
      <w:r w:rsidR="00666638" w:rsidRPr="00780E96">
        <w:rPr>
          <w:rFonts w:eastAsia="Arial"/>
        </w:rPr>
        <w:fldChar w:fldCharType="end"/>
      </w:r>
      <w:r w:rsidR="00E46B7C" w:rsidRPr="00780E96">
        <w:rPr>
          <w:rFonts w:eastAsia="Arial"/>
        </w:rPr>
        <w:t xml:space="preserve"> above</w:t>
      </w:r>
      <w:r w:rsidR="001E2C1D" w:rsidRPr="00780E96">
        <w:rPr>
          <w:rFonts w:eastAsia="Arial"/>
        </w:rPr>
        <w:t>.</w:t>
      </w:r>
      <w:r w:rsidR="00016268" w:rsidRPr="00780E96" w:rsidDel="00F92008">
        <w:rPr>
          <w:rFonts w:eastAsia="Arial"/>
        </w:rPr>
        <w:fldChar w:fldCharType="begin"/>
      </w:r>
      <w:r w:rsidR="00016268" w:rsidRPr="00780E96" w:rsidDel="00F92008">
        <w:rPr>
          <w:rFonts w:eastAsia="Arial"/>
        </w:rPr>
        <w:fldChar w:fldCharType="separate"/>
      </w:r>
      <w:r w:rsidR="00016268" w:rsidRPr="00780E96" w:rsidDel="00F92008">
        <w:rPr>
          <w:rFonts w:eastAsia="Arial"/>
        </w:rPr>
        <w:fldChar w:fldCharType="end"/>
      </w:r>
    </w:p>
    <w:p w14:paraId="578228BA" w14:textId="57D090E0" w:rsidR="00416EF6" w:rsidRDefault="00AD3FBB" w:rsidP="00BF0D14">
      <w:pPr>
        <w:pStyle w:val="SDMPara"/>
      </w:pPr>
      <w:r w:rsidRPr="00780E96">
        <w:t>Activity</w:t>
      </w:r>
      <w:r w:rsidR="009D6775" w:rsidRPr="00780E96">
        <w:t xml:space="preserve"> participants</w:t>
      </w:r>
      <w:r w:rsidRPr="00780E96">
        <w:t xml:space="preserve"> shall determine</w:t>
      </w:r>
      <w:r w:rsidR="006068DC" w:rsidRPr="00780E96">
        <w:t xml:space="preserve"> </w:t>
      </w:r>
      <w:r w:rsidR="00516445" w:rsidRPr="00780E96">
        <w:t>and justify</w:t>
      </w:r>
      <w:r w:rsidR="006105C4" w:rsidRPr="00780E96">
        <w:t>,</w:t>
      </w:r>
      <w:r w:rsidR="00516445" w:rsidRPr="00780E96">
        <w:t xml:space="preserve"> </w:t>
      </w:r>
      <w:r w:rsidR="00BA1D7D" w:rsidRPr="00780E96">
        <w:t xml:space="preserve">for </w:t>
      </w:r>
      <w:r w:rsidR="002B59A9" w:rsidRPr="00780E96">
        <w:t xml:space="preserve">each electricity generation or consumption </w:t>
      </w:r>
      <w:r w:rsidR="00563551" w:rsidRPr="00780E96">
        <w:t>source </w:t>
      </w:r>
      <w:r w:rsidR="00563551" w:rsidRPr="00780E96">
        <w:rPr>
          <w:i/>
          <w:iCs/>
        </w:rPr>
        <w:t>s</w:t>
      </w:r>
      <w:r w:rsidR="006105C4" w:rsidRPr="00780E96">
        <w:t>,</w:t>
      </w:r>
      <w:r w:rsidR="009D33CC" w:rsidRPr="00780E96">
        <w:t xml:space="preserve"> whether </w:t>
      </w:r>
      <w:r w:rsidR="00214E2C" w:rsidRPr="00780E96">
        <w:rPr>
          <w:b/>
          <w:bCs/>
        </w:rPr>
        <w:t>case</w:t>
      </w:r>
      <w:r w:rsidR="00882BB1" w:rsidRPr="00780E96">
        <w:rPr>
          <w:b/>
          <w:bCs/>
        </w:rPr>
        <w:t> </w:t>
      </w:r>
      <w:r w:rsidR="00D70CD3" w:rsidRPr="00780E96">
        <w:rPr>
          <w:b/>
          <w:bCs/>
        </w:rPr>
        <w:t>1</w:t>
      </w:r>
      <w:r w:rsidR="00D70CD3" w:rsidRPr="00780E96">
        <w:t xml:space="preserve"> </w:t>
      </w:r>
      <w:r w:rsidR="009D33CC" w:rsidRPr="00780E96">
        <w:t>or</w:t>
      </w:r>
      <w:r w:rsidR="009D33CC" w:rsidRPr="00780E96" w:rsidDel="00214E2C">
        <w:t xml:space="preserve"> </w:t>
      </w:r>
      <w:r w:rsidR="00214E2C" w:rsidRPr="00780E96">
        <w:rPr>
          <w:b/>
          <w:bCs/>
        </w:rPr>
        <w:t>case</w:t>
      </w:r>
      <w:r w:rsidR="00882BB1" w:rsidRPr="00780E96">
        <w:rPr>
          <w:b/>
          <w:bCs/>
        </w:rPr>
        <w:t> </w:t>
      </w:r>
      <w:r w:rsidR="009D33CC" w:rsidRPr="00780E96">
        <w:rPr>
          <w:b/>
          <w:bCs/>
        </w:rPr>
        <w:t>2</w:t>
      </w:r>
      <w:r w:rsidR="009D33CC" w:rsidRPr="00780E96">
        <w:t xml:space="preserve"> applies.</w:t>
      </w:r>
      <w:r w:rsidR="00A34250" w:rsidRPr="00780E96">
        <w:t xml:space="preserve"> This determination shall be based on the specific circumstances of the Article 6.4 activity and its corresponding baseline</w:t>
      </w:r>
      <w:r w:rsidR="009C13B1" w:rsidRPr="00780E96">
        <w:t>.</w:t>
      </w:r>
      <w:r w:rsidR="00262507" w:rsidRPr="00780E96">
        <w:t xml:space="preserve"> </w:t>
      </w:r>
      <w:r w:rsidR="00666638" w:rsidRPr="00780E96">
        <w:fldChar w:fldCharType="begin"/>
      </w:r>
      <w:r w:rsidR="00666638" w:rsidRPr="00780E96">
        <w:instrText xml:space="preserve"> REF _Ref220950101 \h </w:instrText>
      </w:r>
      <w:r w:rsidR="00780E96">
        <w:instrText xml:space="preserve"> \* MERGEFORMAT </w:instrText>
      </w:r>
      <w:r w:rsidR="00666638" w:rsidRPr="00780E96">
        <w:fldChar w:fldCharType="separate"/>
      </w:r>
      <w:r w:rsidR="003B0135" w:rsidRPr="00780E96">
        <w:t>Table </w:t>
      </w:r>
      <w:r w:rsidR="003B0135" w:rsidRPr="00780E96">
        <w:rPr>
          <w:noProof/>
        </w:rPr>
        <w:t>2</w:t>
      </w:r>
      <w:r w:rsidR="00666638" w:rsidRPr="00780E96">
        <w:fldChar w:fldCharType="end"/>
      </w:r>
      <w:r w:rsidR="001F58C4" w:rsidRPr="00780E96">
        <w:t xml:space="preserve"> </w:t>
      </w:r>
      <w:r w:rsidR="00262507" w:rsidRPr="00780E96">
        <w:t xml:space="preserve">provides </w:t>
      </w:r>
      <w:r w:rsidR="001A44C6" w:rsidRPr="00780E96">
        <w:t xml:space="preserve">examples for </w:t>
      </w:r>
      <w:r w:rsidR="006D319D" w:rsidRPr="00780E96">
        <w:t>instances where case 1 and case 2 applies</w:t>
      </w:r>
      <w:r w:rsidR="00967BD3" w:rsidRPr="00780E96">
        <w:t xml:space="preserve">, including </w:t>
      </w:r>
      <w:r w:rsidR="004C5AA8" w:rsidRPr="00780E96">
        <w:t>for intermitte</w:t>
      </w:r>
      <w:r w:rsidR="004C5AA8" w:rsidRPr="007B429B">
        <w:t xml:space="preserve">nt and non-intermittent electricity generation sources and </w:t>
      </w:r>
      <w:r w:rsidR="004C5AA8">
        <w:t xml:space="preserve">for </w:t>
      </w:r>
      <w:r w:rsidR="004C5AA8" w:rsidRPr="007B429B">
        <w:t xml:space="preserve">electricity consumption sources depending </w:t>
      </w:r>
      <w:r w:rsidR="004C5AA8">
        <w:t xml:space="preserve">on, </w:t>
      </w:r>
      <w:r w:rsidR="004C5AA8" w:rsidRPr="007B429B">
        <w:t>or not depending on</w:t>
      </w:r>
      <w:r w:rsidR="004C5AA8">
        <w:t>,</w:t>
      </w:r>
      <w:r w:rsidR="004C5AA8" w:rsidRPr="007B429B">
        <w:t xml:space="preserve"> intermittent generation</w:t>
      </w:r>
      <w:r w:rsidR="00200676">
        <w:t>, noting tha</w:t>
      </w:r>
      <w:r w:rsidR="00416EF6">
        <w:t xml:space="preserve">t </w:t>
      </w:r>
      <w:r w:rsidR="00254334">
        <w:t>some instances may apply in very specific circumstances</w:t>
      </w:r>
      <w:r w:rsidR="00DB4FCC">
        <w:t xml:space="preserve"> only</w:t>
      </w:r>
      <w:r w:rsidR="00416EF6">
        <w:t>.</w:t>
      </w:r>
    </w:p>
    <w:p w14:paraId="71588D5E" w14:textId="60F5B10B" w:rsidR="001C0963" w:rsidRPr="00DC5FFB" w:rsidRDefault="00D80D35" w:rsidP="001A33C9">
      <w:pPr>
        <w:pStyle w:val="Caption"/>
        <w:keepLines w:val="0"/>
      </w:pPr>
      <w:bookmarkStart w:id="476" w:name="_Ref220950101"/>
      <w:r>
        <w:t>Table</w:t>
      </w:r>
      <w:r w:rsidR="005A04B7">
        <w:t> </w:t>
      </w:r>
      <w:r>
        <w:fldChar w:fldCharType="begin"/>
      </w:r>
      <w:r>
        <w:instrText>SEQ Table \* ARABIC</w:instrText>
      </w:r>
      <w:r>
        <w:fldChar w:fldCharType="separate"/>
      </w:r>
      <w:r w:rsidR="003B0135">
        <w:rPr>
          <w:noProof/>
        </w:rPr>
        <w:t>2</w:t>
      </w:r>
      <w:r>
        <w:fldChar w:fldCharType="end"/>
      </w:r>
      <w:bookmarkEnd w:id="476"/>
      <w:r w:rsidR="001C0963" w:rsidRPr="00DC5FFB">
        <w:t>.</w:t>
      </w:r>
      <w:r w:rsidR="001C0963" w:rsidRPr="00DC5FFB">
        <w:tab/>
      </w:r>
      <w:r w:rsidR="00BE3EC5">
        <w:t>Example</w:t>
      </w:r>
      <w:r w:rsidR="001C1FCF">
        <w:t>s</w:t>
      </w:r>
      <w:r w:rsidR="00E34B20">
        <w:t xml:space="preserve"> of activities</w:t>
      </w:r>
      <w:r w:rsidR="001C0963">
        <w:t xml:space="preserve"> </w:t>
      </w:r>
      <w:r w:rsidR="00BE3EC5">
        <w:t xml:space="preserve">where case 1 </w:t>
      </w:r>
      <w:r w:rsidR="00AA2F51">
        <w:t>or</w:t>
      </w:r>
      <w:r w:rsidR="00BE3EC5">
        <w:t xml:space="preserve"> case 2 applies</w:t>
      </w:r>
    </w:p>
    <w:tbl>
      <w:tblPr>
        <w:tblStyle w:val="SDMTable"/>
        <w:tblW w:w="8529" w:type="dxa"/>
        <w:tblLayout w:type="fixed"/>
        <w:tblLook w:val="04A0" w:firstRow="1" w:lastRow="0" w:firstColumn="1" w:lastColumn="0" w:noHBand="0" w:noVBand="1"/>
      </w:tblPr>
      <w:tblGrid>
        <w:gridCol w:w="1762"/>
        <w:gridCol w:w="3473"/>
        <w:gridCol w:w="3294"/>
      </w:tblGrid>
      <w:tr w:rsidR="001C0963" w:rsidRPr="00911F51" w14:paraId="738866D8" w14:textId="77777777" w:rsidTr="00584D9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62" w:type="dxa"/>
          </w:tcPr>
          <w:p w14:paraId="0B6B1A3D" w14:textId="77777777" w:rsidR="001C0963" w:rsidRPr="00EC36F5" w:rsidRDefault="001C0963" w:rsidP="007C28CD">
            <w:pPr>
              <w:pStyle w:val="SDMTableBoxParaNumbered"/>
              <w:numPr>
                <w:ilvl w:val="0"/>
                <w:numId w:val="0"/>
              </w:numPr>
            </w:pPr>
          </w:p>
        </w:tc>
        <w:tc>
          <w:tcPr>
            <w:tcW w:w="3473" w:type="dxa"/>
          </w:tcPr>
          <w:p w14:paraId="26DA575A" w14:textId="4270057F" w:rsidR="001C0963" w:rsidRPr="000F555E" w:rsidRDefault="001C0963" w:rsidP="007C28CD">
            <w:pPr>
              <w:pStyle w:val="SDMTableBoxParaNotNumbered"/>
              <w:cnfStyle w:val="100000000000" w:firstRow="1" w:lastRow="0" w:firstColumn="0" w:lastColumn="0" w:oddVBand="0" w:evenVBand="0" w:oddHBand="0" w:evenHBand="0" w:firstRowFirstColumn="0" w:firstRowLastColumn="0" w:lastRowFirstColumn="0" w:lastRowLastColumn="0"/>
            </w:pPr>
            <w:r>
              <w:t>Case</w:t>
            </w:r>
            <w:r w:rsidR="00882BB1">
              <w:t> </w:t>
            </w:r>
            <w:r>
              <w:t>1</w:t>
            </w:r>
          </w:p>
        </w:tc>
        <w:tc>
          <w:tcPr>
            <w:tcW w:w="3294" w:type="dxa"/>
          </w:tcPr>
          <w:p w14:paraId="2155CC39" w14:textId="4B560108" w:rsidR="001C0963" w:rsidRDefault="001C0963" w:rsidP="007C28CD">
            <w:pPr>
              <w:pStyle w:val="SDMTableBoxParaNotNumbered"/>
              <w:cnfStyle w:val="100000000000" w:firstRow="1" w:lastRow="0" w:firstColumn="0" w:lastColumn="0" w:oddVBand="0" w:evenVBand="0" w:oddHBand="0" w:evenHBand="0" w:firstRowFirstColumn="0" w:firstRowLastColumn="0" w:lastRowFirstColumn="0" w:lastRowLastColumn="0"/>
            </w:pPr>
            <w:r>
              <w:t>Case</w:t>
            </w:r>
            <w:r w:rsidR="00882BB1">
              <w:t> </w:t>
            </w:r>
            <w:r>
              <w:t>2</w:t>
            </w:r>
          </w:p>
        </w:tc>
      </w:tr>
      <w:tr w:rsidR="00903F7F" w:rsidRPr="00780E96" w14:paraId="598EDBC8" w14:textId="77777777" w:rsidTr="00584D97">
        <w:tc>
          <w:tcPr>
            <w:cnfStyle w:val="001000000000" w:firstRow="0" w:lastRow="0" w:firstColumn="1" w:lastColumn="0" w:oddVBand="0" w:evenVBand="0" w:oddHBand="0" w:evenHBand="0" w:firstRowFirstColumn="0" w:firstRowLastColumn="0" w:lastRowFirstColumn="0" w:lastRowLastColumn="0"/>
            <w:tcW w:w="1762" w:type="dxa"/>
          </w:tcPr>
          <w:p w14:paraId="3D11CD31" w14:textId="77777777" w:rsidR="00903F7F" w:rsidRPr="00780E96" w:rsidRDefault="00903F7F" w:rsidP="007C28CD">
            <w:pPr>
              <w:pStyle w:val="SDMTableBoxParaNumbered"/>
              <w:numPr>
                <w:ilvl w:val="0"/>
                <w:numId w:val="0"/>
              </w:numPr>
            </w:pPr>
            <w:r w:rsidRPr="00780E96">
              <w:t>Non-intermittent electricity generation</w:t>
            </w:r>
          </w:p>
        </w:tc>
        <w:tc>
          <w:tcPr>
            <w:tcW w:w="3473" w:type="dxa"/>
          </w:tcPr>
          <w:p w14:paraId="6EF99608" w14:textId="3AB67EEB" w:rsidR="00903F7F" w:rsidRPr="00780E96" w:rsidRDefault="00903F7F" w:rsidP="007C28CD">
            <w:pPr>
              <w:pStyle w:val="SDMTableBoxParaNumbered"/>
              <w:numPr>
                <w:ilvl w:val="0"/>
                <w:numId w:val="0"/>
              </w:numPr>
              <w:cnfStyle w:val="000000000000" w:firstRow="0" w:lastRow="0" w:firstColumn="0" w:lastColumn="0" w:oddVBand="0" w:evenVBand="0" w:oddHBand="0" w:evenHBand="0" w:firstRowFirstColumn="0" w:firstRowLastColumn="0" w:lastRowFirstColumn="0" w:lastRowLastColumn="0"/>
            </w:pPr>
            <w:r w:rsidRPr="00780E96">
              <w:t xml:space="preserve">An Article 6.4 </w:t>
            </w:r>
            <w:r w:rsidR="00A90135" w:rsidRPr="00780E96">
              <w:t xml:space="preserve">project or CP </w:t>
            </w:r>
            <w:r w:rsidRPr="00780E96">
              <w:t>uses electricity from a pre-existing fossil fuel power unit that</w:t>
            </w:r>
            <w:r w:rsidR="006B78DD" w:rsidRPr="00780E96">
              <w:t>,</w:t>
            </w:r>
            <w:r w:rsidRPr="00780E96">
              <w:t xml:space="preserve"> </w:t>
            </w:r>
            <w:r w:rsidR="006B78DD" w:rsidRPr="00780E96">
              <w:t xml:space="preserve">prior to the implementation of the Article 6.4 </w:t>
            </w:r>
            <w:r w:rsidR="00A61FBF" w:rsidRPr="00780E96">
              <w:t>project or CP</w:t>
            </w:r>
            <w:r w:rsidR="006B78DD" w:rsidRPr="00780E96">
              <w:t>,</w:t>
            </w:r>
            <w:r w:rsidRPr="00780E96">
              <w:t xml:space="preserve"> delivered electricity to the electricity system</w:t>
            </w:r>
          </w:p>
        </w:tc>
        <w:tc>
          <w:tcPr>
            <w:tcW w:w="3294" w:type="dxa"/>
          </w:tcPr>
          <w:p w14:paraId="77FDAAD0" w14:textId="0BAB039E" w:rsidR="00903F7F" w:rsidRPr="00780E96" w:rsidRDefault="00903F7F" w:rsidP="007C28CD">
            <w:pPr>
              <w:pStyle w:val="SDMTableBoxParaNotNumbered"/>
              <w:cnfStyle w:val="000000000000" w:firstRow="0" w:lastRow="0" w:firstColumn="0" w:lastColumn="0" w:oddVBand="0" w:evenVBand="0" w:oddHBand="0" w:evenHBand="0" w:firstRowFirstColumn="0" w:firstRowLastColumn="0" w:lastRowFirstColumn="0" w:lastRowLastColumn="0"/>
            </w:pPr>
            <w:r w:rsidRPr="00780E96">
              <w:t xml:space="preserve">An Article 6.4 </w:t>
            </w:r>
            <w:r w:rsidR="00A90135" w:rsidRPr="00780E96">
              <w:t xml:space="preserve">project or CP </w:t>
            </w:r>
            <w:r w:rsidRPr="00780E96">
              <w:t xml:space="preserve">installs a </w:t>
            </w:r>
            <w:r w:rsidR="00D50477" w:rsidRPr="00780E96">
              <w:t>biomass</w:t>
            </w:r>
            <w:r w:rsidRPr="00780E96">
              <w:t xml:space="preserve"> power plant that delivers electricity to the electricity system</w:t>
            </w:r>
          </w:p>
        </w:tc>
      </w:tr>
      <w:tr w:rsidR="001C0963" w:rsidRPr="00780E96" w14:paraId="5041308D" w14:textId="77777777" w:rsidTr="00584D97">
        <w:tc>
          <w:tcPr>
            <w:cnfStyle w:val="001000000000" w:firstRow="0" w:lastRow="0" w:firstColumn="1" w:lastColumn="0" w:oddVBand="0" w:evenVBand="0" w:oddHBand="0" w:evenHBand="0" w:firstRowFirstColumn="0" w:firstRowLastColumn="0" w:lastRowFirstColumn="0" w:lastRowLastColumn="0"/>
            <w:tcW w:w="1762" w:type="dxa"/>
          </w:tcPr>
          <w:p w14:paraId="0648A3CB" w14:textId="785856BE" w:rsidR="001C0963" w:rsidRPr="00780E96" w:rsidRDefault="00AD500C" w:rsidP="007C28CD">
            <w:pPr>
              <w:pStyle w:val="SDMTableBoxParaNumbered"/>
              <w:numPr>
                <w:ilvl w:val="0"/>
                <w:numId w:val="0"/>
              </w:numPr>
            </w:pPr>
            <w:r w:rsidRPr="00780E96">
              <w:t>Intermittent electricity generation</w:t>
            </w:r>
          </w:p>
        </w:tc>
        <w:tc>
          <w:tcPr>
            <w:tcW w:w="3473" w:type="dxa"/>
          </w:tcPr>
          <w:p w14:paraId="2BC057A6" w14:textId="0D0A060A" w:rsidR="001C0963" w:rsidRPr="00780E96" w:rsidRDefault="00A26B36" w:rsidP="007C28CD">
            <w:pPr>
              <w:pStyle w:val="SDMTableBoxParaNumbered"/>
              <w:numPr>
                <w:ilvl w:val="0"/>
                <w:numId w:val="0"/>
              </w:numPr>
              <w:cnfStyle w:val="000000000000" w:firstRow="0" w:lastRow="0" w:firstColumn="0" w:lastColumn="0" w:oddVBand="0" w:evenVBand="0" w:oddHBand="0" w:evenHBand="0" w:firstRowFirstColumn="0" w:firstRowLastColumn="0" w:lastRowFirstColumn="0" w:lastRowLastColumn="0"/>
            </w:pPr>
            <w:r w:rsidRPr="00780E96">
              <w:t>An Article 6.4</w:t>
            </w:r>
            <w:r w:rsidR="00AD2370" w:rsidRPr="00780E96">
              <w:rPr>
                <w:strike/>
              </w:rPr>
              <w:t xml:space="preserve"> </w:t>
            </w:r>
            <w:r w:rsidR="00A90135" w:rsidRPr="00780E96">
              <w:t xml:space="preserve">project or CP </w:t>
            </w:r>
            <w:r w:rsidR="004A4F48" w:rsidRPr="00780E96">
              <w:t>uses electricity from a pre-existing renewable power unit that</w:t>
            </w:r>
            <w:r w:rsidR="00CB74F9" w:rsidRPr="00780E96">
              <w:t xml:space="preserve">, prior to the implementation of the Article 6.4 </w:t>
            </w:r>
            <w:r w:rsidR="00A61FBF" w:rsidRPr="00780E96">
              <w:t>project or CP</w:t>
            </w:r>
            <w:r w:rsidR="00CB74F9" w:rsidRPr="00780E96">
              <w:t>,</w:t>
            </w:r>
            <w:r w:rsidR="004A4F48" w:rsidRPr="00780E96">
              <w:t xml:space="preserve"> delivered electricity to the electricity system</w:t>
            </w:r>
          </w:p>
        </w:tc>
        <w:tc>
          <w:tcPr>
            <w:tcW w:w="3294" w:type="dxa"/>
          </w:tcPr>
          <w:p w14:paraId="0CEF37ED" w14:textId="7393ED78" w:rsidR="001C0963" w:rsidRPr="00780E96" w:rsidRDefault="00D74378" w:rsidP="007C28CD">
            <w:pPr>
              <w:pStyle w:val="SDMTableBoxParaNumbered"/>
              <w:numPr>
                <w:ilvl w:val="0"/>
                <w:numId w:val="0"/>
              </w:numPr>
              <w:cnfStyle w:val="000000000000" w:firstRow="0" w:lastRow="0" w:firstColumn="0" w:lastColumn="0" w:oddVBand="0" w:evenVBand="0" w:oddHBand="0" w:evenHBand="0" w:firstRowFirstColumn="0" w:firstRowLastColumn="0" w:lastRowFirstColumn="0" w:lastRowLastColumn="0"/>
            </w:pPr>
            <w:r w:rsidRPr="00780E96">
              <w:t xml:space="preserve">An Article 6.4 </w:t>
            </w:r>
            <w:r w:rsidR="00A90135" w:rsidRPr="00780E96">
              <w:t xml:space="preserve">project or CP </w:t>
            </w:r>
            <w:r w:rsidR="00B45806" w:rsidRPr="00780E96">
              <w:t>installs a wind power plant that delivers</w:t>
            </w:r>
            <w:r w:rsidR="00E508A3" w:rsidRPr="00780E96">
              <w:t xml:space="preserve"> electricity to the electricity system</w:t>
            </w:r>
          </w:p>
        </w:tc>
      </w:tr>
      <w:tr w:rsidR="00903F7F" w:rsidRPr="00780E96" w14:paraId="443C37B7" w14:textId="77777777" w:rsidTr="00584D97">
        <w:tc>
          <w:tcPr>
            <w:cnfStyle w:val="001000000000" w:firstRow="0" w:lastRow="0" w:firstColumn="1" w:lastColumn="0" w:oddVBand="0" w:evenVBand="0" w:oddHBand="0" w:evenHBand="0" w:firstRowFirstColumn="0" w:firstRowLastColumn="0" w:lastRowFirstColumn="0" w:lastRowLastColumn="0"/>
            <w:tcW w:w="1762" w:type="dxa"/>
          </w:tcPr>
          <w:p w14:paraId="05EB4FD3" w14:textId="77777777" w:rsidR="00903F7F" w:rsidRPr="00780E96" w:rsidRDefault="00903F7F" w:rsidP="007C28CD">
            <w:pPr>
              <w:pStyle w:val="SDMTableBoxParaNumbered"/>
              <w:numPr>
                <w:ilvl w:val="0"/>
                <w:numId w:val="0"/>
              </w:numPr>
            </w:pPr>
            <w:r w:rsidRPr="00780E96">
              <w:t>Electricity consumption not depending on intermittent generation</w:t>
            </w:r>
          </w:p>
        </w:tc>
        <w:tc>
          <w:tcPr>
            <w:tcW w:w="3473" w:type="dxa"/>
          </w:tcPr>
          <w:p w14:paraId="2F6214F0" w14:textId="54966168" w:rsidR="00903F7F" w:rsidRPr="00780E96" w:rsidRDefault="00766DAE" w:rsidP="007C28CD">
            <w:pPr>
              <w:pStyle w:val="SDMTableBoxParaNotNumbered"/>
              <w:cnfStyle w:val="000000000000" w:firstRow="0" w:lastRow="0" w:firstColumn="0" w:lastColumn="0" w:oddVBand="0" w:evenVBand="0" w:oddHBand="0" w:evenHBand="0" w:firstRowFirstColumn="0" w:firstRowLastColumn="0" w:lastRowFirstColumn="0" w:lastRowLastColumn="0"/>
            </w:pPr>
            <w:r w:rsidRPr="00780E96">
              <w:t xml:space="preserve">An Article 6.4 </w:t>
            </w:r>
            <w:r w:rsidR="00A90135" w:rsidRPr="00780E96">
              <w:t xml:space="preserve">project or CP </w:t>
            </w:r>
            <w:r w:rsidR="00F37FBF" w:rsidRPr="00780E96">
              <w:t>involves</w:t>
            </w:r>
            <w:r w:rsidR="008C319F" w:rsidRPr="00780E96">
              <w:t xml:space="preserve"> the </w:t>
            </w:r>
            <w:r w:rsidR="00E209EF" w:rsidRPr="00780E96">
              <w:t xml:space="preserve">flaring </w:t>
            </w:r>
            <w:r w:rsidR="00F37FBF" w:rsidRPr="00780E96">
              <w:t>of</w:t>
            </w:r>
            <w:r w:rsidR="00E209EF" w:rsidRPr="00780E96">
              <w:t xml:space="preserve"> landfill gas</w:t>
            </w:r>
            <w:r w:rsidR="49C51A62" w:rsidRPr="00780E96">
              <w:t xml:space="preserve"> </w:t>
            </w:r>
            <w:r w:rsidR="00A702DD" w:rsidRPr="00780E96">
              <w:t xml:space="preserve">and </w:t>
            </w:r>
            <w:r w:rsidR="009B33EB" w:rsidRPr="00780E96">
              <w:t xml:space="preserve">consumes electricity </w:t>
            </w:r>
            <w:r w:rsidR="00E209EF" w:rsidRPr="00780E96">
              <w:t xml:space="preserve">for the purpose of </w:t>
            </w:r>
            <w:r w:rsidR="008C319F" w:rsidRPr="00780E96">
              <w:t xml:space="preserve">collecting the </w:t>
            </w:r>
            <w:r w:rsidR="00E209EF" w:rsidRPr="00780E96">
              <w:t xml:space="preserve">landfill gas and </w:t>
            </w:r>
            <w:r w:rsidR="008C319F" w:rsidRPr="00780E96">
              <w:t>operating the flare</w:t>
            </w:r>
          </w:p>
        </w:tc>
        <w:tc>
          <w:tcPr>
            <w:tcW w:w="3294" w:type="dxa"/>
          </w:tcPr>
          <w:p w14:paraId="60CA195F" w14:textId="2823C054" w:rsidR="00903F7F" w:rsidRPr="00780E96" w:rsidRDefault="00591DB4" w:rsidP="007C28CD">
            <w:pPr>
              <w:pStyle w:val="SDMTableBoxParaNotNumbered"/>
              <w:cnfStyle w:val="000000000000" w:firstRow="0" w:lastRow="0" w:firstColumn="0" w:lastColumn="0" w:oddVBand="0" w:evenVBand="0" w:oddHBand="0" w:evenHBand="0" w:firstRowFirstColumn="0" w:firstRowLastColumn="0" w:lastRowFirstColumn="0" w:lastRowLastColumn="0"/>
            </w:pPr>
            <w:r w:rsidRPr="00780E96">
              <w:t xml:space="preserve">An Article 6.4 </w:t>
            </w:r>
            <w:r w:rsidR="00A90135" w:rsidRPr="00780E96">
              <w:t xml:space="preserve">project or CP </w:t>
            </w:r>
            <w:r w:rsidRPr="00780E96">
              <w:t>reduce</w:t>
            </w:r>
            <w:r w:rsidR="006413FC" w:rsidRPr="00780E96">
              <w:t>s</w:t>
            </w:r>
            <w:r w:rsidRPr="00780E96">
              <w:t xml:space="preserve"> the electricity consumption of households </w:t>
            </w:r>
            <w:r w:rsidR="00B62289" w:rsidRPr="00780E96">
              <w:t xml:space="preserve">for lighting purposes </w:t>
            </w:r>
            <w:r w:rsidR="006413FC" w:rsidRPr="00780E96">
              <w:t>through</w:t>
            </w:r>
            <w:r w:rsidRPr="00780E96">
              <w:t xml:space="preserve"> </w:t>
            </w:r>
            <w:r w:rsidR="00B62289" w:rsidRPr="00780E96">
              <w:t>the use of efficient lamps</w:t>
            </w:r>
          </w:p>
        </w:tc>
      </w:tr>
      <w:tr w:rsidR="00A33160" w:rsidRPr="00780E96" w14:paraId="7D491A90" w14:textId="77777777" w:rsidTr="00584D97">
        <w:tc>
          <w:tcPr>
            <w:cnfStyle w:val="001000000000" w:firstRow="0" w:lastRow="0" w:firstColumn="1" w:lastColumn="0" w:oddVBand="0" w:evenVBand="0" w:oddHBand="0" w:evenHBand="0" w:firstRowFirstColumn="0" w:firstRowLastColumn="0" w:lastRowFirstColumn="0" w:lastRowLastColumn="0"/>
            <w:tcW w:w="1762" w:type="dxa"/>
          </w:tcPr>
          <w:p w14:paraId="7E162313" w14:textId="03A5C9FE" w:rsidR="00A33160" w:rsidRPr="00780E96" w:rsidRDefault="00BE3EC5" w:rsidP="007C28CD">
            <w:pPr>
              <w:pStyle w:val="SDMTableBoxParaNumbered"/>
              <w:numPr>
                <w:ilvl w:val="0"/>
                <w:numId w:val="0"/>
              </w:numPr>
            </w:pPr>
            <w:r w:rsidRPr="00780E96">
              <w:t>Electricity consumption depending on intermittent generation</w:t>
            </w:r>
          </w:p>
        </w:tc>
        <w:tc>
          <w:tcPr>
            <w:tcW w:w="3473" w:type="dxa"/>
          </w:tcPr>
          <w:p w14:paraId="324C8983" w14:textId="7E961F6B" w:rsidR="00A33160" w:rsidRPr="00780E96" w:rsidRDefault="003310B8" w:rsidP="007C28CD">
            <w:pPr>
              <w:pStyle w:val="SDMTableBoxParaNotNumbered"/>
              <w:cnfStyle w:val="000000000000" w:firstRow="0" w:lastRow="0" w:firstColumn="0" w:lastColumn="0" w:oddVBand="0" w:evenVBand="0" w:oddHBand="0" w:evenHBand="0" w:firstRowFirstColumn="0" w:firstRowLastColumn="0" w:lastRowFirstColumn="0" w:lastRowLastColumn="0"/>
            </w:pPr>
            <w:r w:rsidRPr="00780E96">
              <w:t xml:space="preserve">An Article 6.4 </w:t>
            </w:r>
            <w:r w:rsidR="00791CC7" w:rsidRPr="00780E96">
              <w:t xml:space="preserve">project or CP </w:t>
            </w:r>
            <w:r w:rsidR="00405215" w:rsidRPr="00780E96">
              <w:t xml:space="preserve">produces hydrogen through electrolysis. It mainly consumes electricity from a </w:t>
            </w:r>
            <w:r w:rsidR="003A380A" w:rsidRPr="00780E96">
              <w:t xml:space="preserve">specific wind power plant and </w:t>
            </w:r>
            <w:r w:rsidR="00EF78FE" w:rsidRPr="00780E96">
              <w:t xml:space="preserve">consumes electricity from the electricity system </w:t>
            </w:r>
            <w:r w:rsidR="00F37FBF" w:rsidRPr="00780E96">
              <w:t>when the wind power plant is not operating at full load</w:t>
            </w:r>
          </w:p>
        </w:tc>
        <w:tc>
          <w:tcPr>
            <w:tcW w:w="3294" w:type="dxa"/>
          </w:tcPr>
          <w:p w14:paraId="3D4438F0" w14:textId="604041F5" w:rsidR="00A33160" w:rsidRPr="00780E96" w:rsidRDefault="002321D7" w:rsidP="007C28CD">
            <w:pPr>
              <w:pStyle w:val="SDMTableBoxParaNotNumbered"/>
              <w:cnfStyle w:val="000000000000" w:firstRow="0" w:lastRow="0" w:firstColumn="0" w:lastColumn="0" w:oddVBand="0" w:evenVBand="0" w:oddHBand="0" w:evenHBand="0" w:firstRowFirstColumn="0" w:firstRowLastColumn="0" w:lastRowFirstColumn="0" w:lastRowLastColumn="0"/>
            </w:pPr>
            <w:r w:rsidRPr="00780E96">
              <w:t>An Article 6.4</w:t>
            </w:r>
            <w:r w:rsidR="00AD2370" w:rsidRPr="00780E96">
              <w:rPr>
                <w:strike/>
              </w:rPr>
              <w:t xml:space="preserve"> </w:t>
            </w:r>
            <w:r w:rsidR="00791CC7" w:rsidRPr="00780E96">
              <w:t xml:space="preserve">project or CP </w:t>
            </w:r>
            <w:r w:rsidR="00B62289" w:rsidRPr="00780E96">
              <w:t xml:space="preserve">reduces the electricity consumption of </w:t>
            </w:r>
            <w:r w:rsidR="00232FE4" w:rsidRPr="00780E96">
              <w:t xml:space="preserve">electric </w:t>
            </w:r>
            <w:r w:rsidR="00200676" w:rsidRPr="00780E96">
              <w:t xml:space="preserve">cooking devices that </w:t>
            </w:r>
            <w:r w:rsidR="00416EF6" w:rsidRPr="00780E96">
              <w:t>are</w:t>
            </w:r>
            <w:r w:rsidR="00200676" w:rsidRPr="00780E96">
              <w:t xml:space="preserve"> exclusively </w:t>
            </w:r>
            <w:r w:rsidR="00416EF6" w:rsidRPr="00780E96">
              <w:t xml:space="preserve">used </w:t>
            </w:r>
            <w:r w:rsidR="00232FE4" w:rsidRPr="00780E96">
              <w:t xml:space="preserve">for </w:t>
            </w:r>
            <w:r w:rsidR="00B32205" w:rsidRPr="00780E96">
              <w:t>preparing lunch meals in a country with significant</w:t>
            </w:r>
            <w:r w:rsidR="00254334" w:rsidRPr="00780E96">
              <w:t xml:space="preserve"> solar generation</w:t>
            </w:r>
          </w:p>
        </w:tc>
      </w:tr>
    </w:tbl>
    <w:p w14:paraId="62E1AD94" w14:textId="1C2F3809" w:rsidR="00FF70B5" w:rsidRPr="0027656B" w:rsidRDefault="5A902AC0">
      <w:pPr>
        <w:pStyle w:val="SDMPara"/>
        <w:rPr>
          <w:lang w:val="en-US"/>
        </w:rPr>
      </w:pPr>
      <w:r w:rsidRPr="00780E96">
        <w:t xml:space="preserve">Where an Article 6.4 </w:t>
      </w:r>
      <w:r w:rsidR="000C06F9" w:rsidRPr="00780E96">
        <w:t xml:space="preserve">project or CP </w:t>
      </w:r>
      <w:r w:rsidRPr="00780E96">
        <w:t>cove</w:t>
      </w:r>
      <w:r w:rsidRPr="00CE1345">
        <w:t>rs multiple electricity generation or</w:t>
      </w:r>
      <w:r>
        <w:t xml:space="preserve"> consumption </w:t>
      </w:r>
      <w:r w:rsidR="00563551">
        <w:t>sources</w:t>
      </w:r>
      <w:r w:rsidR="004031C3">
        <w:t> </w:t>
      </w:r>
      <w:r w:rsidR="004031C3" w:rsidRPr="321339B7">
        <w:rPr>
          <w:i/>
          <w:iCs/>
        </w:rPr>
        <w:t>s</w:t>
      </w:r>
      <w:r w:rsidR="0020065D" w:rsidRPr="321339B7">
        <w:rPr>
          <w:i/>
          <w:iCs/>
        </w:rPr>
        <w:t xml:space="preserve"> </w:t>
      </w:r>
      <w:r w:rsidR="0020065D" w:rsidRPr="00A33CD3">
        <w:t>for which</w:t>
      </w:r>
      <w:r w:rsidR="0020065D" w:rsidRPr="00A33CD3">
        <w:rPr>
          <w:rFonts w:eastAsia="Arial"/>
        </w:rPr>
        <w:t xml:space="preserve"> electricity is </w:t>
      </w:r>
      <w:r w:rsidR="0020065D" w:rsidRPr="00A33CD3">
        <w:t xml:space="preserve">consumed from or </w:t>
      </w:r>
      <w:r w:rsidR="0020065D" w:rsidRPr="00A33CD3">
        <w:rPr>
          <w:rFonts w:eastAsia="Arial"/>
        </w:rPr>
        <w:t>fed into the same electricity system</w:t>
      </w:r>
      <w:r w:rsidR="0020065D" w:rsidRPr="00A33CD3">
        <w:t xml:space="preserve"> </w:t>
      </w:r>
      <w:r w:rsidR="00085EE9" w:rsidRPr="00A33CD3">
        <w:t>and/</w:t>
      </w:r>
      <w:r w:rsidR="0020065D" w:rsidRPr="00A33CD3">
        <w:t xml:space="preserve">or </w:t>
      </w:r>
      <w:r w:rsidR="00085EE9" w:rsidRPr="00A33CD3">
        <w:t xml:space="preserve">is consumed from </w:t>
      </w:r>
      <w:r w:rsidR="00085EE9" w:rsidRPr="00A33CD3">
        <w:rPr>
          <w:rFonts w:eastAsia="Arial"/>
        </w:rPr>
        <w:t xml:space="preserve">or </w:t>
      </w:r>
      <w:r w:rsidR="00085EE9" w:rsidRPr="00A33CD3">
        <w:t>avoids power generation by the same fossil-fuel fired</w:t>
      </w:r>
      <w:r w:rsidR="0020065D" w:rsidRPr="00A33CD3">
        <w:rPr>
          <w:rFonts w:eastAsia="Arial"/>
        </w:rPr>
        <w:t xml:space="preserve"> captive power plant</w:t>
      </w:r>
      <w:r w:rsidR="00955A7F" w:rsidRPr="00A33CD3">
        <w:t>(s</w:t>
      </w:r>
      <w:r w:rsidR="00085EE9" w:rsidRPr="00A33CD3">
        <w:t>)</w:t>
      </w:r>
      <w:r>
        <w:t xml:space="preserve">, the net total </w:t>
      </w:r>
      <w:r w:rsidR="00D74E11">
        <w:t xml:space="preserve">electricity generation and/or consumption </w:t>
      </w:r>
      <w:r>
        <w:t xml:space="preserve">from all </w:t>
      </w:r>
      <w:r w:rsidR="001245BB">
        <w:t>sources</w:t>
      </w:r>
      <w:r w:rsidR="66A1A74B">
        <w:t xml:space="preserve"> </w:t>
      </w:r>
      <w:r>
        <w:t>may be netted for each hour covered by the monitoring period.</w:t>
      </w:r>
      <w:r w:rsidR="016E9486">
        <w:rPr>
          <w:rFonts w:eastAsia="Arial"/>
        </w:rPr>
        <w:t xml:space="preserve"> </w:t>
      </w:r>
      <w:r w:rsidR="6968C15D">
        <w:t xml:space="preserve">Where </w:t>
      </w:r>
      <w:r w:rsidR="006A6029" w:rsidRPr="00AA1284">
        <w:rPr>
          <w:b/>
          <w:bCs/>
        </w:rPr>
        <w:t>case</w:t>
      </w:r>
      <w:r w:rsidR="00882BB1">
        <w:rPr>
          <w:b/>
          <w:bCs/>
        </w:rPr>
        <w:t> </w:t>
      </w:r>
      <w:r w:rsidR="6968C15D" w:rsidRPr="00AA1284">
        <w:rPr>
          <w:b/>
          <w:bCs/>
        </w:rPr>
        <w:t>1</w:t>
      </w:r>
      <w:r w:rsidR="6968C15D">
        <w:t xml:space="preserve"> applies to </w:t>
      </w:r>
      <w:r w:rsidR="6968C15D" w:rsidDel="002747FE">
        <w:t xml:space="preserve">some </w:t>
      </w:r>
      <w:r w:rsidR="6968C15D" w:rsidDel="00091683">
        <w:t xml:space="preserve">hours </w:t>
      </w:r>
      <w:r w:rsidR="002F6518">
        <w:t xml:space="preserve">within </w:t>
      </w:r>
      <w:r w:rsidR="6968C15D" w:rsidDel="00091683">
        <w:t xml:space="preserve">a monitoring </w:t>
      </w:r>
      <w:r w:rsidR="6968C15D">
        <w:t xml:space="preserve">period and </w:t>
      </w:r>
      <w:r w:rsidR="002F6518" w:rsidRPr="00AA1284">
        <w:rPr>
          <w:b/>
          <w:bCs/>
        </w:rPr>
        <w:t>c</w:t>
      </w:r>
      <w:r w:rsidR="6968C15D" w:rsidRPr="00AA1284" w:rsidDel="00513525">
        <w:rPr>
          <w:b/>
          <w:bCs/>
        </w:rPr>
        <w:t>ase</w:t>
      </w:r>
      <w:r w:rsidR="00882BB1">
        <w:rPr>
          <w:b/>
          <w:bCs/>
        </w:rPr>
        <w:t> </w:t>
      </w:r>
      <w:r w:rsidR="6968C15D" w:rsidRPr="00AA1284">
        <w:rPr>
          <w:b/>
          <w:bCs/>
        </w:rPr>
        <w:t>2</w:t>
      </w:r>
      <w:r w:rsidR="6968C15D">
        <w:t xml:space="preserve"> applies to the remaining hours of the same mon</w:t>
      </w:r>
      <w:r w:rsidR="6968C15D" w:rsidDel="005C2978">
        <w:t>itoring period</w:t>
      </w:r>
      <w:r w:rsidR="6968C15D">
        <w:t xml:space="preserve">, activity participants shall apply the corresponding emission factor for </w:t>
      </w:r>
      <w:r w:rsidR="6968C15D" w:rsidDel="00FF371C">
        <w:t xml:space="preserve">the respective </w:t>
      </w:r>
      <w:r w:rsidR="6968C15D">
        <w:t>hours</w:t>
      </w:r>
      <w:r w:rsidR="2D937D4E">
        <w:t>.</w:t>
      </w:r>
      <w:r w:rsidR="00FF70B5" w:rsidRPr="00326947">
        <w:rPr>
          <w:rStyle w:val="FootnoteReference"/>
          <w:vertAlign w:val="baseline"/>
        </w:rPr>
        <w:t xml:space="preserve"> </w:t>
      </w:r>
      <w:r w:rsidR="5B2AC40B">
        <w:t xml:space="preserve">Alternatively, activity participants may determine emissions </w:t>
      </w:r>
      <w:r w:rsidR="7D897281">
        <w:t xml:space="preserve">separately for each electricity generation or consumption </w:t>
      </w:r>
      <w:r w:rsidR="00AF62A5">
        <w:t>source </w:t>
      </w:r>
      <w:r w:rsidR="00AF62A5" w:rsidRPr="321339B7">
        <w:rPr>
          <w:i/>
          <w:iCs/>
        </w:rPr>
        <w:t>s</w:t>
      </w:r>
      <w:r w:rsidR="7D897281">
        <w:t xml:space="preserve">, by applying the corresponding emission factor to each </w:t>
      </w:r>
      <w:r w:rsidR="00AF62A5">
        <w:t>source </w:t>
      </w:r>
      <w:r w:rsidR="00AF62A5" w:rsidRPr="321339B7">
        <w:rPr>
          <w:i/>
          <w:iCs/>
        </w:rPr>
        <w:t>s</w:t>
      </w:r>
      <w:r w:rsidR="7D897281">
        <w:t xml:space="preserve">, depending on whether </w:t>
      </w:r>
      <w:r w:rsidR="0016525A" w:rsidRPr="00AA1284">
        <w:rPr>
          <w:b/>
          <w:bCs/>
        </w:rPr>
        <w:t>case</w:t>
      </w:r>
      <w:r w:rsidR="00882BB1">
        <w:rPr>
          <w:b/>
          <w:bCs/>
        </w:rPr>
        <w:t> </w:t>
      </w:r>
      <w:r w:rsidR="7D897281" w:rsidRPr="00AA1284">
        <w:rPr>
          <w:b/>
          <w:bCs/>
        </w:rPr>
        <w:t>1</w:t>
      </w:r>
      <w:r w:rsidR="7D897281">
        <w:t xml:space="preserve"> or </w:t>
      </w:r>
      <w:r w:rsidR="0016525A" w:rsidRPr="00AA1284">
        <w:rPr>
          <w:b/>
          <w:bCs/>
        </w:rPr>
        <w:t>case</w:t>
      </w:r>
      <w:r w:rsidR="00882BB1">
        <w:rPr>
          <w:b/>
          <w:bCs/>
        </w:rPr>
        <w:t> </w:t>
      </w:r>
      <w:r w:rsidR="7D897281" w:rsidRPr="00AA1284">
        <w:rPr>
          <w:b/>
          <w:bCs/>
        </w:rPr>
        <w:t>2</w:t>
      </w:r>
      <w:r w:rsidR="7D897281">
        <w:t xml:space="preserve"> </w:t>
      </w:r>
      <w:r w:rsidR="7D897281" w:rsidRPr="0027656B">
        <w:t xml:space="preserve">and </w:t>
      </w:r>
      <w:r w:rsidR="000248B3" w:rsidRPr="0027656B">
        <w:t xml:space="preserve">whether </w:t>
      </w:r>
      <w:r w:rsidR="00AA1284" w:rsidRPr="0027656B">
        <w:rPr>
          <w:b/>
          <w:bCs/>
        </w:rPr>
        <w:t xml:space="preserve">scenario </w:t>
      </w:r>
      <w:r w:rsidR="7D897281" w:rsidRPr="0027656B">
        <w:rPr>
          <w:b/>
          <w:bCs/>
        </w:rPr>
        <w:t>A</w:t>
      </w:r>
      <w:r w:rsidR="7D897281" w:rsidRPr="0027656B">
        <w:t xml:space="preserve">, </w:t>
      </w:r>
      <w:r w:rsidR="7D897281" w:rsidRPr="0027656B">
        <w:rPr>
          <w:b/>
          <w:bCs/>
        </w:rPr>
        <w:t>B</w:t>
      </w:r>
      <w:r w:rsidR="00AC4ECE" w:rsidRPr="0027656B">
        <w:rPr>
          <w:b/>
          <w:bCs/>
        </w:rPr>
        <w:t>,</w:t>
      </w:r>
      <w:r w:rsidR="7D897281" w:rsidRPr="0027656B">
        <w:t xml:space="preserve"> or </w:t>
      </w:r>
      <w:r w:rsidR="7D897281" w:rsidRPr="0027656B">
        <w:rPr>
          <w:b/>
          <w:bCs/>
        </w:rPr>
        <w:t>C</w:t>
      </w:r>
      <w:r w:rsidR="7D897281" w:rsidRPr="0027656B">
        <w:t xml:space="preserve"> appl</w:t>
      </w:r>
      <w:r w:rsidR="00AA1284" w:rsidRPr="0027656B">
        <w:t>ies</w:t>
      </w:r>
      <w:r w:rsidR="7D897281" w:rsidRPr="0027656B">
        <w:t xml:space="preserve"> to the respective </w:t>
      </w:r>
      <w:r w:rsidR="00294F02" w:rsidRPr="0027656B">
        <w:t>source </w:t>
      </w:r>
      <w:r w:rsidR="00294F02" w:rsidRPr="0027656B">
        <w:rPr>
          <w:i/>
          <w:iCs/>
        </w:rPr>
        <w:t>s</w:t>
      </w:r>
      <w:r w:rsidR="000A27E6" w:rsidRPr="0027656B">
        <w:t>.</w:t>
      </w:r>
      <w:r w:rsidR="00B80A98" w:rsidRPr="0027656B">
        <w:rPr>
          <w:rStyle w:val="FootnoteReference"/>
        </w:rPr>
        <w:footnoteReference w:id="10"/>
      </w:r>
    </w:p>
    <w:p w14:paraId="06CCE567" w14:textId="687C7C65" w:rsidR="7F978C3E" w:rsidRPr="00780E96" w:rsidRDefault="5A12129D" w:rsidP="6E64D397">
      <w:pPr>
        <w:pStyle w:val="SDMPara"/>
      </w:pPr>
      <w:r w:rsidRPr="0027656B">
        <w:t xml:space="preserve">Where either </w:t>
      </w:r>
      <w:r w:rsidR="6D128986" w:rsidRPr="0027656B">
        <w:rPr>
          <w:b/>
          <w:bCs/>
        </w:rPr>
        <w:t>case</w:t>
      </w:r>
      <w:r w:rsidR="2A28F322" w:rsidRPr="0027656B">
        <w:rPr>
          <w:b/>
          <w:bCs/>
        </w:rPr>
        <w:t> </w:t>
      </w:r>
      <w:r w:rsidRPr="0027656B">
        <w:rPr>
          <w:b/>
          <w:bCs/>
        </w:rPr>
        <w:t>1</w:t>
      </w:r>
      <w:r w:rsidRPr="0027656B">
        <w:t xml:space="preserve"> or </w:t>
      </w:r>
      <w:r w:rsidR="6D128986" w:rsidRPr="0027656B">
        <w:rPr>
          <w:b/>
          <w:bCs/>
        </w:rPr>
        <w:t>case</w:t>
      </w:r>
      <w:r w:rsidR="2A28F322" w:rsidRPr="0027656B">
        <w:rPr>
          <w:b/>
          <w:bCs/>
        </w:rPr>
        <w:t> </w:t>
      </w:r>
      <w:r w:rsidRPr="0027656B">
        <w:rPr>
          <w:b/>
          <w:bCs/>
        </w:rPr>
        <w:t>2</w:t>
      </w:r>
      <w:r w:rsidRPr="0027656B">
        <w:t xml:space="preserve"> applies to all electricity generation and consumption </w:t>
      </w:r>
      <w:r w:rsidR="2CF47783" w:rsidRPr="0027656B">
        <w:t>source</w:t>
      </w:r>
      <w:r w:rsidR="16EFD71B" w:rsidRPr="0027656B">
        <w:t>s</w:t>
      </w:r>
      <w:r w:rsidR="2CF47783">
        <w:t> </w:t>
      </w:r>
      <w:r w:rsidR="2CF47783" w:rsidRPr="6E64D397">
        <w:rPr>
          <w:i/>
          <w:iCs/>
        </w:rPr>
        <w:t>s</w:t>
      </w:r>
      <w:r>
        <w:t xml:space="preserve"> throughout the monitoring period of the Article 6.</w:t>
      </w:r>
      <w:r w:rsidRPr="00585969">
        <w:t>4</w:t>
      </w:r>
      <w:r w:rsidR="00043B0B" w:rsidRPr="00585969">
        <w:t xml:space="preserve"> </w:t>
      </w:r>
      <w:r w:rsidR="003A7F7C" w:rsidRPr="00780E96">
        <w:t>project or CP</w:t>
      </w:r>
      <w:r w:rsidRPr="00780E96">
        <w:t xml:space="preserve">, activity participants shall identify the relevant case and apply it consistently in the determination of the emission factor. This approach may also be applied where one of the two cases </w:t>
      </w:r>
      <w:r w:rsidR="3B632B16" w:rsidRPr="00780E96">
        <w:t xml:space="preserve">accounts for </w:t>
      </w:r>
      <w:r w:rsidRPr="00780E96">
        <w:t xml:space="preserve">less than </w:t>
      </w:r>
      <w:r w:rsidR="206D802D" w:rsidRPr="00780E96">
        <w:t>one</w:t>
      </w:r>
      <w:r w:rsidR="2A28F322" w:rsidRPr="00780E96">
        <w:t> </w:t>
      </w:r>
      <w:r w:rsidR="4B4A23A3" w:rsidRPr="00780E96">
        <w:t>per cent</w:t>
      </w:r>
      <w:r w:rsidR="6C5FE8E0" w:rsidRPr="00780E96">
        <w:t xml:space="preserve"> </w:t>
      </w:r>
      <w:r w:rsidRPr="00780E96">
        <w:t>of the amount of electricity generation and/or consumption compared to the other case.</w:t>
      </w:r>
    </w:p>
    <w:p w14:paraId="7D8963B3" w14:textId="2ACF49BC" w:rsidR="00AE4B5D" w:rsidRPr="00780E96" w:rsidRDefault="002223AA">
      <w:pPr>
        <w:pStyle w:val="SDMHead2"/>
      </w:pPr>
      <w:bookmarkStart w:id="477" w:name="_Toc215208602"/>
      <w:bookmarkStart w:id="478" w:name="_Toc215216121"/>
      <w:bookmarkStart w:id="479" w:name="_Toc215222857"/>
      <w:bookmarkStart w:id="480" w:name="_Toc215223045"/>
      <w:bookmarkStart w:id="481" w:name="_Toc215223267"/>
      <w:bookmarkStart w:id="482" w:name="_Toc215574888"/>
      <w:bookmarkStart w:id="483" w:name="_Toc215579102"/>
      <w:bookmarkStart w:id="484" w:name="_Toc215208603"/>
      <w:bookmarkStart w:id="485" w:name="_Toc215216122"/>
      <w:bookmarkStart w:id="486" w:name="_Toc215222858"/>
      <w:bookmarkStart w:id="487" w:name="_Toc215223046"/>
      <w:bookmarkStart w:id="488" w:name="_Toc215223268"/>
      <w:bookmarkStart w:id="489" w:name="_Toc215574889"/>
      <w:bookmarkStart w:id="490" w:name="_Ref215680163"/>
      <w:bookmarkStart w:id="491" w:name="_Toc215923327"/>
      <w:bookmarkStart w:id="492" w:name="_Toc216093023"/>
      <w:bookmarkStart w:id="493" w:name="_Toc216271752"/>
      <w:bookmarkStart w:id="494" w:name="_Toc216279369"/>
      <w:bookmarkStart w:id="495" w:name="_Toc216283407"/>
      <w:bookmarkStart w:id="496" w:name="_Toc216288025"/>
      <w:bookmarkStart w:id="497" w:name="_Toc219666132"/>
      <w:bookmarkStart w:id="498" w:name="_Toc220001392"/>
      <w:bookmarkStart w:id="499" w:name="_Ref221036542"/>
      <w:bookmarkStart w:id="500" w:name="_Toc221096416"/>
      <w:bookmarkStart w:id="501" w:name="_Toc221097968"/>
      <w:bookmarkStart w:id="502" w:name="_Toc221116264"/>
      <w:bookmarkStart w:id="503" w:name="_Toc221117280"/>
      <w:bookmarkStart w:id="504" w:name="_Toc222132118"/>
      <w:bookmarkStart w:id="505" w:name="_Toc222494919"/>
      <w:bookmarkStart w:id="506" w:name="_Toc222512435"/>
      <w:bookmarkStart w:id="507" w:name="_Toc222741755"/>
      <w:bookmarkStart w:id="508" w:name="_Toc234853836"/>
      <w:bookmarkStart w:id="509" w:name="_Toc235002274"/>
      <w:bookmarkStart w:id="510" w:name="_Toc235003433"/>
      <w:bookmarkStart w:id="511" w:name="_Toc236154230"/>
      <w:bookmarkStart w:id="512" w:name="_Toc236216607"/>
      <w:bookmarkStart w:id="513" w:name="_Toc240545095"/>
      <w:bookmarkStart w:id="514" w:name="_Toc240545311"/>
      <w:bookmarkStart w:id="515" w:name="_Toc240576893"/>
      <w:bookmarkEnd w:id="474"/>
      <w:bookmarkEnd w:id="475"/>
      <w:bookmarkEnd w:id="477"/>
      <w:bookmarkEnd w:id="478"/>
      <w:bookmarkEnd w:id="479"/>
      <w:bookmarkEnd w:id="480"/>
      <w:bookmarkEnd w:id="481"/>
      <w:bookmarkEnd w:id="482"/>
      <w:bookmarkEnd w:id="483"/>
      <w:r w:rsidRPr="00780E96">
        <w:t>Step</w:t>
      </w:r>
      <w:r w:rsidR="00126F8A" w:rsidRPr="00780E96">
        <w:t> </w:t>
      </w:r>
      <w:r w:rsidR="000A27E6" w:rsidRPr="00780E96">
        <w:t>5</w:t>
      </w:r>
      <w:r w:rsidRPr="00780E96">
        <w:t xml:space="preserve">: </w:t>
      </w:r>
      <w:r w:rsidR="006F1C4A" w:rsidRPr="00780E96">
        <w:t>Determin</w:t>
      </w:r>
      <w:r w:rsidR="001079C2" w:rsidRPr="00780E96">
        <w:t>e</w:t>
      </w:r>
      <w:r w:rsidR="52951D30" w:rsidRPr="00780E96">
        <w:t xml:space="preserve"> </w:t>
      </w:r>
      <w:r w:rsidR="001079C2" w:rsidRPr="00780E96">
        <w:t xml:space="preserve">the amount </w:t>
      </w:r>
      <w:r w:rsidR="006F1C4A" w:rsidRPr="00780E96">
        <w:t xml:space="preserve">of electricity generation </w:t>
      </w:r>
      <w:r w:rsidR="00DD05EC" w:rsidRPr="00780E96">
        <w:t>and/</w:t>
      </w:r>
      <w:r w:rsidR="001079C2" w:rsidRPr="00780E96">
        <w:t>or</w:t>
      </w:r>
      <w:r w:rsidR="006F1C4A" w:rsidRPr="00780E96">
        <w:t xml:space="preserve"> consumption</w:t>
      </w:r>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p>
    <w:p w14:paraId="1AC2CE94" w14:textId="778DBF17" w:rsidR="00132916" w:rsidRPr="00780E96" w:rsidRDefault="052F5B7C">
      <w:pPr>
        <w:pStyle w:val="SDMPara"/>
      </w:pPr>
      <w:r w:rsidRPr="00780E96">
        <w:t>Activity participants shall specify in the PDD</w:t>
      </w:r>
      <w:r w:rsidR="545F4FAF" w:rsidRPr="00780E96">
        <w:t xml:space="preserve"> </w:t>
      </w:r>
      <w:r w:rsidR="005579EC" w:rsidRPr="00780E96">
        <w:t>or CP-DD</w:t>
      </w:r>
      <w:r w:rsidR="545F4FAF" w:rsidRPr="00780E96">
        <w:t xml:space="preserve"> </w:t>
      </w:r>
      <w:r w:rsidRPr="00780E96">
        <w:t xml:space="preserve">how the amount of </w:t>
      </w:r>
      <w:r w:rsidR="7172CE34" w:rsidRPr="00780E96">
        <w:t xml:space="preserve">electricity generated or consumed shall be </w:t>
      </w:r>
      <w:r w:rsidRPr="00780E96">
        <w:t>determined for each</w:t>
      </w:r>
      <w:r w:rsidR="6F05331B" w:rsidRPr="00780E96">
        <w:t xml:space="preserve"> electricity generation or consumption </w:t>
      </w:r>
      <w:r w:rsidR="654DA4C3" w:rsidRPr="00780E96">
        <w:t>source </w:t>
      </w:r>
      <w:r w:rsidR="654DA4C3" w:rsidRPr="00780E96">
        <w:rPr>
          <w:i/>
          <w:iCs/>
        </w:rPr>
        <w:t>s</w:t>
      </w:r>
      <w:r w:rsidR="5C0A5B32" w:rsidRPr="00780E96">
        <w:t xml:space="preserve"> </w:t>
      </w:r>
      <w:r w:rsidR="44ABA60E" w:rsidRPr="00780E96">
        <w:t>identified</w:t>
      </w:r>
      <w:r w:rsidR="5C0A5B32" w:rsidRPr="00780E96">
        <w:t xml:space="preserve"> in </w:t>
      </w:r>
      <w:r w:rsidR="79DDDC5F" w:rsidRPr="00780E96">
        <w:t>s</w:t>
      </w:r>
      <w:r w:rsidR="5C0A5B32" w:rsidRPr="00780E96">
        <w:t>tep 1.</w:t>
      </w:r>
      <w:r w:rsidR="37B27E69" w:rsidRPr="00780E96">
        <w:t xml:space="preserve"> The period for aggregating the amount of electricity generation or consumption shall align with the period used to determine the emission factor, as specified in </w:t>
      </w:r>
      <w:r w:rsidR="21487037" w:rsidRPr="00780E96">
        <w:t xml:space="preserve">sections </w:t>
      </w:r>
      <w:r w:rsidR="00267532" w:rsidRPr="00780E96">
        <w:fldChar w:fldCharType="begin"/>
      </w:r>
      <w:r w:rsidR="00267532" w:rsidRPr="00780E96">
        <w:instrText xml:space="preserve"> REF _Ref215680223 \r \h </w:instrText>
      </w:r>
      <w:r w:rsidR="00CE1345" w:rsidRPr="00780E96">
        <w:instrText xml:space="preserve"> \* MERGEFORMAT </w:instrText>
      </w:r>
      <w:r w:rsidR="00267532" w:rsidRPr="00780E96">
        <w:fldChar w:fldCharType="separate"/>
      </w:r>
      <w:r w:rsidR="003B0135" w:rsidRPr="00780E96">
        <w:rPr>
          <w:cs/>
        </w:rPr>
        <w:t>‎</w:t>
      </w:r>
      <w:r w:rsidR="003B0135" w:rsidRPr="00780E96">
        <w:t>5.7</w:t>
      </w:r>
      <w:r w:rsidR="00267532" w:rsidRPr="00780E96">
        <w:fldChar w:fldCharType="end"/>
      </w:r>
      <w:r w:rsidR="37B27E69" w:rsidRPr="00780E96">
        <w:t xml:space="preserve"> and </w:t>
      </w:r>
      <w:r w:rsidR="006F4C20" w:rsidRPr="00780E96">
        <w:fldChar w:fldCharType="begin"/>
      </w:r>
      <w:r w:rsidR="006F4C20" w:rsidRPr="00780E96">
        <w:instrText xml:space="preserve"> REF _Ref215680292 \w \h </w:instrText>
      </w:r>
      <w:r w:rsidR="00CE1345" w:rsidRPr="00780E96">
        <w:instrText xml:space="preserve"> \* MERGEFORMAT </w:instrText>
      </w:r>
      <w:r w:rsidR="006F4C20" w:rsidRPr="00780E96">
        <w:fldChar w:fldCharType="separate"/>
      </w:r>
      <w:r w:rsidR="003B0135" w:rsidRPr="00780E96">
        <w:rPr>
          <w:cs/>
        </w:rPr>
        <w:t>‎</w:t>
      </w:r>
      <w:r w:rsidR="003B0135" w:rsidRPr="00780E96">
        <w:t>5.8</w:t>
      </w:r>
      <w:r w:rsidR="006F4C20" w:rsidRPr="00780E96">
        <w:fldChar w:fldCharType="end"/>
      </w:r>
      <w:r w:rsidR="23A8F363" w:rsidRPr="00780E96">
        <w:t>.</w:t>
      </w:r>
    </w:p>
    <w:p w14:paraId="3E7BC3AE" w14:textId="7752D762" w:rsidR="00590FC3" w:rsidRPr="00780E96" w:rsidRDefault="006B4D0B">
      <w:pPr>
        <w:pStyle w:val="SDMPara"/>
      </w:pPr>
      <w:r w:rsidRPr="00780E96">
        <w:t>The electricity generated or consumed shall either</w:t>
      </w:r>
      <w:r w:rsidR="00132916" w:rsidRPr="00780E96">
        <w:t xml:space="preserve"> </w:t>
      </w:r>
      <w:r w:rsidR="00E87AA3" w:rsidRPr="00780E96">
        <w:t xml:space="preserve">be </w:t>
      </w:r>
      <w:r w:rsidR="00590FC3" w:rsidRPr="00780E96">
        <w:t>directly monitored by activity participants</w:t>
      </w:r>
      <w:r w:rsidR="00E87AA3" w:rsidRPr="00780E96">
        <w:t>,</w:t>
      </w:r>
      <w:r w:rsidR="00590FC3" w:rsidRPr="00780E96">
        <w:t xml:space="preserve"> </w:t>
      </w:r>
      <w:r w:rsidR="00E87AA3" w:rsidRPr="00780E96">
        <w:t xml:space="preserve">in accordance with </w:t>
      </w:r>
      <w:r w:rsidR="00590FC3" w:rsidRPr="00780E96">
        <w:t xml:space="preserve">the provisions of section </w:t>
      </w:r>
      <w:r w:rsidR="00ED6B00" w:rsidRPr="00780E96">
        <w:fldChar w:fldCharType="begin"/>
      </w:r>
      <w:r w:rsidR="00ED6B00" w:rsidRPr="00780E96">
        <w:instrText xml:space="preserve"> REF _Ref212362896 \r \p \h </w:instrText>
      </w:r>
      <w:r w:rsidR="00780E96">
        <w:instrText xml:space="preserve"> \* MERGEFORMAT </w:instrText>
      </w:r>
      <w:r w:rsidR="00ED6B00" w:rsidRPr="00780E96">
        <w:fldChar w:fldCharType="separate"/>
      </w:r>
      <w:r w:rsidR="003B0135" w:rsidRPr="00780E96">
        <w:rPr>
          <w:cs/>
        </w:rPr>
        <w:t>‎</w:t>
      </w:r>
      <w:r w:rsidR="003B0135" w:rsidRPr="00780E96">
        <w:t>6 below</w:t>
      </w:r>
      <w:r w:rsidR="00ED6B00" w:rsidRPr="00780E96">
        <w:fldChar w:fldCharType="end"/>
      </w:r>
      <w:r w:rsidR="008351AD" w:rsidRPr="00780E96">
        <w:t>,</w:t>
      </w:r>
      <w:r w:rsidRPr="00780E96">
        <w:t xml:space="preserve"> or be determined using any of the simplified </w:t>
      </w:r>
      <w:r w:rsidR="007C6AC2" w:rsidRPr="00780E96">
        <w:t xml:space="preserve">and conservative </w:t>
      </w:r>
      <w:r w:rsidRPr="00780E96">
        <w:t>options</w:t>
      </w:r>
      <w:r w:rsidR="009D6E84" w:rsidRPr="00780E96">
        <w:t xml:space="preserve"> provided in paragraphs</w:t>
      </w:r>
      <w:r w:rsidR="008721B8" w:rsidRPr="00780E96">
        <w:t xml:space="preserve"> </w:t>
      </w:r>
      <w:r w:rsidR="009D6E84" w:rsidRPr="00780E96">
        <w:fldChar w:fldCharType="begin"/>
      </w:r>
      <w:r w:rsidR="009D6E84" w:rsidRPr="00780E96">
        <w:instrText xml:space="preserve"> REF _Ref215681692 \r \h </w:instrText>
      </w:r>
      <w:r w:rsidR="00783B04" w:rsidRPr="00780E96">
        <w:instrText xml:space="preserve"> \* MERGEFORMAT </w:instrText>
      </w:r>
      <w:r w:rsidR="009D6E84" w:rsidRPr="00780E96">
        <w:fldChar w:fldCharType="separate"/>
      </w:r>
      <w:r w:rsidR="003B0135" w:rsidRPr="00780E96">
        <w:rPr>
          <w:cs/>
        </w:rPr>
        <w:t>‎</w:t>
      </w:r>
      <w:r w:rsidR="003B0135" w:rsidRPr="00780E96">
        <w:t>41</w:t>
      </w:r>
      <w:r w:rsidR="009D6E84" w:rsidRPr="00780E96">
        <w:fldChar w:fldCharType="end"/>
      </w:r>
      <w:r w:rsidR="0023294C" w:rsidRPr="00780E96">
        <w:t xml:space="preserve"> and </w:t>
      </w:r>
      <w:r w:rsidR="005E2338" w:rsidRPr="00780E96">
        <w:fldChar w:fldCharType="begin"/>
      </w:r>
      <w:r w:rsidR="005E2338" w:rsidRPr="00780E96">
        <w:instrText xml:space="preserve"> REF _Ref215681707 \r \h </w:instrText>
      </w:r>
      <w:r w:rsidR="00783B04" w:rsidRPr="00780E96">
        <w:instrText xml:space="preserve"> \* MERGEFORMAT </w:instrText>
      </w:r>
      <w:r w:rsidR="005E2338" w:rsidRPr="00780E96">
        <w:fldChar w:fldCharType="separate"/>
      </w:r>
      <w:r w:rsidR="003B0135" w:rsidRPr="00780E96">
        <w:rPr>
          <w:cs/>
        </w:rPr>
        <w:t>‎</w:t>
      </w:r>
      <w:r w:rsidR="003B0135" w:rsidRPr="00780E96">
        <w:t>42</w:t>
      </w:r>
      <w:r w:rsidR="005E2338" w:rsidRPr="00780E96">
        <w:fldChar w:fldCharType="end"/>
      </w:r>
      <w:r w:rsidR="005E2338" w:rsidRPr="00780E96">
        <w:t>.</w:t>
      </w:r>
      <w:r w:rsidR="001F59D2" w:rsidRPr="00780E96">
        <w:t xml:space="preserve"> </w:t>
      </w:r>
      <w:r w:rsidR="7D184323" w:rsidRPr="00780E96">
        <w:t>Th</w:t>
      </w:r>
      <w:r w:rsidR="00001BD9" w:rsidRPr="00780E96">
        <w:t>es</w:t>
      </w:r>
      <w:r w:rsidR="00CD5BC9" w:rsidRPr="00780E96">
        <w:t>e</w:t>
      </w:r>
      <w:r w:rsidR="00001BD9" w:rsidRPr="00780E96">
        <w:t xml:space="preserve"> simplified</w:t>
      </w:r>
      <w:r w:rsidR="7D184323" w:rsidRPr="00780E96">
        <w:t xml:space="preserve"> </w:t>
      </w:r>
      <w:r w:rsidR="00EA548C" w:rsidRPr="00780E96">
        <w:t xml:space="preserve">and conservative options </w:t>
      </w:r>
      <w:r w:rsidR="7D184323" w:rsidRPr="00780E96">
        <w:t xml:space="preserve">may be applied to the entire monitoring period or to any specific interval during which data </w:t>
      </w:r>
      <w:r w:rsidR="00293949" w:rsidRPr="00780E96">
        <w:t xml:space="preserve">are </w:t>
      </w:r>
      <w:r w:rsidR="7D184323" w:rsidRPr="00780E96">
        <w:t>missing.</w:t>
      </w:r>
    </w:p>
    <w:p w14:paraId="2D0EC1BB" w14:textId="28277B82" w:rsidR="00590FC3" w:rsidRPr="00780E96" w:rsidRDefault="00141B90" w:rsidP="00F62D64">
      <w:pPr>
        <w:pStyle w:val="SDMPara"/>
        <w:keepNext/>
      </w:pPr>
      <w:bookmarkStart w:id="516" w:name="_Ref215681692"/>
      <w:r w:rsidRPr="00780E96">
        <w:t>Where</w:t>
      </w:r>
      <w:r w:rsidR="7AF8B9E9" w:rsidRPr="00780E96" w:rsidDel="00293949">
        <w:t xml:space="preserve"> </w:t>
      </w:r>
      <w:r w:rsidR="00293949" w:rsidRPr="00780E96">
        <w:rPr>
          <w:b/>
          <w:bCs/>
        </w:rPr>
        <w:t>c</w:t>
      </w:r>
      <w:r w:rsidR="00293949" w:rsidRPr="00780E96">
        <w:rPr>
          <w:b/>
        </w:rPr>
        <w:t>ase</w:t>
      </w:r>
      <w:r w:rsidR="00882BB1" w:rsidRPr="00780E96">
        <w:rPr>
          <w:b/>
        </w:rPr>
        <w:t> </w:t>
      </w:r>
      <w:r w:rsidR="7AF8B9E9" w:rsidRPr="00780E96">
        <w:rPr>
          <w:b/>
        </w:rPr>
        <w:t>1</w:t>
      </w:r>
      <w:r w:rsidRPr="00780E96">
        <w:t xml:space="preserve"> applies</w:t>
      </w:r>
      <w:r w:rsidR="7AF8B9E9" w:rsidRPr="00780E96">
        <w:t>,</w:t>
      </w:r>
      <w:r w:rsidR="097ED7D8" w:rsidRPr="00780E96">
        <w:t xml:space="preserve"> </w:t>
      </w:r>
      <w:r w:rsidR="750A0B54" w:rsidRPr="00780E96">
        <w:t xml:space="preserve">activity participants </w:t>
      </w:r>
      <w:r w:rsidR="2B01DDE5" w:rsidRPr="00780E96">
        <w:t>shall</w:t>
      </w:r>
      <w:r w:rsidR="3B7DCEBC" w:rsidRPr="00780E96">
        <w:t xml:space="preserve"> </w:t>
      </w:r>
      <w:r w:rsidR="7AF8B9E9" w:rsidRPr="00780E96">
        <w:t>apply</w:t>
      </w:r>
      <w:r w:rsidR="750A0B54" w:rsidRPr="00780E96">
        <w:t xml:space="preserve"> the following </w:t>
      </w:r>
      <w:r w:rsidR="00CF64A3" w:rsidRPr="00780E96">
        <w:t xml:space="preserve">simplified and </w:t>
      </w:r>
      <w:r w:rsidR="750A0B54" w:rsidRPr="00780E96">
        <w:t xml:space="preserve">conservative </w:t>
      </w:r>
      <w:r w:rsidR="00CF64A3" w:rsidRPr="00780E96">
        <w:t>options</w:t>
      </w:r>
      <w:r w:rsidR="750A0B54" w:rsidRPr="00780E96">
        <w:t>:</w:t>
      </w:r>
      <w:bookmarkEnd w:id="516"/>
    </w:p>
    <w:p w14:paraId="2A2ADC68" w14:textId="793CE399" w:rsidR="00590FC3" w:rsidRPr="00780E96" w:rsidRDefault="005027C6" w:rsidP="00F62D64">
      <w:pPr>
        <w:pStyle w:val="SDMSubPara1"/>
        <w:keepNext/>
      </w:pPr>
      <w:r w:rsidRPr="00780E96">
        <w:t>For e</w:t>
      </w:r>
      <w:r w:rsidR="00590FC3" w:rsidRPr="00780E96">
        <w:t>lectricity generat</w:t>
      </w:r>
      <w:r w:rsidR="001A713B" w:rsidRPr="00780E96">
        <w:t>ion</w:t>
      </w:r>
      <w:r w:rsidR="00590FC3" w:rsidRPr="00780E96">
        <w:t>:</w:t>
      </w:r>
    </w:p>
    <w:p w14:paraId="49564178" w14:textId="2FF45700" w:rsidR="00590FC3" w:rsidRPr="00780E96" w:rsidRDefault="00590FC3" w:rsidP="00973925">
      <w:pPr>
        <w:pStyle w:val="SDMSubPara2"/>
      </w:pPr>
      <w:r w:rsidRPr="00780E96">
        <w:t>Identify the</w:t>
      </w:r>
      <w:r w:rsidR="00C66F9E" w:rsidRPr="00780E96">
        <w:t xml:space="preserve"> </w:t>
      </w:r>
      <w:r w:rsidRPr="00780E96">
        <w:t xml:space="preserve">nominal capacity </w:t>
      </w:r>
      <w:r w:rsidR="00FB717C" w:rsidRPr="00780E96">
        <w:t xml:space="preserve">(in MW) </w:t>
      </w:r>
      <w:r w:rsidRPr="00780E96">
        <w:t xml:space="preserve">of the </w:t>
      </w:r>
      <w:r w:rsidR="005027C6" w:rsidRPr="00780E96">
        <w:t xml:space="preserve">respective </w:t>
      </w:r>
      <w:r w:rsidRPr="00780E96">
        <w:t>power plant</w:t>
      </w:r>
      <w:r w:rsidR="00E10A96" w:rsidRPr="00780E96">
        <w:t>/unit</w:t>
      </w:r>
      <w:r w:rsidRPr="00780E96">
        <w:t>;</w:t>
      </w:r>
    </w:p>
    <w:p w14:paraId="0D1A8192" w14:textId="3AE0ECF6" w:rsidR="00590FC3" w:rsidRPr="00780E96" w:rsidRDefault="00066EFC" w:rsidP="00A704C1">
      <w:pPr>
        <w:pStyle w:val="SDMSubPara2"/>
      </w:pPr>
      <w:r w:rsidRPr="00780E96">
        <w:t xml:space="preserve">Multiply the </w:t>
      </w:r>
      <w:r w:rsidR="006A5EE7" w:rsidRPr="00780E96">
        <w:t xml:space="preserve">nominal </w:t>
      </w:r>
      <w:r w:rsidR="2432E7FB" w:rsidRPr="00780E96">
        <w:t>capacity</w:t>
      </w:r>
      <w:r w:rsidRPr="00780E96">
        <w:t xml:space="preserve"> by the actual operating hour</w:t>
      </w:r>
      <w:r w:rsidR="00715EE1" w:rsidRPr="00780E96">
        <w:t>s</w:t>
      </w:r>
      <w:r w:rsidRPr="00780E96">
        <w:t xml:space="preserve"> of the power plant or </w:t>
      </w:r>
      <w:r w:rsidR="005F04FB" w:rsidRPr="00780E96">
        <w:t xml:space="preserve">by </w:t>
      </w:r>
      <w:r w:rsidRPr="00780E96">
        <w:t>8</w:t>
      </w:r>
      <w:r w:rsidR="00F62D64" w:rsidRPr="00780E96">
        <w:t>,</w:t>
      </w:r>
      <w:r w:rsidRPr="00780E96">
        <w:t>760 hours/year</w:t>
      </w:r>
      <w:r w:rsidR="0080383A" w:rsidRPr="00780E96" w:rsidDel="00C2006A">
        <w:t>.</w:t>
      </w:r>
    </w:p>
    <w:p w14:paraId="4CE983DF" w14:textId="30B8FA1B" w:rsidR="00590FC3" w:rsidRPr="00780E96" w:rsidRDefault="00377A5B" w:rsidP="00F62D64">
      <w:pPr>
        <w:pStyle w:val="SDMSubPara1"/>
        <w:keepNext/>
      </w:pPr>
      <w:r w:rsidRPr="00780E96">
        <w:t>For e</w:t>
      </w:r>
      <w:r w:rsidR="00590FC3" w:rsidRPr="00780E96">
        <w:t>lectricity consum</w:t>
      </w:r>
      <w:r w:rsidR="0043422F" w:rsidRPr="00780E96">
        <w:t>ption</w:t>
      </w:r>
      <w:r w:rsidR="00590FC3" w:rsidRPr="00780E96">
        <w:t>:</w:t>
      </w:r>
    </w:p>
    <w:p w14:paraId="3574E6F1" w14:textId="22EB76D8" w:rsidR="00590FC3" w:rsidRPr="00780E96" w:rsidRDefault="00590FC3" w:rsidP="00A704C1">
      <w:pPr>
        <w:pStyle w:val="SDMSubPara2"/>
      </w:pPr>
      <w:r w:rsidRPr="00780E96">
        <w:t>Identify the</w:t>
      </w:r>
      <w:r w:rsidR="0080383A" w:rsidRPr="00780E96">
        <w:t xml:space="preserve"> rated power</w:t>
      </w:r>
      <w:r w:rsidR="00DD40D2" w:rsidRPr="00780E96">
        <w:t xml:space="preserve"> or </w:t>
      </w:r>
      <w:r w:rsidR="00377A5B" w:rsidRPr="00780E96">
        <w:t>capacity</w:t>
      </w:r>
      <w:r w:rsidR="0080383A" w:rsidRPr="00780E96">
        <w:t xml:space="preserve"> of</w:t>
      </w:r>
      <w:r w:rsidRPr="00780E96" w:rsidDel="0080383A">
        <w:t xml:space="preserve"> </w:t>
      </w:r>
      <w:r w:rsidR="00DD40D2" w:rsidRPr="00780E96">
        <w:t xml:space="preserve">the </w:t>
      </w:r>
      <w:r w:rsidRPr="00780E96">
        <w:t xml:space="preserve">electricity consumption </w:t>
      </w:r>
      <w:r w:rsidR="00F81473" w:rsidRPr="00780E96">
        <w:t>source </w:t>
      </w:r>
      <w:r w:rsidR="00F81473" w:rsidRPr="00780E96">
        <w:rPr>
          <w:i/>
          <w:iCs/>
        </w:rPr>
        <w:t>s</w:t>
      </w:r>
      <w:r w:rsidRPr="00780E96">
        <w:t>;</w:t>
      </w:r>
      <w:r w:rsidR="002F7B1A" w:rsidRPr="00780E96">
        <w:t xml:space="preserve"> and</w:t>
      </w:r>
    </w:p>
    <w:p w14:paraId="60CC78BA" w14:textId="39C1CE53" w:rsidR="00590FC3" w:rsidRPr="00780E96" w:rsidRDefault="7172CE34" w:rsidP="00A704C1">
      <w:pPr>
        <w:pStyle w:val="SDMSubPara2"/>
      </w:pPr>
      <w:r w:rsidRPr="00780E96">
        <w:t xml:space="preserve">Determine the electricity consumed by the </w:t>
      </w:r>
      <w:r w:rsidR="731B4A34" w:rsidRPr="00780E96">
        <w:t xml:space="preserve">electricity consumption </w:t>
      </w:r>
      <w:r w:rsidR="4F3EDC12" w:rsidRPr="00780E96">
        <w:t>source </w:t>
      </w:r>
      <w:r w:rsidR="4F3EDC12" w:rsidRPr="00780E96">
        <w:rPr>
          <w:i/>
          <w:iCs/>
        </w:rPr>
        <w:t>s</w:t>
      </w:r>
      <w:r w:rsidR="4F3EDC12" w:rsidRPr="00780E96">
        <w:t xml:space="preserve"> </w:t>
      </w:r>
      <w:r w:rsidRPr="00780E96">
        <w:t xml:space="preserve">as the product </w:t>
      </w:r>
      <w:r w:rsidR="199FD201" w:rsidRPr="00780E96">
        <w:t xml:space="preserve">of </w:t>
      </w:r>
      <w:r w:rsidRPr="00780E96">
        <w:t xml:space="preserve">(i) the </w:t>
      </w:r>
      <w:r w:rsidR="5DE8F00E" w:rsidRPr="00780E96">
        <w:t xml:space="preserve">rated power </w:t>
      </w:r>
      <w:r w:rsidR="731B4A34" w:rsidRPr="00780E96">
        <w:t xml:space="preserve">or capacity </w:t>
      </w:r>
      <w:r w:rsidR="5DE8F00E" w:rsidRPr="00780E96">
        <w:t>of</w:t>
      </w:r>
      <w:r w:rsidRPr="00780E96">
        <w:t xml:space="preserve"> </w:t>
      </w:r>
      <w:r w:rsidR="731B4A34" w:rsidRPr="00780E96">
        <w:t xml:space="preserve">the </w:t>
      </w:r>
      <w:r w:rsidRPr="00780E96">
        <w:t xml:space="preserve">electricity consumption </w:t>
      </w:r>
      <w:r w:rsidR="4F3EDC12" w:rsidRPr="00780E96">
        <w:t>source</w:t>
      </w:r>
      <w:r w:rsidR="132181A2" w:rsidRPr="00780E96">
        <w:t> </w:t>
      </w:r>
      <w:r w:rsidR="7EE0A0CC" w:rsidRPr="00780E96">
        <w:rPr>
          <w:i/>
          <w:iCs/>
        </w:rPr>
        <w:t>s</w:t>
      </w:r>
      <w:r w:rsidR="7EE0A0CC" w:rsidRPr="00780E96">
        <w:t xml:space="preserve"> </w:t>
      </w:r>
      <w:r w:rsidR="731B4A34" w:rsidRPr="00780E96">
        <w:t>and</w:t>
      </w:r>
      <w:r w:rsidRPr="00780E96">
        <w:t xml:space="preserve"> (ii) </w:t>
      </w:r>
      <w:r w:rsidR="731B4A34" w:rsidRPr="00780E96">
        <w:t xml:space="preserve">the </w:t>
      </w:r>
      <w:r w:rsidR="5DE8F00E" w:rsidRPr="00780E96">
        <w:t>actual operating hour</w:t>
      </w:r>
      <w:r w:rsidR="731B4A34" w:rsidRPr="00780E96">
        <w:t>s</w:t>
      </w:r>
      <w:r w:rsidR="5DE8F00E" w:rsidRPr="00780E96">
        <w:t xml:space="preserve"> of the </w:t>
      </w:r>
      <w:r w:rsidR="13EE5691" w:rsidRPr="00780E96">
        <w:t>electricity generation or consumption source </w:t>
      </w:r>
      <w:r w:rsidR="13EE5691" w:rsidRPr="00780E96">
        <w:rPr>
          <w:i/>
          <w:iCs/>
        </w:rPr>
        <w:t>s</w:t>
      </w:r>
      <w:r w:rsidR="13EE5691" w:rsidRPr="00780E96">
        <w:t xml:space="preserve"> </w:t>
      </w:r>
      <w:r w:rsidR="5DE8F00E" w:rsidRPr="00780E96">
        <w:t>or 8</w:t>
      </w:r>
      <w:r w:rsidR="00F62D64" w:rsidRPr="00780E96">
        <w:t>,</w:t>
      </w:r>
      <w:r w:rsidR="5DE8F00E" w:rsidRPr="00780E96">
        <w:t>760 hours</w:t>
      </w:r>
      <w:r w:rsidR="0DF724F5" w:rsidRPr="00780E96">
        <w:t xml:space="preserve"> per </w:t>
      </w:r>
      <w:r w:rsidR="5DE8F00E" w:rsidRPr="00780E96">
        <w:t>year</w:t>
      </w:r>
      <w:r w:rsidR="43190592" w:rsidRPr="00780E96">
        <w:t>.</w:t>
      </w:r>
    </w:p>
    <w:p w14:paraId="1F4054DC" w14:textId="1CF65E67" w:rsidR="505598CC" w:rsidRPr="00780E96" w:rsidRDefault="007D435A">
      <w:pPr>
        <w:pStyle w:val="SDMPara"/>
      </w:pPr>
      <w:bookmarkStart w:id="517" w:name="_Ref215681707"/>
      <w:r w:rsidRPr="00780E96">
        <w:t>Where</w:t>
      </w:r>
      <w:r w:rsidR="505598CC" w:rsidRPr="00780E96" w:rsidDel="002F7B1A">
        <w:t xml:space="preserve"> </w:t>
      </w:r>
      <w:r w:rsidR="002F7B1A" w:rsidRPr="00780E96">
        <w:rPr>
          <w:b/>
          <w:bCs/>
        </w:rPr>
        <w:t>case</w:t>
      </w:r>
      <w:r w:rsidR="00126F8A" w:rsidRPr="00780E96">
        <w:rPr>
          <w:b/>
          <w:bCs/>
        </w:rPr>
        <w:t> </w:t>
      </w:r>
      <w:r w:rsidR="505598CC" w:rsidRPr="00780E96">
        <w:rPr>
          <w:b/>
          <w:bCs/>
        </w:rPr>
        <w:t>2</w:t>
      </w:r>
      <w:r w:rsidRPr="00780E96">
        <w:t xml:space="preserve"> applies</w:t>
      </w:r>
      <w:r w:rsidR="505598CC" w:rsidRPr="00780E96">
        <w:t xml:space="preserve">, </w:t>
      </w:r>
      <w:r w:rsidRPr="00780E96">
        <w:t xml:space="preserve">activity participants </w:t>
      </w:r>
      <w:r w:rsidR="4CAF6FFA" w:rsidRPr="00780E96">
        <w:t>shall</w:t>
      </w:r>
      <w:r w:rsidR="00437EFB" w:rsidRPr="00780E96">
        <w:t xml:space="preserve">, as a simplified </w:t>
      </w:r>
      <w:r w:rsidR="005E39F4" w:rsidRPr="00780E96">
        <w:t>a</w:t>
      </w:r>
      <w:r w:rsidR="00437EFB" w:rsidRPr="00780E96">
        <w:t>nd</w:t>
      </w:r>
      <w:r w:rsidR="505598CC" w:rsidRPr="00780E96">
        <w:t xml:space="preserve"> conservative </w:t>
      </w:r>
      <w:r w:rsidR="00437EFB" w:rsidRPr="00780E96">
        <w:t xml:space="preserve">approach, apply a </w:t>
      </w:r>
      <w:r w:rsidR="505598CC" w:rsidRPr="00780E96">
        <w:t xml:space="preserve">value </w:t>
      </w:r>
      <w:r w:rsidR="00184C30" w:rsidRPr="00780E96">
        <w:rPr>
          <w:rFonts w:hint="eastAsia"/>
          <w:lang w:eastAsia="ja-JP"/>
        </w:rPr>
        <w:t xml:space="preserve">of </w:t>
      </w:r>
      <w:r w:rsidR="505598CC" w:rsidRPr="00780E96">
        <w:t>zero</w:t>
      </w:r>
      <w:r w:rsidR="00B25B9E" w:rsidRPr="00780E96">
        <w:t xml:space="preserve"> to the electricity generation or consumption</w:t>
      </w:r>
      <w:r w:rsidR="001645B7" w:rsidRPr="00780E96">
        <w:t xml:space="preserve"> of the respective </w:t>
      </w:r>
      <w:r w:rsidR="003D7BB4" w:rsidRPr="00780E96">
        <w:t>source </w:t>
      </w:r>
      <w:r w:rsidR="003D7BB4" w:rsidRPr="00780E96">
        <w:rPr>
          <w:i/>
          <w:iCs/>
        </w:rPr>
        <w:t>s</w:t>
      </w:r>
      <w:r w:rsidR="505598CC" w:rsidRPr="00780E96">
        <w:t>.</w:t>
      </w:r>
      <w:bookmarkEnd w:id="517"/>
    </w:p>
    <w:p w14:paraId="020434DF" w14:textId="072123A1" w:rsidR="00FF70B5" w:rsidRPr="00780E96" w:rsidRDefault="00873347">
      <w:pPr>
        <w:pStyle w:val="SDMHead2"/>
      </w:pPr>
      <w:bookmarkStart w:id="518" w:name="_Ref212234563"/>
      <w:bookmarkStart w:id="519" w:name="_Toc212389908"/>
      <w:bookmarkStart w:id="520" w:name="_Toc215208604"/>
      <w:bookmarkStart w:id="521" w:name="_Toc215216123"/>
      <w:bookmarkStart w:id="522" w:name="_Toc215222859"/>
      <w:bookmarkStart w:id="523" w:name="_Toc215223047"/>
      <w:bookmarkStart w:id="524" w:name="_Toc215223269"/>
      <w:bookmarkStart w:id="525" w:name="_Toc215574890"/>
      <w:bookmarkStart w:id="526" w:name="_Toc215923328"/>
      <w:bookmarkStart w:id="527" w:name="_Toc216093024"/>
      <w:bookmarkStart w:id="528" w:name="_Toc216271753"/>
      <w:bookmarkStart w:id="529" w:name="_Toc216279370"/>
      <w:bookmarkStart w:id="530" w:name="_Toc216283408"/>
      <w:bookmarkStart w:id="531" w:name="_Toc216288026"/>
      <w:bookmarkStart w:id="532" w:name="_Toc219666133"/>
      <w:bookmarkStart w:id="533" w:name="_Toc220001393"/>
      <w:bookmarkStart w:id="534" w:name="_Toc221096417"/>
      <w:bookmarkStart w:id="535" w:name="_Toc221097969"/>
      <w:bookmarkStart w:id="536" w:name="_Toc221116265"/>
      <w:bookmarkStart w:id="537" w:name="_Toc221117281"/>
      <w:bookmarkStart w:id="538" w:name="_Toc222132119"/>
      <w:bookmarkStart w:id="539" w:name="_Toc222494920"/>
      <w:bookmarkStart w:id="540" w:name="_Toc222512436"/>
      <w:bookmarkStart w:id="541" w:name="_Toc222741756"/>
      <w:bookmarkStart w:id="542" w:name="_Toc234853837"/>
      <w:bookmarkStart w:id="543" w:name="_Toc235002275"/>
      <w:bookmarkStart w:id="544" w:name="_Toc235003434"/>
      <w:bookmarkStart w:id="545" w:name="_Toc236154231"/>
      <w:bookmarkStart w:id="546" w:name="_Toc236216608"/>
      <w:bookmarkStart w:id="547" w:name="_Toc240545096"/>
      <w:bookmarkStart w:id="548" w:name="_Toc240545312"/>
      <w:bookmarkStart w:id="549" w:name="_Toc240576894"/>
      <w:r w:rsidRPr="00780E96">
        <w:t>Step</w:t>
      </w:r>
      <w:r w:rsidR="00071748" w:rsidRPr="00780E96">
        <w:t> </w:t>
      </w:r>
      <w:r w:rsidRPr="00780E96">
        <w:t xml:space="preserve">6. </w:t>
      </w:r>
      <w:r w:rsidR="003311E7" w:rsidRPr="00780E96">
        <w:t>Determine which emission factor is applicable</w:t>
      </w:r>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p>
    <w:p w14:paraId="766D0448" w14:textId="37C8E5EF" w:rsidR="00D9679E" w:rsidRPr="00780E96" w:rsidRDefault="00D9679E">
      <w:pPr>
        <w:pStyle w:val="SDMPara"/>
      </w:pPr>
      <w:bookmarkStart w:id="550" w:name="_Ref220669597"/>
      <w:r w:rsidRPr="00780E96">
        <w:t xml:space="preserve">The determination of the emission factor for an electricity generation or consumption </w:t>
      </w:r>
      <w:r w:rsidR="002E5D63" w:rsidRPr="00780E96">
        <w:t>source </w:t>
      </w:r>
      <w:r w:rsidR="002E5D63" w:rsidRPr="00780E96">
        <w:rPr>
          <w:i/>
          <w:iCs/>
        </w:rPr>
        <w:t>s</w:t>
      </w:r>
      <w:r w:rsidR="002E5D63" w:rsidRPr="00780E96">
        <w:t xml:space="preserve"> </w:t>
      </w:r>
      <w:r w:rsidRPr="00780E96">
        <w:t xml:space="preserve">depends on </w:t>
      </w:r>
      <w:r w:rsidR="00BC7312" w:rsidRPr="00780E96">
        <w:t xml:space="preserve">which of </w:t>
      </w:r>
      <w:r w:rsidRPr="00780E96">
        <w:t xml:space="preserve">the </w:t>
      </w:r>
      <w:r w:rsidR="00E76C72" w:rsidRPr="00780E96">
        <w:rPr>
          <w:rFonts w:hint="eastAsia"/>
          <w:lang w:eastAsia="ja-JP"/>
        </w:rPr>
        <w:t xml:space="preserve">three </w:t>
      </w:r>
      <w:r w:rsidR="00D27A88" w:rsidRPr="00780E96">
        <w:rPr>
          <w:b/>
          <w:bCs/>
        </w:rPr>
        <w:t>scenarios</w:t>
      </w:r>
      <w:r w:rsidR="00D27A88" w:rsidRPr="00780E96">
        <w:t xml:space="preserve"> </w:t>
      </w:r>
      <w:r w:rsidR="00BC7312" w:rsidRPr="00780E96">
        <w:t>(</w:t>
      </w:r>
      <w:r w:rsidR="00BC7312" w:rsidRPr="00780E96">
        <w:rPr>
          <w:b/>
          <w:bCs/>
        </w:rPr>
        <w:t>A</w:t>
      </w:r>
      <w:r w:rsidR="00BC7312" w:rsidRPr="00780E96">
        <w:t xml:space="preserve">, </w:t>
      </w:r>
      <w:r w:rsidR="00BC7312" w:rsidRPr="00780E96">
        <w:rPr>
          <w:b/>
          <w:bCs/>
        </w:rPr>
        <w:t>B</w:t>
      </w:r>
      <w:r w:rsidR="00D27A88" w:rsidRPr="00780E96">
        <w:t>,</w:t>
      </w:r>
      <w:r w:rsidR="00BC7312" w:rsidRPr="00780E96">
        <w:t xml:space="preserve"> or </w:t>
      </w:r>
      <w:r w:rsidR="00BC7312" w:rsidRPr="00780E96">
        <w:rPr>
          <w:b/>
          <w:bCs/>
        </w:rPr>
        <w:t>C</w:t>
      </w:r>
      <w:r w:rsidR="00BC7312" w:rsidRPr="00780E96">
        <w:t>) and which of the two</w:t>
      </w:r>
      <w:r w:rsidRPr="00780E96">
        <w:t xml:space="preserve"> </w:t>
      </w:r>
      <w:r w:rsidR="00D27A88" w:rsidRPr="00780E96">
        <w:rPr>
          <w:lang w:eastAsia="ja-JP"/>
        </w:rPr>
        <w:t>c</w:t>
      </w:r>
      <w:r w:rsidR="00D27A88" w:rsidRPr="00780E96">
        <w:t xml:space="preserve">ases </w:t>
      </w:r>
      <w:r w:rsidR="007B70AB" w:rsidRPr="00780E96">
        <w:t>(</w:t>
      </w:r>
      <w:r w:rsidR="00D27A88" w:rsidRPr="00780E96">
        <w:rPr>
          <w:b/>
          <w:bCs/>
        </w:rPr>
        <w:t>case</w:t>
      </w:r>
      <w:r w:rsidR="00126F8A" w:rsidRPr="00780E96">
        <w:rPr>
          <w:b/>
          <w:bCs/>
        </w:rPr>
        <w:t> </w:t>
      </w:r>
      <w:r w:rsidR="007B70AB" w:rsidRPr="00780E96">
        <w:rPr>
          <w:b/>
          <w:bCs/>
        </w:rPr>
        <w:t>1</w:t>
      </w:r>
      <w:r w:rsidR="007B70AB" w:rsidRPr="00780E96">
        <w:t xml:space="preserve"> or </w:t>
      </w:r>
      <w:r w:rsidR="00D27A88" w:rsidRPr="00780E96">
        <w:rPr>
          <w:b/>
          <w:bCs/>
        </w:rPr>
        <w:t>case</w:t>
      </w:r>
      <w:r w:rsidR="00126F8A" w:rsidRPr="00780E96">
        <w:rPr>
          <w:b/>
          <w:bCs/>
        </w:rPr>
        <w:t> </w:t>
      </w:r>
      <w:r w:rsidR="007B70AB" w:rsidRPr="00780E96">
        <w:rPr>
          <w:b/>
          <w:bCs/>
        </w:rPr>
        <w:t>2</w:t>
      </w:r>
      <w:r w:rsidR="007B70AB" w:rsidRPr="00780E96">
        <w:t>)</w:t>
      </w:r>
      <w:r w:rsidR="00AC4269" w:rsidRPr="00780E96" w:rsidDel="000816C7">
        <w:t xml:space="preserve"> </w:t>
      </w:r>
      <w:r w:rsidRPr="00780E96">
        <w:t>appl</w:t>
      </w:r>
      <w:r w:rsidR="007B70AB" w:rsidRPr="00780E96">
        <w:t xml:space="preserve">y </w:t>
      </w:r>
      <w:r w:rsidR="004B235B" w:rsidRPr="00780E96">
        <w:t xml:space="preserve">to </w:t>
      </w:r>
      <w:r w:rsidR="007B70AB" w:rsidRPr="00780E96">
        <w:t xml:space="preserve">that </w:t>
      </w:r>
      <w:r w:rsidR="00605200" w:rsidRPr="00780E96">
        <w:t>source</w:t>
      </w:r>
      <w:r w:rsidR="00AC4269" w:rsidRPr="00780E96">
        <w:t>.</w:t>
      </w:r>
      <w:bookmarkEnd w:id="550"/>
    </w:p>
    <w:p w14:paraId="4F4A43FB" w14:textId="401DCE07" w:rsidR="00FF70B5" w:rsidRPr="00780E96" w:rsidRDefault="00C34F2F">
      <w:pPr>
        <w:pStyle w:val="SDMPara"/>
      </w:pPr>
      <w:r w:rsidRPr="00780E96">
        <w:t>Where</w:t>
      </w:r>
      <w:r w:rsidR="00786CC7" w:rsidRPr="00780E96" w:rsidDel="004B235B">
        <w:t xml:space="preserve"> </w:t>
      </w:r>
      <w:r w:rsidR="004B235B" w:rsidRPr="00780E96">
        <w:rPr>
          <w:b/>
          <w:bCs/>
        </w:rPr>
        <w:t>scenario</w:t>
      </w:r>
      <w:r w:rsidR="00126F8A" w:rsidRPr="00780E96">
        <w:rPr>
          <w:b/>
          <w:bCs/>
        </w:rPr>
        <w:t> </w:t>
      </w:r>
      <w:r w:rsidR="00786CC7" w:rsidRPr="00780E96">
        <w:rPr>
          <w:b/>
          <w:bCs/>
        </w:rPr>
        <w:t>A</w:t>
      </w:r>
      <w:r w:rsidRPr="00780E96">
        <w:t xml:space="preserve"> applies</w:t>
      </w:r>
      <w:r w:rsidR="00786CC7" w:rsidRPr="00780E96">
        <w:t xml:space="preserve">, the emission factor shall be determined as the emission factor of the </w:t>
      </w:r>
      <w:r w:rsidR="00A408BB" w:rsidRPr="00780E96">
        <w:t>electric</w:t>
      </w:r>
      <w:r w:rsidR="00621FC7" w:rsidRPr="00780E96">
        <w:t>ity</w:t>
      </w:r>
      <w:r w:rsidR="00A408BB" w:rsidRPr="00780E96">
        <w:t xml:space="preserve"> system </w:t>
      </w:r>
      <w:r w:rsidR="00786CC7" w:rsidRPr="00780E96">
        <w:t xml:space="preserve">to which the </w:t>
      </w:r>
      <w:r w:rsidR="00E914B3" w:rsidRPr="00780E96">
        <w:t xml:space="preserve">Article 6.4 </w:t>
      </w:r>
      <w:r w:rsidR="00EA28D4" w:rsidRPr="00780E96">
        <w:t xml:space="preserve">project or CP </w:t>
      </w:r>
      <w:r w:rsidR="00786CC7" w:rsidRPr="00780E96">
        <w:t xml:space="preserve">is connected, </w:t>
      </w:r>
      <w:r w:rsidR="4D31C084" w:rsidRPr="00780E96">
        <w:t xml:space="preserve">under </w:t>
      </w:r>
      <w:r w:rsidR="00514ECD" w:rsidRPr="00780E96">
        <w:rPr>
          <w:b/>
          <w:bCs/>
        </w:rPr>
        <w:t>case</w:t>
      </w:r>
      <w:r w:rsidR="00FD77F5" w:rsidRPr="00780E96">
        <w:rPr>
          <w:b/>
          <w:bCs/>
        </w:rPr>
        <w:t> </w:t>
      </w:r>
      <w:r w:rsidR="4D31C084" w:rsidRPr="00780E96">
        <w:rPr>
          <w:b/>
          <w:bCs/>
        </w:rPr>
        <w:t>1</w:t>
      </w:r>
      <w:r w:rsidR="4D31C084" w:rsidRPr="00780E96">
        <w:t xml:space="preserve"> and</w:t>
      </w:r>
      <w:r w:rsidR="4D31C084" w:rsidRPr="00780E96" w:rsidDel="00514ECD">
        <w:t xml:space="preserve"> </w:t>
      </w:r>
      <w:r w:rsidR="00514ECD" w:rsidRPr="00780E96">
        <w:rPr>
          <w:b/>
          <w:bCs/>
        </w:rPr>
        <w:t>case</w:t>
      </w:r>
      <w:r w:rsidR="00FD77F5" w:rsidRPr="00780E96">
        <w:rPr>
          <w:b/>
          <w:bCs/>
        </w:rPr>
        <w:t> </w:t>
      </w:r>
      <w:r w:rsidR="4D31C084" w:rsidRPr="00780E96">
        <w:rPr>
          <w:b/>
          <w:bCs/>
        </w:rPr>
        <w:t>2</w:t>
      </w:r>
      <w:r w:rsidR="00514ECD" w:rsidRPr="00780E96">
        <w:t>,</w:t>
      </w:r>
      <w:r w:rsidR="4D31C084" w:rsidRPr="00780E96">
        <w:t xml:space="preserve"> respectively, </w:t>
      </w:r>
      <w:r w:rsidR="00786CC7" w:rsidRPr="00780E96">
        <w:t xml:space="preserve">applying the </w:t>
      </w:r>
      <w:r w:rsidR="00125A1B" w:rsidRPr="00780E96">
        <w:t>procedure set out in section</w:t>
      </w:r>
      <w:r w:rsidR="00126F8A" w:rsidRPr="00780E96">
        <w:t> </w:t>
      </w:r>
      <w:r w:rsidR="00E766B9" w:rsidRPr="00780E96">
        <w:fldChar w:fldCharType="begin"/>
      </w:r>
      <w:r w:rsidR="00E766B9" w:rsidRPr="00780E96">
        <w:instrText xml:space="preserve"> REF _Ref215680223 \w \h </w:instrText>
      </w:r>
      <w:r w:rsidR="00780E96">
        <w:instrText xml:space="preserve"> \* MERGEFORMAT </w:instrText>
      </w:r>
      <w:r w:rsidR="00E766B9" w:rsidRPr="00780E96">
        <w:fldChar w:fldCharType="separate"/>
      </w:r>
      <w:r w:rsidR="003B0135" w:rsidRPr="00780E96">
        <w:rPr>
          <w:cs/>
        </w:rPr>
        <w:t>‎</w:t>
      </w:r>
      <w:r w:rsidR="003B0135" w:rsidRPr="00780E96">
        <w:t>5.7</w:t>
      </w:r>
      <w:r w:rsidR="00E766B9" w:rsidRPr="00780E96">
        <w:fldChar w:fldCharType="end"/>
      </w:r>
      <w:r w:rsidR="00F93AAC" w:rsidRPr="00780E96">
        <w:t>.</w:t>
      </w:r>
    </w:p>
    <w:p w14:paraId="6F1ECE78" w14:textId="5275AD19" w:rsidR="004F5170" w:rsidRPr="00780E96" w:rsidRDefault="00C34F2F">
      <w:pPr>
        <w:pStyle w:val="SDMPara"/>
      </w:pPr>
      <w:r w:rsidRPr="00780E96">
        <w:t>Where</w:t>
      </w:r>
      <w:r w:rsidR="004F5170" w:rsidRPr="00780E96" w:rsidDel="00514ECD">
        <w:t xml:space="preserve"> </w:t>
      </w:r>
      <w:r w:rsidR="00514ECD" w:rsidRPr="00780E96">
        <w:rPr>
          <w:b/>
          <w:bCs/>
        </w:rPr>
        <w:t>scenario</w:t>
      </w:r>
      <w:r w:rsidR="00126F8A" w:rsidRPr="00780E96">
        <w:rPr>
          <w:b/>
          <w:bCs/>
        </w:rPr>
        <w:t> </w:t>
      </w:r>
      <w:r w:rsidR="004F5170" w:rsidRPr="00780E96">
        <w:rPr>
          <w:b/>
          <w:bCs/>
        </w:rPr>
        <w:t>B</w:t>
      </w:r>
      <w:r w:rsidRPr="00780E96">
        <w:t xml:space="preserve"> applies</w:t>
      </w:r>
      <w:r w:rsidR="004F5170" w:rsidRPr="00780E96">
        <w:t xml:space="preserve">, the emission factor shall be determined as the emission factor of </w:t>
      </w:r>
      <w:r w:rsidR="520C0141" w:rsidRPr="00780E96">
        <w:t>the</w:t>
      </w:r>
      <w:r w:rsidR="18D184B5" w:rsidRPr="00780E96">
        <w:t xml:space="preserve"> </w:t>
      </w:r>
      <w:r w:rsidR="00650F9D" w:rsidRPr="00780E96">
        <w:t>fossil</w:t>
      </w:r>
      <w:r w:rsidR="00B60A81" w:rsidRPr="00780E96">
        <w:t xml:space="preserve"> </w:t>
      </w:r>
      <w:r w:rsidR="00650F9D" w:rsidRPr="00780E96">
        <w:t xml:space="preserve">fuel fired </w:t>
      </w:r>
      <w:r w:rsidR="004F5170" w:rsidRPr="00780E96">
        <w:t>captive power plant</w:t>
      </w:r>
      <w:r w:rsidR="00650F9D" w:rsidRPr="00780E96">
        <w:t>(s)</w:t>
      </w:r>
      <w:r w:rsidR="435875D6" w:rsidRPr="00780E96">
        <w:t xml:space="preserve">, under </w:t>
      </w:r>
      <w:r w:rsidR="00514ECD" w:rsidRPr="00780E96">
        <w:rPr>
          <w:b/>
          <w:bCs/>
        </w:rPr>
        <w:t>case</w:t>
      </w:r>
      <w:r w:rsidR="00126F8A" w:rsidRPr="00780E96">
        <w:rPr>
          <w:b/>
          <w:bCs/>
        </w:rPr>
        <w:t> </w:t>
      </w:r>
      <w:r w:rsidR="435875D6" w:rsidRPr="00780E96">
        <w:rPr>
          <w:b/>
          <w:bCs/>
        </w:rPr>
        <w:t>1</w:t>
      </w:r>
      <w:r w:rsidR="435875D6" w:rsidRPr="00780E96">
        <w:t xml:space="preserve"> and </w:t>
      </w:r>
      <w:r w:rsidR="00514ECD" w:rsidRPr="00780E96">
        <w:rPr>
          <w:b/>
          <w:bCs/>
        </w:rPr>
        <w:t>case</w:t>
      </w:r>
      <w:r w:rsidR="00126F8A" w:rsidRPr="00780E96">
        <w:rPr>
          <w:b/>
          <w:bCs/>
        </w:rPr>
        <w:t> </w:t>
      </w:r>
      <w:r w:rsidR="435875D6" w:rsidRPr="00780E96">
        <w:rPr>
          <w:b/>
          <w:bCs/>
        </w:rPr>
        <w:t>2</w:t>
      </w:r>
      <w:r w:rsidR="00426C6E" w:rsidRPr="00780E96">
        <w:t>,</w:t>
      </w:r>
      <w:r w:rsidR="435875D6" w:rsidRPr="00780E96">
        <w:t xml:space="preserve"> respectively</w:t>
      </w:r>
      <w:r w:rsidR="004F5170" w:rsidRPr="00780E96">
        <w:t xml:space="preserve">, applying the </w:t>
      </w:r>
      <w:r w:rsidR="00A06FB5" w:rsidRPr="00780E96">
        <w:t xml:space="preserve">procedure set out </w:t>
      </w:r>
      <w:r w:rsidR="004F5170" w:rsidRPr="00780E96">
        <w:t>in</w:t>
      </w:r>
      <w:r w:rsidR="00A06FB5" w:rsidRPr="00780E96">
        <w:t xml:space="preserve"> section</w:t>
      </w:r>
      <w:r w:rsidR="00FC67B1" w:rsidRPr="00780E96">
        <w:t xml:space="preserve"> </w:t>
      </w:r>
      <w:r w:rsidR="005D2CE8" w:rsidRPr="00780E96">
        <w:fldChar w:fldCharType="begin"/>
      </w:r>
      <w:r w:rsidR="005D2CE8" w:rsidRPr="00780E96">
        <w:instrText xml:space="preserve"> REF _Ref215680292 \w \h </w:instrText>
      </w:r>
      <w:r w:rsidR="00780E96">
        <w:instrText xml:space="preserve"> \* MERGEFORMAT </w:instrText>
      </w:r>
      <w:r w:rsidR="005D2CE8" w:rsidRPr="00780E96">
        <w:fldChar w:fldCharType="separate"/>
      </w:r>
      <w:r w:rsidR="003B0135" w:rsidRPr="00780E96">
        <w:rPr>
          <w:cs/>
        </w:rPr>
        <w:t>‎</w:t>
      </w:r>
      <w:r w:rsidR="003B0135" w:rsidRPr="00780E96">
        <w:t>5.8</w:t>
      </w:r>
      <w:r w:rsidR="005D2CE8" w:rsidRPr="00780E96">
        <w:fldChar w:fldCharType="end"/>
      </w:r>
      <w:r w:rsidR="004F5170" w:rsidRPr="00780E96">
        <w:t>.</w:t>
      </w:r>
    </w:p>
    <w:p w14:paraId="18C714DB" w14:textId="6610E71D" w:rsidR="00F74E46" w:rsidRPr="00780E96" w:rsidRDefault="00C34F2F" w:rsidP="00F62D64">
      <w:pPr>
        <w:pStyle w:val="SDMPara"/>
        <w:keepNext/>
      </w:pPr>
      <w:r w:rsidRPr="00780E96">
        <w:t>Where</w:t>
      </w:r>
      <w:r w:rsidR="004F5170" w:rsidRPr="00780E96" w:rsidDel="00426C6E">
        <w:t xml:space="preserve"> </w:t>
      </w:r>
      <w:r w:rsidR="00426C6E" w:rsidRPr="00780E96">
        <w:rPr>
          <w:b/>
          <w:bCs/>
        </w:rPr>
        <w:t>scenario</w:t>
      </w:r>
      <w:r w:rsidR="00126F8A" w:rsidRPr="00780E96">
        <w:rPr>
          <w:b/>
          <w:bCs/>
        </w:rPr>
        <w:t> </w:t>
      </w:r>
      <w:r w:rsidR="004F5170" w:rsidRPr="00780E96">
        <w:rPr>
          <w:b/>
          <w:bCs/>
        </w:rPr>
        <w:t>C</w:t>
      </w:r>
      <w:r w:rsidRPr="00780E96">
        <w:t xml:space="preserve"> applies</w:t>
      </w:r>
      <w:r w:rsidR="004F5170" w:rsidRPr="00780E96">
        <w:t>, the emission factor shall</w:t>
      </w:r>
      <w:r w:rsidR="5395488A" w:rsidRPr="00780E96">
        <w:t xml:space="preserve"> be </w:t>
      </w:r>
      <w:r w:rsidR="268B5AB9" w:rsidRPr="00780E96">
        <w:t>determine</w:t>
      </w:r>
      <w:r w:rsidR="037B6637" w:rsidRPr="00780E96">
        <w:t>d</w:t>
      </w:r>
      <w:r w:rsidR="268B5AB9" w:rsidRPr="00780E96">
        <w:t xml:space="preserve"> </w:t>
      </w:r>
      <w:r w:rsidR="5395488A" w:rsidRPr="00780E96">
        <w:t>by</w:t>
      </w:r>
      <w:r w:rsidR="00F74E46" w:rsidRPr="00780E96">
        <w:t>:</w:t>
      </w:r>
    </w:p>
    <w:p w14:paraId="63E1CFA2" w14:textId="638F2859" w:rsidR="00F74E46" w:rsidRPr="00780E96" w:rsidRDefault="00FA1C58" w:rsidP="00973925">
      <w:pPr>
        <w:pStyle w:val="SDMSubPara1"/>
      </w:pPr>
      <w:r w:rsidRPr="00780E96">
        <w:rPr>
          <w:lang w:eastAsia="ja-JP"/>
        </w:rPr>
        <w:t>A</w:t>
      </w:r>
      <w:r w:rsidR="38A38C1D" w:rsidRPr="00780E96">
        <w:t xml:space="preserve">pplying the </w:t>
      </w:r>
      <w:r w:rsidR="00892E0C" w:rsidRPr="00780E96">
        <w:t>respective</w:t>
      </w:r>
      <w:r w:rsidR="38A38C1D" w:rsidRPr="00780E96">
        <w:t xml:space="preserve"> emission factor</w:t>
      </w:r>
      <w:r w:rsidR="1FE9D61F" w:rsidRPr="00780E96">
        <w:t xml:space="preserve"> </w:t>
      </w:r>
      <w:r w:rsidR="2DB69133" w:rsidRPr="00780E96">
        <w:t>for</w:t>
      </w:r>
      <w:r w:rsidR="1FE9D61F" w:rsidRPr="00780E96">
        <w:t xml:space="preserve"> </w:t>
      </w:r>
      <w:r w:rsidR="00982A6C" w:rsidRPr="00780E96">
        <w:rPr>
          <w:b/>
          <w:bCs/>
        </w:rPr>
        <w:t>scenario</w:t>
      </w:r>
      <w:r w:rsidR="004B2417" w:rsidRPr="00780E96">
        <w:rPr>
          <w:b/>
          <w:bCs/>
        </w:rPr>
        <w:t> </w:t>
      </w:r>
      <w:r w:rsidR="38A38C1D" w:rsidRPr="00780E96">
        <w:rPr>
          <w:b/>
          <w:bCs/>
        </w:rPr>
        <w:t>A</w:t>
      </w:r>
      <w:r w:rsidR="38A38C1D" w:rsidRPr="00780E96">
        <w:t xml:space="preserve"> </w:t>
      </w:r>
      <w:r w:rsidR="00A07C7D" w:rsidRPr="00780E96">
        <w:t xml:space="preserve">and </w:t>
      </w:r>
      <w:r w:rsidR="00982A6C" w:rsidRPr="00780E96">
        <w:rPr>
          <w:b/>
          <w:bCs/>
        </w:rPr>
        <w:t>scenario</w:t>
      </w:r>
      <w:r w:rsidR="004B2417" w:rsidRPr="00780E96">
        <w:rPr>
          <w:b/>
          <w:bCs/>
        </w:rPr>
        <w:t> </w:t>
      </w:r>
      <w:r w:rsidR="38A38C1D" w:rsidRPr="00780E96">
        <w:rPr>
          <w:b/>
          <w:bCs/>
        </w:rPr>
        <w:t>B</w:t>
      </w:r>
      <w:r w:rsidR="38A38C1D" w:rsidRPr="00780E96">
        <w:t xml:space="preserve"> </w:t>
      </w:r>
      <w:r w:rsidR="31BFF441" w:rsidRPr="00780E96">
        <w:t>separately</w:t>
      </w:r>
      <w:r w:rsidR="00982A6C" w:rsidRPr="00780E96">
        <w:t>,</w:t>
      </w:r>
      <w:r w:rsidR="6F61DA37" w:rsidRPr="00780E96">
        <w:t xml:space="preserve"> </w:t>
      </w:r>
      <w:r w:rsidR="00BC3ED5" w:rsidRPr="00780E96">
        <w:t xml:space="preserve">where </w:t>
      </w:r>
      <w:r w:rsidR="6F61DA37" w:rsidRPr="00780E96">
        <w:t xml:space="preserve">the </w:t>
      </w:r>
      <w:r w:rsidRPr="00780E96">
        <w:t xml:space="preserve">amount of </w:t>
      </w:r>
      <w:r w:rsidR="6F61DA37" w:rsidRPr="00780E96">
        <w:t xml:space="preserve">electricity </w:t>
      </w:r>
      <w:r w:rsidR="002A58E6" w:rsidRPr="00780E96">
        <w:t xml:space="preserve">generated </w:t>
      </w:r>
      <w:r w:rsidR="00061C7A" w:rsidRPr="00780E96">
        <w:t>and/</w:t>
      </w:r>
      <w:r w:rsidR="002A58E6" w:rsidRPr="00780E96">
        <w:t xml:space="preserve">or </w:t>
      </w:r>
      <w:r w:rsidRPr="00780E96">
        <w:t xml:space="preserve">consumed under </w:t>
      </w:r>
      <w:r w:rsidR="5F202450" w:rsidRPr="00780E96">
        <w:t>each scenario</w:t>
      </w:r>
      <w:r w:rsidR="6F61DA37" w:rsidRPr="00780E96">
        <w:t xml:space="preserve"> is </w:t>
      </w:r>
      <w:r w:rsidR="68F91DC1" w:rsidRPr="00780E96">
        <w:t>available</w:t>
      </w:r>
      <w:r w:rsidR="00892E0C" w:rsidRPr="00780E96">
        <w:t xml:space="preserve"> (i.e.</w:t>
      </w:r>
      <w:r w:rsidR="00160C36" w:rsidRPr="00780E96">
        <w:t>,</w:t>
      </w:r>
      <w:r w:rsidR="00892E0C" w:rsidRPr="00780E96">
        <w:t xml:space="preserve"> apply</w:t>
      </w:r>
      <w:r w:rsidR="00BC3ED5" w:rsidRPr="00780E96">
        <w:t>ing</w:t>
      </w:r>
      <w:r w:rsidR="00892E0C" w:rsidRPr="00780E96">
        <w:t xml:space="preserve"> the emission factor </w:t>
      </w:r>
      <w:r w:rsidR="00C47342" w:rsidRPr="00780E96">
        <w:t xml:space="preserve">of </w:t>
      </w:r>
      <w:r w:rsidR="00892E0C" w:rsidRPr="00780E96">
        <w:t xml:space="preserve">the electricity system to the amount identified for </w:t>
      </w:r>
      <w:r w:rsidR="00C47342" w:rsidRPr="00780E96">
        <w:t>scenario</w:t>
      </w:r>
      <w:r w:rsidR="004B2417" w:rsidRPr="00780E96">
        <w:t> </w:t>
      </w:r>
      <w:r w:rsidR="00DC5219" w:rsidRPr="00780E96">
        <w:t>A</w:t>
      </w:r>
      <w:r w:rsidR="0036436F" w:rsidRPr="00780E96">
        <w:t xml:space="preserve"> </w:t>
      </w:r>
      <w:r w:rsidR="00892E0C" w:rsidRPr="00780E96">
        <w:t>and apply</w:t>
      </w:r>
      <w:r w:rsidR="00C47342" w:rsidRPr="00780E96">
        <w:t>ing</w:t>
      </w:r>
      <w:r w:rsidR="00892E0C" w:rsidRPr="00780E96">
        <w:t xml:space="preserve"> the emission factor </w:t>
      </w:r>
      <w:r w:rsidR="00BD0FD7" w:rsidRPr="00780E96">
        <w:t xml:space="preserve">of the </w:t>
      </w:r>
      <w:r w:rsidR="41C27BD4" w:rsidRPr="00780E96">
        <w:t xml:space="preserve">fossil-fuel fired </w:t>
      </w:r>
      <w:r w:rsidR="343A4B52" w:rsidRPr="00780E96">
        <w:t>captive power plant(s)</w:t>
      </w:r>
      <w:r w:rsidR="00F637E8" w:rsidRPr="00780E96">
        <w:t xml:space="preserve"> to the amount identified for </w:t>
      </w:r>
      <w:r w:rsidR="000E342D" w:rsidRPr="00780E96">
        <w:rPr>
          <w:b/>
          <w:bCs/>
        </w:rPr>
        <w:t>scenario</w:t>
      </w:r>
      <w:r w:rsidR="004B2417" w:rsidRPr="00780E96">
        <w:rPr>
          <w:b/>
          <w:bCs/>
        </w:rPr>
        <w:t> </w:t>
      </w:r>
      <w:r w:rsidR="00F637E8" w:rsidRPr="00780E96">
        <w:rPr>
          <w:b/>
          <w:bCs/>
        </w:rPr>
        <w:t>B</w:t>
      </w:r>
      <w:r w:rsidR="00F637E8" w:rsidRPr="00780E96">
        <w:t>)</w:t>
      </w:r>
      <w:r w:rsidR="343A4B52" w:rsidRPr="00780E96">
        <w:t>;</w:t>
      </w:r>
      <w:r w:rsidR="00C75CB7" w:rsidRPr="00780E96">
        <w:t xml:space="preserve"> or</w:t>
      </w:r>
    </w:p>
    <w:p w14:paraId="17601D50" w14:textId="6FC53466" w:rsidR="00F74E46" w:rsidRPr="00780E96" w:rsidRDefault="60D0762E" w:rsidP="00F62D64">
      <w:pPr>
        <w:pStyle w:val="SDMSubPara1"/>
        <w:keepNext/>
      </w:pPr>
      <w:r w:rsidRPr="00780E96">
        <w:t>Applying a conservative approach</w:t>
      </w:r>
      <w:r w:rsidR="00F308DE" w:rsidRPr="00780E96">
        <w:t>,</w:t>
      </w:r>
      <w:r w:rsidR="0A43E9C0" w:rsidRPr="00780E96">
        <w:t xml:space="preserve"> as</w:t>
      </w:r>
      <w:r w:rsidR="00DD037B" w:rsidRPr="00780E96">
        <w:rPr>
          <w:lang w:eastAsia="ja-JP"/>
        </w:rPr>
        <w:t xml:space="preserve"> follows</w:t>
      </w:r>
      <w:r w:rsidR="00F74E46" w:rsidRPr="00780E96">
        <w:t>:</w:t>
      </w:r>
    </w:p>
    <w:p w14:paraId="38E3F7D0" w14:textId="61DED4F5" w:rsidR="00816DBA" w:rsidRDefault="00816DBA" w:rsidP="00973925">
      <w:pPr>
        <w:pStyle w:val="SDMSubPara2"/>
      </w:pPr>
      <w:r w:rsidRPr="00780E96">
        <w:t xml:space="preserve">For </w:t>
      </w:r>
      <w:r w:rsidR="00F308DE" w:rsidRPr="00780E96">
        <w:rPr>
          <w:b/>
          <w:bCs/>
        </w:rPr>
        <w:t>case</w:t>
      </w:r>
      <w:r w:rsidR="00F85355" w:rsidRPr="00780E96">
        <w:rPr>
          <w:b/>
          <w:bCs/>
        </w:rPr>
        <w:t> </w:t>
      </w:r>
      <w:r w:rsidRPr="00780E96">
        <w:rPr>
          <w:b/>
          <w:bCs/>
        </w:rPr>
        <w:t>1</w:t>
      </w:r>
      <w:r w:rsidRPr="00780E96">
        <w:t>,</w:t>
      </w:r>
      <w:r w:rsidRPr="00780E96" w:rsidDel="00F308DE">
        <w:t xml:space="preserve"> </w:t>
      </w:r>
      <w:r w:rsidR="00F308DE" w:rsidRPr="00780E96">
        <w:t xml:space="preserve">using </w:t>
      </w:r>
      <w:r w:rsidRPr="00780E96">
        <w:t xml:space="preserve">the </w:t>
      </w:r>
      <w:r w:rsidR="00CA6DF0" w:rsidRPr="00780E96">
        <w:t xml:space="preserve">higher </w:t>
      </w:r>
      <w:r w:rsidR="009C5C78" w:rsidRPr="00780E96">
        <w:t xml:space="preserve">value </w:t>
      </w:r>
      <w:r w:rsidRPr="00780E96">
        <w:t xml:space="preserve">between </w:t>
      </w:r>
      <w:r w:rsidR="00C05BA1" w:rsidRPr="00780E96">
        <w:t xml:space="preserve">the </w:t>
      </w:r>
      <w:r w:rsidRPr="00780E96">
        <w:t>em</w:t>
      </w:r>
      <w:r>
        <w:t xml:space="preserve">ission factor of the electricity system and the </w:t>
      </w:r>
      <w:r w:rsidR="009C5C78">
        <w:t xml:space="preserve">emission factor of the </w:t>
      </w:r>
      <w:r w:rsidR="00D823CF">
        <w:t>fossil</w:t>
      </w:r>
      <w:r w:rsidR="00B60A81">
        <w:t xml:space="preserve"> </w:t>
      </w:r>
      <w:r w:rsidR="00D823CF">
        <w:t xml:space="preserve">fuel fired </w:t>
      </w:r>
      <w:r>
        <w:t>captive power plant</w:t>
      </w:r>
      <w:r w:rsidR="008124EC">
        <w:t>(s)</w:t>
      </w:r>
      <w:r>
        <w:t>;</w:t>
      </w:r>
      <w:r w:rsidR="00395CB1">
        <w:t xml:space="preserve"> </w:t>
      </w:r>
      <w:r w:rsidR="00E85F5E">
        <w:t>and</w:t>
      </w:r>
    </w:p>
    <w:p w14:paraId="1CA6AA00" w14:textId="0A45C4F3" w:rsidR="00737BEA" w:rsidRDefault="00816DBA" w:rsidP="00A704C1">
      <w:pPr>
        <w:pStyle w:val="SDMSubPara2"/>
      </w:pPr>
      <w:r>
        <w:t xml:space="preserve">For </w:t>
      </w:r>
      <w:r w:rsidR="009341C8" w:rsidRPr="00C05036">
        <w:rPr>
          <w:b/>
          <w:bCs/>
        </w:rPr>
        <w:t>case</w:t>
      </w:r>
      <w:r w:rsidR="00F85355">
        <w:rPr>
          <w:b/>
          <w:bCs/>
        </w:rPr>
        <w:t> </w:t>
      </w:r>
      <w:r w:rsidRPr="00C05036">
        <w:rPr>
          <w:b/>
          <w:bCs/>
        </w:rPr>
        <w:t>2</w:t>
      </w:r>
      <w:r>
        <w:t>,</w:t>
      </w:r>
      <w:r w:rsidDel="000139B7">
        <w:t xml:space="preserve"> </w:t>
      </w:r>
      <w:r w:rsidR="000139B7">
        <w:t xml:space="preserve">using </w:t>
      </w:r>
      <w:r>
        <w:t xml:space="preserve">the </w:t>
      </w:r>
      <w:r w:rsidR="000328B1">
        <w:t xml:space="preserve">lower value </w:t>
      </w:r>
      <w:r>
        <w:t xml:space="preserve">between </w:t>
      </w:r>
      <w:r w:rsidR="00892E0C">
        <w:t xml:space="preserve">the </w:t>
      </w:r>
      <w:r>
        <w:t xml:space="preserve">emission factor of the electricity system and the </w:t>
      </w:r>
      <w:r w:rsidR="000328B1">
        <w:t xml:space="preserve">emission factor of the </w:t>
      </w:r>
      <w:r w:rsidR="00D823CF">
        <w:t>fossil</w:t>
      </w:r>
      <w:r w:rsidR="00B60A81">
        <w:t xml:space="preserve"> </w:t>
      </w:r>
      <w:r w:rsidR="00D823CF">
        <w:t xml:space="preserve">fuel fired </w:t>
      </w:r>
      <w:r>
        <w:t>captive power plant</w:t>
      </w:r>
      <w:r w:rsidR="008124EC">
        <w:t>(s)</w:t>
      </w:r>
      <w:r>
        <w:t>.</w:t>
      </w:r>
    </w:p>
    <w:p w14:paraId="40D487C2" w14:textId="1B9D78F5" w:rsidR="00737BEA" w:rsidRDefault="008C516C">
      <w:pPr>
        <w:pStyle w:val="SDMHead2"/>
      </w:pPr>
      <w:bookmarkStart w:id="551" w:name="_Toc212389909"/>
      <w:bookmarkStart w:id="552" w:name="_Ref215151864"/>
      <w:bookmarkStart w:id="553" w:name="_Toc215208605"/>
      <w:bookmarkStart w:id="554" w:name="_Toc215216124"/>
      <w:bookmarkStart w:id="555" w:name="_Toc215222860"/>
      <w:bookmarkStart w:id="556" w:name="_Toc215223048"/>
      <w:bookmarkStart w:id="557" w:name="_Toc215223270"/>
      <w:bookmarkStart w:id="558" w:name="_Toc215574891"/>
      <w:bookmarkStart w:id="559" w:name="_Ref215680223"/>
      <w:bookmarkStart w:id="560" w:name="_Toc215923329"/>
      <w:bookmarkStart w:id="561" w:name="_Toc216093025"/>
      <w:bookmarkStart w:id="562" w:name="_Toc216271754"/>
      <w:bookmarkStart w:id="563" w:name="_Toc216279371"/>
      <w:bookmarkStart w:id="564" w:name="_Toc216283409"/>
      <w:bookmarkStart w:id="565" w:name="_Toc216288027"/>
      <w:bookmarkStart w:id="566" w:name="_Toc219666134"/>
      <w:bookmarkStart w:id="567" w:name="_Toc220001394"/>
      <w:bookmarkStart w:id="568" w:name="_Toc221096418"/>
      <w:bookmarkStart w:id="569" w:name="_Toc221097970"/>
      <w:bookmarkStart w:id="570" w:name="_Toc221116266"/>
      <w:bookmarkStart w:id="571" w:name="_Toc221117282"/>
      <w:bookmarkStart w:id="572" w:name="_Toc222132120"/>
      <w:bookmarkStart w:id="573" w:name="_Toc222494921"/>
      <w:bookmarkStart w:id="574" w:name="_Toc222512437"/>
      <w:bookmarkStart w:id="575" w:name="_Toc222741757"/>
      <w:bookmarkStart w:id="576" w:name="_Toc234853838"/>
      <w:bookmarkStart w:id="577" w:name="_Toc235002276"/>
      <w:bookmarkStart w:id="578" w:name="_Toc235003435"/>
      <w:bookmarkStart w:id="579" w:name="_Toc236154232"/>
      <w:bookmarkStart w:id="580" w:name="_Toc236216609"/>
      <w:bookmarkStart w:id="581" w:name="_Toc240545097"/>
      <w:bookmarkStart w:id="582" w:name="_Toc240545313"/>
      <w:bookmarkStart w:id="583" w:name="_Toc240576895"/>
      <w:r>
        <w:t>Step</w:t>
      </w:r>
      <w:r w:rsidR="00071748">
        <w:t> </w:t>
      </w:r>
      <w:r>
        <w:t>7</w:t>
      </w:r>
      <w:r w:rsidR="008D3DDF">
        <w:t>:</w:t>
      </w:r>
      <w:r>
        <w:t xml:space="preserve"> </w:t>
      </w:r>
      <w:r w:rsidR="00D260B3">
        <w:t>Determine</w:t>
      </w:r>
      <w:r w:rsidR="009B674E">
        <w:t xml:space="preserve"> the emission factor of the</w:t>
      </w:r>
      <w:r w:rsidR="009B674E" w:rsidDel="009B186D">
        <w:t xml:space="preserve"> </w:t>
      </w:r>
      <w:bookmarkEnd w:id="551"/>
      <w:r w:rsidR="009B186D">
        <w:t>electricity system</w:t>
      </w:r>
      <w:bookmarkEnd w:id="552"/>
      <w:bookmarkEnd w:id="553"/>
      <w:bookmarkEnd w:id="554"/>
      <w:bookmarkEnd w:id="555"/>
      <w:bookmarkEnd w:id="556"/>
      <w:bookmarkEnd w:id="557"/>
      <w:bookmarkEnd w:id="558"/>
      <w:r w:rsidR="008D3DDF">
        <w:t xml:space="preserve">, </w:t>
      </w:r>
      <w:r w:rsidR="008D3DDF" w:rsidRPr="00BF0A6D">
        <w:t>where applicable</w:t>
      </w:r>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p>
    <w:p w14:paraId="47C933DD" w14:textId="16D37D34" w:rsidR="00F74E46" w:rsidRDefault="005E4881">
      <w:pPr>
        <w:pStyle w:val="SDMPara"/>
      </w:pPr>
      <w:r w:rsidRPr="00BF0A6D">
        <w:t xml:space="preserve">This step is applicable </w:t>
      </w:r>
      <w:r w:rsidR="00246801">
        <w:t>where</w:t>
      </w:r>
      <w:r w:rsidR="00246801" w:rsidRPr="00BF0A6D">
        <w:t xml:space="preserve"> </w:t>
      </w:r>
      <w:r w:rsidR="00246801" w:rsidRPr="00246801">
        <w:rPr>
          <w:b/>
          <w:bCs/>
        </w:rPr>
        <w:t>step </w:t>
      </w:r>
      <w:r w:rsidR="00C8347A" w:rsidRPr="00246801">
        <w:rPr>
          <w:b/>
          <w:bCs/>
        </w:rPr>
        <w:t>6</w:t>
      </w:r>
      <w:r w:rsidR="00C8347A" w:rsidRPr="00BF0A6D">
        <w:t xml:space="preserve"> confirm</w:t>
      </w:r>
      <w:r w:rsidR="00246801">
        <w:t>s</w:t>
      </w:r>
      <w:r w:rsidR="00C8347A" w:rsidRPr="00BF0A6D">
        <w:t xml:space="preserve"> that the emission factor of the electricity </w:t>
      </w:r>
      <w:r w:rsidR="6DED5823">
        <w:t>system</w:t>
      </w:r>
      <w:r w:rsidR="00C8347A">
        <w:t xml:space="preserve"> </w:t>
      </w:r>
      <w:r w:rsidR="00C8347A" w:rsidRPr="00BF0A6D">
        <w:t>shall be used</w:t>
      </w:r>
      <w:r w:rsidR="00FA001B" w:rsidRPr="00BF0A6D">
        <w:t>.</w:t>
      </w:r>
    </w:p>
    <w:p w14:paraId="3A82C8FC" w14:textId="6F512E0D" w:rsidR="005E7C38" w:rsidRPr="00780E96" w:rsidRDefault="00696EDD" w:rsidP="00584D97">
      <w:pPr>
        <w:pStyle w:val="SDMPara"/>
        <w:keepNext/>
      </w:pPr>
      <w:bookmarkStart w:id="584" w:name="_Hlk215689485"/>
      <w:r>
        <w:t xml:space="preserve">Activity </w:t>
      </w:r>
      <w:r w:rsidR="005E7C38" w:rsidRPr="00780E96">
        <w:t xml:space="preserve">participants shall determine the emission factor of the electricity system </w:t>
      </w:r>
      <w:r w:rsidR="00786CE1" w:rsidRPr="00780E96">
        <w:t xml:space="preserve">by </w:t>
      </w:r>
      <w:r w:rsidR="005E7C38" w:rsidRPr="00780E96">
        <w:t>choosing one of the following two options</w:t>
      </w:r>
      <w:r w:rsidR="0060677B" w:rsidRPr="00780E96">
        <w:t xml:space="preserve"> and </w:t>
      </w:r>
      <w:r w:rsidR="00194F07" w:rsidRPr="00780E96">
        <w:t xml:space="preserve">shall </w:t>
      </w:r>
      <w:r w:rsidR="0060677B" w:rsidRPr="00780E96">
        <w:t>document their choice in the PDD</w:t>
      </w:r>
      <w:r w:rsidR="00E92340" w:rsidRPr="00780E96">
        <w:t xml:space="preserve"> </w:t>
      </w:r>
      <w:r w:rsidR="002605C9" w:rsidRPr="00780E96">
        <w:t>or CP-DD</w:t>
      </w:r>
      <w:r w:rsidR="005E7C38" w:rsidRPr="00780E96">
        <w:t>:</w:t>
      </w:r>
    </w:p>
    <w:p w14:paraId="46654875" w14:textId="077E67A9" w:rsidR="00FF70B5" w:rsidRPr="00780E96" w:rsidRDefault="005E7C38" w:rsidP="00A704C1">
      <w:pPr>
        <w:pStyle w:val="SDMSubPara1"/>
      </w:pPr>
      <w:r w:rsidRPr="00780E96">
        <w:rPr>
          <w:b/>
          <w:bCs/>
        </w:rPr>
        <w:t>Option</w:t>
      </w:r>
      <w:r w:rsidR="00071748" w:rsidRPr="00780E96">
        <w:rPr>
          <w:b/>
          <w:bCs/>
        </w:rPr>
        <w:t> </w:t>
      </w:r>
      <w:r w:rsidRPr="00780E96">
        <w:rPr>
          <w:b/>
          <w:bCs/>
        </w:rPr>
        <w:t>A</w:t>
      </w:r>
      <w:r w:rsidR="008619A2" w:rsidRPr="00780E96">
        <w:rPr>
          <w:b/>
          <w:bCs/>
        </w:rPr>
        <w:t>:</w:t>
      </w:r>
      <w:r w:rsidR="008619A2" w:rsidRPr="00780E96">
        <w:t xml:space="preserve"> </w:t>
      </w:r>
      <w:r w:rsidR="00194F07" w:rsidRPr="00780E96">
        <w:t xml:space="preserve">calculate </w:t>
      </w:r>
      <w:r w:rsidR="008619A2" w:rsidRPr="00780E96">
        <w:t xml:space="preserve">the </w:t>
      </w:r>
      <w:r w:rsidR="007B6FA2" w:rsidRPr="00780E96">
        <w:t xml:space="preserve">combined margin </w:t>
      </w:r>
      <w:r w:rsidR="008619A2" w:rsidRPr="00780E96">
        <w:t>emission factor of the electricity system</w:t>
      </w:r>
      <w:r w:rsidR="000F2681" w:rsidRPr="00780E96">
        <w:t xml:space="preserve">, as set out </w:t>
      </w:r>
      <w:r w:rsidR="007B6FA2" w:rsidRPr="00780E96">
        <w:t xml:space="preserve">in </w:t>
      </w:r>
      <w:r w:rsidR="000F2681" w:rsidRPr="00780E96">
        <w:t>section</w:t>
      </w:r>
      <w:r w:rsidR="0045655E" w:rsidRPr="00780E96">
        <w:t xml:space="preserve"> </w:t>
      </w:r>
      <w:r w:rsidRPr="00780E96">
        <w:fldChar w:fldCharType="begin"/>
      </w:r>
      <w:r w:rsidRPr="00780E96">
        <w:instrText>REF _Ref215608724 \r</w:instrText>
      </w:r>
      <w:r w:rsidR="00780E96">
        <w:instrText xml:space="preserve"> \* MERGEFORMAT </w:instrText>
      </w:r>
      <w:r w:rsidRPr="00780E96">
        <w:fldChar w:fldCharType="separate"/>
      </w:r>
      <w:r w:rsidR="003B0135" w:rsidRPr="00780E96">
        <w:rPr>
          <w:cs/>
        </w:rPr>
        <w:t>‎</w:t>
      </w:r>
      <w:r w:rsidR="003B0135" w:rsidRPr="00780E96">
        <w:t>5.7.1</w:t>
      </w:r>
      <w:r w:rsidRPr="00780E96">
        <w:fldChar w:fldCharType="end"/>
      </w:r>
      <w:r w:rsidR="000F2681" w:rsidRPr="00780E96">
        <w:t xml:space="preserve">; </w:t>
      </w:r>
      <w:r w:rsidR="007651FF" w:rsidRPr="00780E96">
        <w:t>or</w:t>
      </w:r>
    </w:p>
    <w:p w14:paraId="36999356" w14:textId="175B6E20" w:rsidR="003A10D5" w:rsidRPr="00780E96" w:rsidRDefault="0060677B" w:rsidP="00A704C1">
      <w:pPr>
        <w:pStyle w:val="SDMSubPara1"/>
      </w:pPr>
      <w:r w:rsidRPr="00780E96">
        <w:rPr>
          <w:b/>
          <w:bCs/>
        </w:rPr>
        <w:t>Option</w:t>
      </w:r>
      <w:r w:rsidR="00071748" w:rsidRPr="00780E96">
        <w:rPr>
          <w:b/>
          <w:bCs/>
        </w:rPr>
        <w:t> </w:t>
      </w:r>
      <w:r w:rsidRPr="00780E96">
        <w:rPr>
          <w:b/>
          <w:bCs/>
        </w:rPr>
        <w:t>B:</w:t>
      </w:r>
      <w:r w:rsidRPr="00780E96">
        <w:t xml:space="preserve"> </w:t>
      </w:r>
      <w:r w:rsidR="00826948" w:rsidRPr="00780E96">
        <w:t xml:space="preserve">use </w:t>
      </w:r>
      <w:r w:rsidR="00A83306" w:rsidRPr="00780E96">
        <w:t xml:space="preserve">a conservative default emission </w:t>
      </w:r>
      <w:r w:rsidR="00F8097D" w:rsidRPr="00780E96">
        <w:t>factor</w:t>
      </w:r>
      <w:r w:rsidR="0045655E" w:rsidRPr="00780E96">
        <w:t xml:space="preserve">, as set out in section </w:t>
      </w:r>
      <w:r w:rsidR="00110EF2" w:rsidRPr="00780E96">
        <w:fldChar w:fldCharType="begin"/>
      </w:r>
      <w:r w:rsidR="00110EF2" w:rsidRPr="00780E96">
        <w:instrText xml:space="preserve"> REF _Ref215608692 \w \h </w:instrText>
      </w:r>
      <w:r w:rsidR="00780E96">
        <w:instrText xml:space="preserve"> \* MERGEFORMAT </w:instrText>
      </w:r>
      <w:r w:rsidR="00110EF2" w:rsidRPr="00780E96">
        <w:fldChar w:fldCharType="separate"/>
      </w:r>
      <w:r w:rsidR="003B0135" w:rsidRPr="00780E96">
        <w:rPr>
          <w:cs/>
        </w:rPr>
        <w:t>‎</w:t>
      </w:r>
      <w:r w:rsidR="003B0135" w:rsidRPr="00780E96">
        <w:t>5.7.2</w:t>
      </w:r>
      <w:r w:rsidR="00110EF2" w:rsidRPr="00780E96">
        <w:fldChar w:fldCharType="end"/>
      </w:r>
      <w:r w:rsidR="005F699D" w:rsidRPr="00780E96">
        <w:t>.</w:t>
      </w:r>
    </w:p>
    <w:p w14:paraId="3CB6141F" w14:textId="2835D431" w:rsidR="00737BEA" w:rsidRPr="00780E96" w:rsidRDefault="00951FCB">
      <w:pPr>
        <w:pStyle w:val="SDMHead3"/>
      </w:pPr>
      <w:bookmarkStart w:id="585" w:name="_Ref212363004"/>
      <w:bookmarkStart w:id="586" w:name="_Ref215608724"/>
      <w:bookmarkStart w:id="587" w:name="_Toc215923330"/>
      <w:bookmarkStart w:id="588" w:name="_Toc216093026"/>
      <w:bookmarkStart w:id="589" w:name="_Toc216271755"/>
      <w:bookmarkStart w:id="590" w:name="_Toc216279372"/>
      <w:bookmarkStart w:id="591" w:name="_Toc216283410"/>
      <w:bookmarkStart w:id="592" w:name="_Toc216288028"/>
      <w:bookmarkStart w:id="593" w:name="_Toc219666135"/>
      <w:bookmarkStart w:id="594" w:name="_Toc220001395"/>
      <w:bookmarkStart w:id="595" w:name="_Toc221096419"/>
      <w:bookmarkStart w:id="596" w:name="_Toc221097971"/>
      <w:bookmarkStart w:id="597" w:name="_Toc221116267"/>
      <w:bookmarkStart w:id="598" w:name="_Toc221117283"/>
      <w:bookmarkStart w:id="599" w:name="_Toc222132121"/>
      <w:bookmarkStart w:id="600" w:name="_Toc222494922"/>
      <w:bookmarkStart w:id="601" w:name="_Toc222512438"/>
      <w:bookmarkStart w:id="602" w:name="_Toc222741758"/>
      <w:bookmarkStart w:id="603" w:name="_Toc234853839"/>
      <w:bookmarkStart w:id="604" w:name="_Toc235002277"/>
      <w:bookmarkStart w:id="605" w:name="_Toc235003436"/>
      <w:bookmarkStart w:id="606" w:name="_Toc236154233"/>
      <w:bookmarkStart w:id="607" w:name="_Toc236216610"/>
      <w:bookmarkStart w:id="608" w:name="_Toc240545098"/>
      <w:bookmarkStart w:id="609" w:name="_Toc240545314"/>
      <w:bookmarkStart w:id="610" w:name="_Toc240576896"/>
      <w:bookmarkEnd w:id="584"/>
      <w:r w:rsidRPr="00780E96">
        <w:t xml:space="preserve">Option </w:t>
      </w:r>
      <w:r w:rsidR="009076AA" w:rsidRPr="00780E96">
        <w:t>A</w:t>
      </w:r>
      <w:r w:rsidRPr="00780E96">
        <w:t xml:space="preserve">: </w:t>
      </w:r>
      <w:r w:rsidR="009E396C" w:rsidRPr="00780E96">
        <w:t>Calculate</w:t>
      </w:r>
      <w:r w:rsidRPr="00780E96">
        <w:t xml:space="preserve"> the </w:t>
      </w:r>
      <w:r w:rsidR="009E396C" w:rsidRPr="00780E96">
        <w:t>combined margin</w:t>
      </w:r>
      <w:r w:rsidRPr="00780E96">
        <w:t xml:space="preserve"> emission factor of the</w:t>
      </w:r>
      <w:r w:rsidRPr="00780E96" w:rsidDel="009B186D">
        <w:t xml:space="preserve"> </w:t>
      </w:r>
      <w:bookmarkEnd w:id="585"/>
      <w:r w:rsidR="009B186D" w:rsidRPr="00780E96">
        <w:t>electricity system</w:t>
      </w:r>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p>
    <w:p w14:paraId="233DF5A0" w14:textId="358BCE3E" w:rsidR="00F74E46" w:rsidRPr="00780E96" w:rsidRDefault="008011FE">
      <w:pPr>
        <w:pStyle w:val="SDMPara"/>
      </w:pPr>
      <w:r w:rsidRPr="00780E96">
        <w:t xml:space="preserve">The emission factor of the electricity system shall be determined as the “combined margin” (CM) emission factor, which is the result of a weighted average of two emission factors pertaining to the electricity system: </w:t>
      </w:r>
      <w:r w:rsidR="0050186B" w:rsidRPr="00780E96">
        <w:t xml:space="preserve">the </w:t>
      </w:r>
      <w:r w:rsidRPr="00780E96">
        <w:t>“operating margin” (OM) emission factor and the “build margin” (BM) emission factor.</w:t>
      </w:r>
      <w:r w:rsidR="00A52AC2" w:rsidRPr="00780E96">
        <w:t xml:space="preserve"> The </w:t>
      </w:r>
      <w:r w:rsidR="00613292" w:rsidRPr="00780E96">
        <w:t>OM</w:t>
      </w:r>
      <w:r w:rsidR="00A52AC2" w:rsidRPr="00780E96">
        <w:t xml:space="preserve"> emission factor </w:t>
      </w:r>
      <w:r w:rsidR="00B05686" w:rsidRPr="00780E96">
        <w:t xml:space="preserve">aims to </w:t>
      </w:r>
      <w:r w:rsidR="00A52AC2" w:rsidRPr="00780E96">
        <w:t>represent</w:t>
      </w:r>
      <w:r w:rsidR="00F84F01" w:rsidRPr="00780E96">
        <w:t xml:space="preserve"> the emissions intensity of </w:t>
      </w:r>
      <w:r w:rsidR="001A0FB4" w:rsidRPr="00780E96">
        <w:t xml:space="preserve">existing power </w:t>
      </w:r>
      <w:r w:rsidR="00A44D0D" w:rsidRPr="00780E96">
        <w:t>units</w:t>
      </w:r>
      <w:r w:rsidR="001A0FB4" w:rsidRPr="00780E96">
        <w:t xml:space="preserve"> whose electricity generation is </w:t>
      </w:r>
      <w:r w:rsidR="004F4348" w:rsidRPr="00780E96">
        <w:t>affected by</w:t>
      </w:r>
      <w:r w:rsidR="001A0FB4" w:rsidRPr="00780E96">
        <w:t xml:space="preserve"> </w:t>
      </w:r>
      <w:r w:rsidR="00613292" w:rsidRPr="00780E96">
        <w:t>the Article 6.4</w:t>
      </w:r>
      <w:r w:rsidR="00043B0B" w:rsidRPr="00780E96">
        <w:t xml:space="preserve"> </w:t>
      </w:r>
      <w:r w:rsidR="00E92340" w:rsidRPr="00780E96">
        <w:t>project or CP</w:t>
      </w:r>
      <w:r w:rsidR="00613292" w:rsidRPr="00780E96">
        <w:t>. The</w:t>
      </w:r>
      <w:r w:rsidR="00F46400" w:rsidRPr="00780E96">
        <w:t xml:space="preserve"> BM emission factor</w:t>
      </w:r>
      <w:r w:rsidR="00B05686" w:rsidRPr="00780E96">
        <w:t xml:space="preserve"> </w:t>
      </w:r>
      <w:r w:rsidR="00980C5C" w:rsidRPr="00780E96">
        <w:t>aims</w:t>
      </w:r>
      <w:r w:rsidR="00B05686" w:rsidRPr="00780E96">
        <w:t xml:space="preserve"> to</w:t>
      </w:r>
      <w:r w:rsidR="00F46400" w:rsidRPr="00780E96">
        <w:t xml:space="preserve"> represent the average emissions intensity of new power </w:t>
      </w:r>
      <w:r w:rsidR="00A44D0D" w:rsidRPr="00780E96">
        <w:t>units</w:t>
      </w:r>
      <w:r w:rsidR="00F46400" w:rsidRPr="00780E96">
        <w:t xml:space="preserve"> that </w:t>
      </w:r>
      <w:r w:rsidR="00B05686" w:rsidRPr="00780E96">
        <w:t xml:space="preserve">would </w:t>
      </w:r>
      <w:r w:rsidR="009C262D" w:rsidRPr="00780E96">
        <w:t xml:space="preserve">likely be built </w:t>
      </w:r>
      <w:r w:rsidR="00980C5C" w:rsidRPr="00780E96">
        <w:t xml:space="preserve">in </w:t>
      </w:r>
      <w:r w:rsidR="5E443C27" w:rsidRPr="00780E96">
        <w:t>the</w:t>
      </w:r>
      <w:r w:rsidR="00980C5C" w:rsidRPr="00780E96">
        <w:t xml:space="preserve"> absence of the Article 6.4</w:t>
      </w:r>
      <w:r w:rsidR="00AD2370" w:rsidRPr="00780E96">
        <w:rPr>
          <w:strike/>
        </w:rPr>
        <w:t xml:space="preserve"> </w:t>
      </w:r>
      <w:r w:rsidR="00E92340" w:rsidRPr="00780E96">
        <w:t>project or CP</w:t>
      </w:r>
      <w:r w:rsidR="00980C5C" w:rsidRPr="00780E96">
        <w:t>.</w:t>
      </w:r>
    </w:p>
    <w:p w14:paraId="0D8F47A7" w14:textId="4E3687DC" w:rsidR="008011FE" w:rsidRPr="00780E96" w:rsidRDefault="1B6CC91E" w:rsidP="00F62D64">
      <w:pPr>
        <w:pStyle w:val="SDMPara"/>
        <w:keepNext/>
      </w:pPr>
      <w:r w:rsidRPr="00780E96">
        <w:t>For both cases</w:t>
      </w:r>
      <w:r w:rsidR="00993073" w:rsidRPr="00780E96">
        <w:t xml:space="preserve"> (</w:t>
      </w:r>
      <w:r w:rsidR="007F5110" w:rsidRPr="00780E96">
        <w:rPr>
          <w:b/>
          <w:bCs/>
        </w:rPr>
        <w:t>case</w:t>
      </w:r>
      <w:r w:rsidR="00071748" w:rsidRPr="00780E96">
        <w:rPr>
          <w:b/>
          <w:bCs/>
        </w:rPr>
        <w:t> </w:t>
      </w:r>
      <w:r w:rsidR="00993073" w:rsidRPr="00780E96">
        <w:rPr>
          <w:b/>
          <w:bCs/>
        </w:rPr>
        <w:t>1</w:t>
      </w:r>
      <w:r w:rsidR="00993073" w:rsidRPr="00780E96">
        <w:t xml:space="preserve"> and </w:t>
      </w:r>
      <w:r w:rsidR="007F5110" w:rsidRPr="00780E96">
        <w:rPr>
          <w:b/>
          <w:bCs/>
        </w:rPr>
        <w:t>case</w:t>
      </w:r>
      <w:r w:rsidR="00071748" w:rsidRPr="00780E96">
        <w:rPr>
          <w:b/>
          <w:bCs/>
        </w:rPr>
        <w:t> </w:t>
      </w:r>
      <w:r w:rsidR="00993073" w:rsidRPr="00780E96">
        <w:rPr>
          <w:b/>
          <w:bCs/>
        </w:rPr>
        <w:t>2</w:t>
      </w:r>
      <w:r w:rsidR="00993073" w:rsidRPr="00780E96">
        <w:t>)</w:t>
      </w:r>
      <w:r w:rsidRPr="00780E96">
        <w:t>,</w:t>
      </w:r>
      <w:r w:rsidR="0C1F7C79" w:rsidRPr="00780E96">
        <w:t xml:space="preserve"> t</w:t>
      </w:r>
      <w:r w:rsidR="5D410BC1" w:rsidRPr="00780E96">
        <w:t>he</w:t>
      </w:r>
      <w:r w:rsidR="008011FE" w:rsidRPr="00780E96">
        <w:t xml:space="preserve"> emission factor of the electricity system shall be determined based on the following </w:t>
      </w:r>
      <w:r w:rsidR="007F5110" w:rsidRPr="00780E96">
        <w:t>sub-</w:t>
      </w:r>
      <w:r w:rsidR="008011FE" w:rsidRPr="00780E96">
        <w:t>steps:</w:t>
      </w:r>
    </w:p>
    <w:p w14:paraId="4CBC9CD2" w14:textId="46C6F18B" w:rsidR="008011FE" w:rsidRPr="00780E96" w:rsidRDefault="00AB65F7" w:rsidP="00A704C1">
      <w:pPr>
        <w:pStyle w:val="SDMSubPara1"/>
      </w:pPr>
      <w:r w:rsidRPr="00780E96">
        <w:t>Sub-step</w:t>
      </w:r>
      <w:r w:rsidR="00592D9E" w:rsidRPr="00780E96">
        <w:t> </w:t>
      </w:r>
      <w:r w:rsidRPr="00780E96">
        <w:t xml:space="preserve">a: </w:t>
      </w:r>
      <w:r w:rsidR="0000182E" w:rsidRPr="00780E96">
        <w:t xml:space="preserve">determination </w:t>
      </w:r>
      <w:r w:rsidRPr="00780E96">
        <w:t>of</w:t>
      </w:r>
      <w:r w:rsidR="008011FE" w:rsidRPr="00780E96">
        <w:t xml:space="preserve"> the OM emission factor </w:t>
      </w:r>
      <w:r w:rsidR="00993073" w:rsidRPr="00780E96">
        <w:t>(</w:t>
      </w:r>
      <w:r w:rsidR="008011FE" w:rsidRPr="00780E96">
        <w:rPr>
          <w:i/>
          <w:iCs/>
        </w:rPr>
        <w:t>EF</w:t>
      </w:r>
      <w:r w:rsidR="008011FE" w:rsidRPr="00780E96">
        <w:rPr>
          <w:i/>
          <w:iCs/>
          <w:vertAlign w:val="subscript"/>
        </w:rPr>
        <w:t>OM,y</w:t>
      </w:r>
      <w:r w:rsidR="00993073" w:rsidRPr="00780E96">
        <w:t>)</w:t>
      </w:r>
      <w:r w:rsidR="008011FE" w:rsidRPr="00780E96">
        <w:t>;</w:t>
      </w:r>
    </w:p>
    <w:p w14:paraId="7AD9053E" w14:textId="37FF3BC4" w:rsidR="008011FE" w:rsidRPr="00780E96" w:rsidRDefault="00AB65F7" w:rsidP="00A704C1">
      <w:pPr>
        <w:pStyle w:val="SDMSubPara1"/>
      </w:pPr>
      <w:r w:rsidRPr="00780E96">
        <w:t>Sub-step</w:t>
      </w:r>
      <w:r w:rsidR="00592D9E" w:rsidRPr="00780E96">
        <w:t> </w:t>
      </w:r>
      <w:r w:rsidRPr="00780E96">
        <w:t xml:space="preserve">b: </w:t>
      </w:r>
      <w:r w:rsidR="0000182E" w:rsidRPr="00780E96">
        <w:t xml:space="preserve">determination </w:t>
      </w:r>
      <w:r w:rsidRPr="00780E96">
        <w:t>of</w:t>
      </w:r>
      <w:r w:rsidR="008011FE" w:rsidRPr="00780E96">
        <w:t xml:space="preserve"> the BM emission factor </w:t>
      </w:r>
      <w:r w:rsidR="00181837" w:rsidRPr="00780E96">
        <w:t>(</w:t>
      </w:r>
      <w:r w:rsidR="008011FE" w:rsidRPr="00780E96">
        <w:rPr>
          <w:i/>
          <w:iCs/>
        </w:rPr>
        <w:t>EF</w:t>
      </w:r>
      <w:r w:rsidR="008011FE" w:rsidRPr="00780E96">
        <w:rPr>
          <w:i/>
          <w:iCs/>
          <w:vertAlign w:val="subscript"/>
        </w:rPr>
        <w:t>BM,y</w:t>
      </w:r>
      <w:r w:rsidR="00181837" w:rsidRPr="00780E96">
        <w:t>)</w:t>
      </w:r>
      <w:r w:rsidR="008011FE" w:rsidRPr="00780E96">
        <w:t>;</w:t>
      </w:r>
      <w:r w:rsidR="0076784A" w:rsidRPr="00780E96">
        <w:t xml:space="preserve"> and</w:t>
      </w:r>
    </w:p>
    <w:p w14:paraId="72AB1D5F" w14:textId="2A14510E" w:rsidR="008011FE" w:rsidRPr="00780E96" w:rsidRDefault="00AB65F7" w:rsidP="00A704C1">
      <w:pPr>
        <w:pStyle w:val="SDMSubPara1"/>
      </w:pPr>
      <w:r w:rsidRPr="00780E96">
        <w:t>Sub-step</w:t>
      </w:r>
      <w:r w:rsidR="00592D9E" w:rsidRPr="00780E96">
        <w:t> </w:t>
      </w:r>
      <w:r w:rsidRPr="00780E96">
        <w:t xml:space="preserve">c: </w:t>
      </w:r>
      <w:r w:rsidR="0000182E" w:rsidRPr="00780E96">
        <w:t xml:space="preserve">determination </w:t>
      </w:r>
      <w:r w:rsidRPr="00780E96">
        <w:t xml:space="preserve">of the </w:t>
      </w:r>
      <w:r w:rsidR="008011FE" w:rsidRPr="00780E96">
        <w:t xml:space="preserve">CM emission factor </w:t>
      </w:r>
      <w:r w:rsidR="00181837" w:rsidRPr="00780E96">
        <w:t>(</w:t>
      </w:r>
      <w:r w:rsidR="008011FE" w:rsidRPr="00780E96">
        <w:rPr>
          <w:i/>
          <w:iCs/>
        </w:rPr>
        <w:t>EF</w:t>
      </w:r>
      <w:r w:rsidR="008011FE" w:rsidRPr="00780E96">
        <w:rPr>
          <w:i/>
          <w:iCs/>
          <w:vertAlign w:val="subscript"/>
        </w:rPr>
        <w:t>CM,y</w:t>
      </w:r>
      <w:r w:rsidR="00181837" w:rsidRPr="00780E96">
        <w:t>)</w:t>
      </w:r>
      <w:r w:rsidR="008011FE" w:rsidRPr="00780E96">
        <w:t>.</w:t>
      </w:r>
    </w:p>
    <w:p w14:paraId="2992BD79" w14:textId="77777777" w:rsidR="00297DFB" w:rsidRPr="00780E96" w:rsidRDefault="00297DFB">
      <w:pPr>
        <w:pStyle w:val="SDMHead4"/>
      </w:pPr>
      <w:r w:rsidRPr="00780E96">
        <w:t>General requirements applicable to different sub-steps</w:t>
      </w:r>
    </w:p>
    <w:p w14:paraId="7D7B9D73" w14:textId="77777777" w:rsidR="00E9501D" w:rsidRPr="00780E96" w:rsidRDefault="00994F56">
      <w:pPr>
        <w:pStyle w:val="SDMHead5"/>
      </w:pPr>
      <w:r w:rsidRPr="00780E96">
        <w:t>Consideration of power plants or units</w:t>
      </w:r>
    </w:p>
    <w:p w14:paraId="0A544475" w14:textId="299C9027" w:rsidR="00994F56" w:rsidRPr="00780E96" w:rsidRDefault="00A6185B">
      <w:pPr>
        <w:pStyle w:val="SDMPara"/>
      </w:pPr>
      <w:r w:rsidRPr="00780E96">
        <w:t xml:space="preserve">For simplicity, </w:t>
      </w:r>
      <w:r w:rsidR="001C21A1" w:rsidRPr="00780E96">
        <w:t>section</w:t>
      </w:r>
      <w:r w:rsidR="00022689" w:rsidRPr="00780E96">
        <w:t> </w:t>
      </w:r>
      <w:r w:rsidRPr="00780E96">
        <w:fldChar w:fldCharType="begin"/>
      </w:r>
      <w:r w:rsidRPr="00780E96">
        <w:instrText>REF _Ref215680223 \r</w:instrText>
      </w:r>
      <w:r w:rsidR="00780E96">
        <w:instrText xml:space="preserve"> \* MERGEFORMAT </w:instrText>
      </w:r>
      <w:r w:rsidRPr="00780E96">
        <w:fldChar w:fldCharType="separate"/>
      </w:r>
      <w:r w:rsidR="003B0135" w:rsidRPr="00780E96">
        <w:rPr>
          <w:cs/>
        </w:rPr>
        <w:t>‎</w:t>
      </w:r>
      <w:r w:rsidR="003B0135" w:rsidRPr="00780E96">
        <w:t>5.7</w:t>
      </w:r>
      <w:r w:rsidRPr="00780E96">
        <w:fldChar w:fldCharType="end"/>
      </w:r>
      <w:r w:rsidR="001C21A1" w:rsidRPr="00780E96">
        <w:t xml:space="preserve"> refer</w:t>
      </w:r>
      <w:r w:rsidR="00022689" w:rsidRPr="00780E96">
        <w:t>s</w:t>
      </w:r>
      <w:r w:rsidR="001C21A1" w:rsidRPr="00780E96">
        <w:t xml:space="preserve"> </w:t>
      </w:r>
      <w:r w:rsidR="0075389D" w:rsidRPr="00780E96">
        <w:t xml:space="preserve">only </w:t>
      </w:r>
      <w:r w:rsidR="001C21A1" w:rsidRPr="00780E96">
        <w:t xml:space="preserve">to power units. </w:t>
      </w:r>
      <w:r w:rsidR="00901AFD" w:rsidRPr="00780E96">
        <w:t xml:space="preserve">Whether power units or power plants shall be considered in the calculation depends </w:t>
      </w:r>
      <w:r w:rsidR="00994F56" w:rsidRPr="00780E96">
        <w:t xml:space="preserve">on the operational roles of the power units at </w:t>
      </w:r>
      <w:r w:rsidR="00901AFD" w:rsidRPr="00780E96">
        <w:t xml:space="preserve">the </w:t>
      </w:r>
      <w:r w:rsidR="00994F56" w:rsidRPr="00780E96">
        <w:t>site</w:t>
      </w:r>
      <w:r w:rsidR="00901AFD" w:rsidRPr="00780E96">
        <w:t xml:space="preserve"> of </w:t>
      </w:r>
      <w:r w:rsidR="3026E64D" w:rsidRPr="00780E96">
        <w:t xml:space="preserve">the </w:t>
      </w:r>
      <w:r w:rsidR="00901AFD" w:rsidRPr="00780E96">
        <w:t>power plant</w:t>
      </w:r>
      <w:r w:rsidR="00994F56" w:rsidRPr="00780E96">
        <w:t xml:space="preserve">. </w:t>
      </w:r>
      <w:r w:rsidR="001931F5" w:rsidRPr="00780E96">
        <w:t>P</w:t>
      </w:r>
      <w:r w:rsidR="00994F56" w:rsidRPr="00780E96">
        <w:t xml:space="preserve">ower units </w:t>
      </w:r>
      <w:r w:rsidR="00AE0349" w:rsidRPr="00780E96">
        <w:t>shall</w:t>
      </w:r>
      <w:r w:rsidR="00994F56" w:rsidRPr="00780E96">
        <w:t xml:space="preserve"> be considered </w:t>
      </w:r>
      <w:r w:rsidRPr="00780E96">
        <w:t>separately</w:t>
      </w:r>
      <w:r w:rsidR="001931F5" w:rsidRPr="00780E96">
        <w:t xml:space="preserve"> </w:t>
      </w:r>
      <w:r w:rsidRPr="00780E96">
        <w:t xml:space="preserve">in the calculation </w:t>
      </w:r>
      <w:r w:rsidR="00AE0349" w:rsidRPr="00780E96">
        <w:t xml:space="preserve">where </w:t>
      </w:r>
      <w:r w:rsidR="001931F5" w:rsidRPr="00780E96">
        <w:t xml:space="preserve">any features relevant for the calculation differ among them, such as </w:t>
      </w:r>
      <w:r w:rsidR="6F8AF145" w:rsidRPr="00780E96">
        <w:t xml:space="preserve">fuel type, </w:t>
      </w:r>
      <w:r w:rsidR="001931F5" w:rsidRPr="00780E96">
        <w:t>efficiency</w:t>
      </w:r>
      <w:r w:rsidR="00A8609D" w:rsidRPr="00780E96">
        <w:t>,</w:t>
      </w:r>
      <w:r w:rsidR="001931F5" w:rsidRPr="00780E96">
        <w:t xml:space="preserve"> </w:t>
      </w:r>
      <w:r w:rsidR="001E0634" w:rsidRPr="00780E96">
        <w:t xml:space="preserve">or </w:t>
      </w:r>
      <w:r w:rsidR="00994F56" w:rsidRPr="00780E96">
        <w:t>must-run status (</w:t>
      </w:r>
      <w:r w:rsidR="001E0634" w:rsidRPr="00780E96">
        <w:t>e.g.</w:t>
      </w:r>
      <w:r w:rsidR="00994F56" w:rsidRPr="00780E96">
        <w:t xml:space="preserve">, </w:t>
      </w:r>
      <w:r w:rsidR="001044AA" w:rsidRPr="00780E96">
        <w:t>where a</w:t>
      </w:r>
      <w:r w:rsidR="001E0634" w:rsidRPr="00780E96">
        <w:t xml:space="preserve"> power plant includes </w:t>
      </w:r>
      <w:r w:rsidR="00994F56" w:rsidRPr="00780E96">
        <w:t xml:space="preserve">a mix of must-run and non-must-run units). </w:t>
      </w:r>
      <w:r w:rsidRPr="00780E96">
        <w:t>Otherwise, several power units may be aggregated into one power plant and considered together in the calculation.</w:t>
      </w:r>
    </w:p>
    <w:p w14:paraId="5DD303C2" w14:textId="613C9B0A" w:rsidR="008A3231" w:rsidRPr="00780E96" w:rsidRDefault="002425E5" w:rsidP="00D649A0">
      <w:pPr>
        <w:pStyle w:val="SDMHead5"/>
        <w:keepLines w:val="0"/>
      </w:pPr>
      <w:r w:rsidRPr="00780E96">
        <w:t>Treatment of electricity imports and exports</w:t>
      </w:r>
    </w:p>
    <w:p w14:paraId="03441FB8" w14:textId="65D202D1" w:rsidR="00660023" w:rsidRPr="00780E96" w:rsidRDefault="11690D08" w:rsidP="00F62D64">
      <w:pPr>
        <w:pStyle w:val="SDMPara"/>
        <w:keepNext/>
      </w:pPr>
      <w:r w:rsidRPr="00780E96">
        <w:t>Any net electricity imports from a connected electricity system to the project electricity system during the relevant period shall be treated as a power unit </w:t>
      </w:r>
      <w:r w:rsidR="401DB389" w:rsidRPr="00780E96">
        <w:rPr>
          <w:i/>
          <w:iCs/>
        </w:rPr>
        <w:t>p</w:t>
      </w:r>
      <w:r w:rsidRPr="00780E96">
        <w:t xml:space="preserve"> supplying electricity to the </w:t>
      </w:r>
      <w:r w:rsidR="6F917723" w:rsidRPr="00780E96">
        <w:t xml:space="preserve">project </w:t>
      </w:r>
      <w:r w:rsidRPr="00780E96">
        <w:t>electricity system.</w:t>
      </w:r>
      <w:r w:rsidRPr="00780E96">
        <w:rPr>
          <w:rFonts w:eastAsia="Arial"/>
        </w:rPr>
        <w:t xml:space="preserve"> </w:t>
      </w:r>
      <w:r w:rsidR="3F94FF34" w:rsidRPr="00780E96">
        <w:rPr>
          <w:rFonts w:eastAsia="Arial"/>
        </w:rPr>
        <w:t>T</w:t>
      </w:r>
      <w:r w:rsidR="73DDEB1E" w:rsidRPr="00780E96">
        <w:rPr>
          <w:rFonts w:eastAsia="Arial"/>
        </w:rPr>
        <w:t>he must-run status of net electricity imports shall be determined in accordance with para</w:t>
      </w:r>
      <w:r w:rsidR="5CD49082" w:rsidRPr="00780E96">
        <w:rPr>
          <w:rFonts w:eastAsia="Arial"/>
        </w:rPr>
        <w:t>graph</w:t>
      </w:r>
      <w:r w:rsidR="00894A5B" w:rsidRPr="00780E96">
        <w:rPr>
          <w:rFonts w:eastAsia="Arial"/>
        </w:rPr>
        <w:t>s</w:t>
      </w:r>
      <w:r w:rsidR="73DDEB1E" w:rsidRPr="00780E96">
        <w:rPr>
          <w:rFonts w:eastAsia="Arial"/>
        </w:rPr>
        <w:t xml:space="preserve"> </w:t>
      </w:r>
      <w:r w:rsidR="005A7FD6" w:rsidRPr="00780E96">
        <w:rPr>
          <w:rFonts w:eastAsia="MS Mincho"/>
          <w:lang w:eastAsia="ja-JP"/>
        </w:rPr>
        <w:fldChar w:fldCharType="begin"/>
      </w:r>
      <w:r w:rsidR="005A7FD6" w:rsidRPr="00780E96">
        <w:rPr>
          <w:rFonts w:eastAsia="Arial"/>
        </w:rPr>
        <w:instrText xml:space="preserve"> REF _Ref220951549 \r \h </w:instrText>
      </w:r>
      <w:r w:rsidR="00780E96">
        <w:rPr>
          <w:rFonts w:eastAsia="MS Mincho"/>
          <w:lang w:eastAsia="ja-JP"/>
        </w:rPr>
        <w:instrText xml:space="preserve"> \* MERGEFORMAT </w:instrText>
      </w:r>
      <w:r w:rsidR="005A7FD6" w:rsidRPr="00780E96">
        <w:rPr>
          <w:rFonts w:eastAsia="MS Mincho"/>
          <w:lang w:eastAsia="ja-JP"/>
        </w:rPr>
      </w:r>
      <w:r w:rsidR="005A7FD6" w:rsidRPr="00780E96">
        <w:rPr>
          <w:rFonts w:eastAsia="MS Mincho"/>
          <w:lang w:eastAsia="ja-JP"/>
        </w:rPr>
        <w:fldChar w:fldCharType="separate"/>
      </w:r>
      <w:r w:rsidR="003B0135" w:rsidRPr="00780E96">
        <w:rPr>
          <w:rFonts w:eastAsia="Arial"/>
          <w:cs/>
        </w:rPr>
        <w:t>‎</w:t>
      </w:r>
      <w:r w:rsidR="003B0135" w:rsidRPr="00780E96">
        <w:rPr>
          <w:rFonts w:eastAsia="Arial"/>
        </w:rPr>
        <w:t>62</w:t>
      </w:r>
      <w:r w:rsidR="005A7FD6" w:rsidRPr="00780E96">
        <w:rPr>
          <w:rFonts w:eastAsia="MS Mincho"/>
          <w:lang w:eastAsia="ja-JP"/>
        </w:rPr>
        <w:fldChar w:fldCharType="end"/>
      </w:r>
      <w:r w:rsidR="005A7FD6" w:rsidRPr="00780E96">
        <w:rPr>
          <w:rFonts w:eastAsia="MS Mincho"/>
          <w:lang w:eastAsia="ja-JP"/>
        </w:rPr>
        <w:t xml:space="preserve"> and </w:t>
      </w:r>
      <w:r w:rsidR="005A7FD6" w:rsidRPr="00780E96">
        <w:rPr>
          <w:rFonts w:eastAsia="MS Mincho"/>
          <w:lang w:eastAsia="ja-JP"/>
        </w:rPr>
        <w:fldChar w:fldCharType="begin"/>
      </w:r>
      <w:r w:rsidR="005A7FD6" w:rsidRPr="00780E96">
        <w:rPr>
          <w:rFonts w:eastAsia="MS Mincho"/>
          <w:lang w:eastAsia="ja-JP"/>
        </w:rPr>
        <w:instrText xml:space="preserve"> REF _Ref240300045 \r \h </w:instrText>
      </w:r>
      <w:r w:rsidR="00780E96">
        <w:rPr>
          <w:rFonts w:eastAsia="MS Mincho"/>
          <w:lang w:eastAsia="ja-JP"/>
        </w:rPr>
        <w:instrText xml:space="preserve"> \* MERGEFORMAT </w:instrText>
      </w:r>
      <w:r w:rsidR="005A7FD6" w:rsidRPr="00780E96">
        <w:rPr>
          <w:rFonts w:eastAsia="MS Mincho"/>
          <w:lang w:eastAsia="ja-JP"/>
        </w:rPr>
      </w:r>
      <w:r w:rsidR="005A7FD6" w:rsidRPr="00780E96">
        <w:rPr>
          <w:rFonts w:eastAsia="MS Mincho"/>
          <w:lang w:eastAsia="ja-JP"/>
        </w:rPr>
        <w:fldChar w:fldCharType="separate"/>
      </w:r>
      <w:r w:rsidR="003B0135" w:rsidRPr="00780E96">
        <w:rPr>
          <w:rFonts w:eastAsia="MS Mincho"/>
          <w:cs/>
          <w:lang w:eastAsia="ja-JP"/>
        </w:rPr>
        <w:t>‎</w:t>
      </w:r>
      <w:r w:rsidR="003B0135" w:rsidRPr="00780E96">
        <w:rPr>
          <w:rFonts w:eastAsia="MS Mincho"/>
          <w:lang w:eastAsia="ja-JP"/>
        </w:rPr>
        <w:t>63</w:t>
      </w:r>
      <w:r w:rsidR="005A7FD6" w:rsidRPr="00780E96">
        <w:rPr>
          <w:rFonts w:eastAsia="MS Mincho"/>
          <w:lang w:eastAsia="ja-JP"/>
        </w:rPr>
        <w:fldChar w:fldCharType="end"/>
      </w:r>
      <w:r w:rsidR="73DDEB1E" w:rsidRPr="00780E96">
        <w:rPr>
          <w:rFonts w:eastAsia="Arial"/>
        </w:rPr>
        <w:t>, as applicable.</w:t>
      </w:r>
      <w:r w:rsidR="73DDEB1E" w:rsidRPr="00780E96">
        <w:t xml:space="preserve"> </w:t>
      </w:r>
      <w:r w:rsidRPr="00780E96">
        <w:t xml:space="preserve">The emission factor for </w:t>
      </w:r>
      <w:r w:rsidR="266E0552" w:rsidRPr="00780E96">
        <w:t xml:space="preserve">the connected electricity system </w:t>
      </w:r>
      <w:r w:rsidR="322D21D1" w:rsidRPr="00780E96">
        <w:t>tha</w:t>
      </w:r>
      <w:r w:rsidR="4BFA28A1" w:rsidRPr="00780E96">
        <w:t>t</w:t>
      </w:r>
      <w:r w:rsidR="266E0552" w:rsidRPr="00780E96">
        <w:t xml:space="preserve"> is exporting electricity to the project electricity system </w:t>
      </w:r>
      <w:r w:rsidRPr="00780E96">
        <w:t xml:space="preserve">shall be determined for the </w:t>
      </w:r>
      <w:r w:rsidR="251C0D23" w:rsidRPr="00780E96">
        <w:t xml:space="preserve">relevant </w:t>
      </w:r>
      <w:r w:rsidR="46DB732E" w:rsidRPr="00780E96">
        <w:t>period (</w:t>
      </w:r>
      <w:r w:rsidR="5545B6F6" w:rsidRPr="00780E96">
        <w:t>either</w:t>
      </w:r>
      <w:r w:rsidRPr="00780E96">
        <w:t xml:space="preserve"> the </w:t>
      </w:r>
      <w:r w:rsidR="5545B6F6" w:rsidRPr="00780E96">
        <w:t>calendar year</w:t>
      </w:r>
      <w:r w:rsidR="4B6EB598" w:rsidRPr="00780E96">
        <w:t> </w:t>
      </w:r>
      <w:r w:rsidR="5545B6F6" w:rsidRPr="00780E96">
        <w:rPr>
          <w:i/>
          <w:iCs/>
        </w:rPr>
        <w:t>y</w:t>
      </w:r>
      <w:r w:rsidR="5545B6F6" w:rsidRPr="00780E96">
        <w:t xml:space="preserve"> of the crediting</w:t>
      </w:r>
      <w:r w:rsidRPr="00780E96">
        <w:t xml:space="preserve"> period</w:t>
      </w:r>
      <w:r w:rsidR="5545B6F6" w:rsidRPr="00780E96">
        <w:t xml:space="preserve"> or the hour</w:t>
      </w:r>
      <w:r w:rsidR="4B6EB598" w:rsidRPr="00780E96">
        <w:t> </w:t>
      </w:r>
      <w:r w:rsidR="5545B6F6" w:rsidRPr="00780E96">
        <w:rPr>
          <w:i/>
          <w:iCs/>
        </w:rPr>
        <w:t>h</w:t>
      </w:r>
      <w:r w:rsidR="5545B6F6" w:rsidRPr="00780E96">
        <w:t xml:space="preserve"> within the calendar year</w:t>
      </w:r>
      <w:r w:rsidR="4B6EB598" w:rsidRPr="00780E96">
        <w:t> </w:t>
      </w:r>
      <w:r w:rsidR="5545B6F6" w:rsidRPr="00780E96">
        <w:rPr>
          <w:i/>
          <w:iCs/>
        </w:rPr>
        <w:t>y</w:t>
      </w:r>
      <w:r w:rsidR="5545B6F6" w:rsidRPr="00780E96">
        <w:t xml:space="preserve"> of the crediting period</w:t>
      </w:r>
      <w:r w:rsidRPr="00780E96">
        <w:t>) using one of the following options:</w:t>
      </w:r>
    </w:p>
    <w:p w14:paraId="67817B15" w14:textId="44C2EE75" w:rsidR="00660023" w:rsidRPr="00780E96" w:rsidRDefault="006D43EE" w:rsidP="00A704C1">
      <w:pPr>
        <w:pStyle w:val="SDMSubPara1"/>
      </w:pPr>
      <w:r w:rsidRPr="00780E96">
        <w:t>Use</w:t>
      </w:r>
      <w:r w:rsidR="00FE6B35" w:rsidRPr="00780E96" w:rsidDel="006D43EE">
        <w:t xml:space="preserve"> </w:t>
      </w:r>
      <w:r w:rsidR="00FE6B35" w:rsidRPr="00780E96">
        <w:t>the</w:t>
      </w:r>
      <w:r w:rsidR="00660023" w:rsidRPr="00780E96">
        <w:t xml:space="preserve"> </w:t>
      </w:r>
      <w:r w:rsidR="00FE6B35" w:rsidRPr="00780E96">
        <w:t xml:space="preserve">combined margin emission factor of the </w:t>
      </w:r>
      <w:r w:rsidR="00202529" w:rsidRPr="00780E96">
        <w:t xml:space="preserve">connected </w:t>
      </w:r>
      <w:r w:rsidR="00FE6B35" w:rsidRPr="00780E96">
        <w:t>electricity system</w:t>
      </w:r>
      <w:r w:rsidR="00D855F8" w:rsidRPr="00780E96">
        <w:t xml:space="preserve">, </w:t>
      </w:r>
      <w:r w:rsidR="00636EEA" w:rsidRPr="00780E96">
        <w:t xml:space="preserve">determined </w:t>
      </w:r>
      <w:r w:rsidR="005948D6" w:rsidRPr="00780E96">
        <w:t>in accordance with</w:t>
      </w:r>
      <w:r w:rsidR="00660023" w:rsidRPr="00780E96">
        <w:t xml:space="preserve"> </w:t>
      </w:r>
      <w:r w:rsidR="00FE6B35" w:rsidRPr="00780E96">
        <w:t>this section (</w:t>
      </w:r>
      <w:r w:rsidR="001211BE" w:rsidRPr="00780E96">
        <w:t>section </w:t>
      </w:r>
      <w:r w:rsidRPr="00780E96">
        <w:fldChar w:fldCharType="begin"/>
      </w:r>
      <w:r w:rsidRPr="00780E96">
        <w:instrText>REF _Ref215608724 \r</w:instrText>
      </w:r>
      <w:r w:rsidR="00780E96">
        <w:instrText xml:space="preserve"> \* MERGEFORMAT </w:instrText>
      </w:r>
      <w:r w:rsidRPr="00780E96">
        <w:fldChar w:fldCharType="separate"/>
      </w:r>
      <w:r w:rsidR="003B0135" w:rsidRPr="00780E96">
        <w:rPr>
          <w:cs/>
        </w:rPr>
        <w:t>‎</w:t>
      </w:r>
      <w:r w:rsidR="003B0135" w:rsidRPr="00780E96">
        <w:t>5.7.1</w:t>
      </w:r>
      <w:r w:rsidRPr="00780E96">
        <w:fldChar w:fldCharType="end"/>
      </w:r>
      <w:r w:rsidR="00FE6B35" w:rsidRPr="00780E96">
        <w:t>)</w:t>
      </w:r>
      <w:r w:rsidR="00660023" w:rsidRPr="00780E96">
        <w:t>;</w:t>
      </w:r>
      <w:r w:rsidR="00485DA5" w:rsidRPr="00780E96">
        <w:t xml:space="preserve"> </w:t>
      </w:r>
      <w:r w:rsidR="00DF2A17" w:rsidRPr="00780E96">
        <w:t>or</w:t>
      </w:r>
    </w:p>
    <w:p w14:paraId="6D5BB908" w14:textId="0542D2E1" w:rsidR="00660023" w:rsidRPr="00780E96" w:rsidRDefault="00660023" w:rsidP="00A704C1">
      <w:pPr>
        <w:pStyle w:val="SDMSubPara1"/>
      </w:pPr>
      <w:r w:rsidRPr="00780E96">
        <w:t>Use the conservative default emission factors</w:t>
      </w:r>
      <w:r w:rsidR="00AD1F22" w:rsidRPr="00780E96">
        <w:t xml:space="preserve"> set out</w:t>
      </w:r>
      <w:r w:rsidRPr="00780E96">
        <w:t xml:space="preserve"> in section</w:t>
      </w:r>
      <w:r w:rsidR="001211BE" w:rsidRPr="00780E96">
        <w:t> </w:t>
      </w:r>
      <w:r w:rsidRPr="00780E96">
        <w:fldChar w:fldCharType="begin"/>
      </w:r>
      <w:r w:rsidRPr="00780E96">
        <w:instrText>REF _Ref215608692 \r</w:instrText>
      </w:r>
      <w:r w:rsidR="00780E96">
        <w:instrText xml:space="preserve"> \* MERGEFORMAT </w:instrText>
      </w:r>
      <w:r w:rsidRPr="00780E96">
        <w:fldChar w:fldCharType="separate"/>
      </w:r>
      <w:r w:rsidR="003B0135" w:rsidRPr="00780E96">
        <w:rPr>
          <w:cs/>
        </w:rPr>
        <w:t>‎</w:t>
      </w:r>
      <w:r w:rsidR="003B0135" w:rsidRPr="00780E96">
        <w:t>5.7.2</w:t>
      </w:r>
      <w:r w:rsidRPr="00780E96">
        <w:fldChar w:fldCharType="end"/>
      </w:r>
      <w:r w:rsidRPr="00780E96">
        <w:t xml:space="preserve"> for the exporting electricity system;</w:t>
      </w:r>
      <w:r w:rsidR="00AD1F22" w:rsidRPr="00780E96">
        <w:t xml:space="preserve"> or</w:t>
      </w:r>
    </w:p>
    <w:p w14:paraId="72D66808" w14:textId="510BE784" w:rsidR="00660023" w:rsidRPr="00780E96" w:rsidRDefault="000F39EF" w:rsidP="00F62D64">
      <w:pPr>
        <w:pStyle w:val="SDMSubPara1"/>
        <w:keepNext/>
      </w:pPr>
      <w:r w:rsidRPr="00780E96">
        <w:t xml:space="preserve">Where </w:t>
      </w:r>
      <w:r w:rsidR="00660023" w:rsidRPr="00780E96">
        <w:t xml:space="preserve">the amount of net electricity imports is smaller than </w:t>
      </w:r>
      <w:r w:rsidR="007B10B4" w:rsidRPr="00780E96">
        <w:t>5</w:t>
      </w:r>
      <w:r w:rsidR="00AD3FEB" w:rsidRPr="00780E96">
        <w:t xml:space="preserve"> per cent</w:t>
      </w:r>
      <w:r w:rsidR="00660023" w:rsidRPr="00780E96">
        <w:t xml:space="preserve"> of</w:t>
      </w:r>
      <w:r w:rsidR="00660023" w:rsidRPr="00780E96" w:rsidDel="00A83C53">
        <w:t xml:space="preserve"> </w:t>
      </w:r>
      <w:r w:rsidR="00660023" w:rsidRPr="00780E96">
        <w:t xml:space="preserve">electricity generation in the </w:t>
      </w:r>
      <w:r w:rsidR="00DA410E" w:rsidRPr="00780E96">
        <w:t xml:space="preserve">project </w:t>
      </w:r>
      <w:r w:rsidR="00660023" w:rsidRPr="00780E96">
        <w:t xml:space="preserve">electricity system </w:t>
      </w:r>
      <w:r w:rsidR="00A83C53" w:rsidRPr="00780E96">
        <w:t xml:space="preserve">during </w:t>
      </w:r>
      <w:r w:rsidR="00660023" w:rsidRPr="00780E96">
        <w:t>the relevant period, one of the following options</w:t>
      </w:r>
      <w:r w:rsidR="0001425D" w:rsidRPr="00780E96">
        <w:t xml:space="preserve"> may be used</w:t>
      </w:r>
      <w:r w:rsidR="00660023" w:rsidRPr="00780E96">
        <w:t>:</w:t>
      </w:r>
    </w:p>
    <w:p w14:paraId="15AC4CC9" w14:textId="0CCAB094" w:rsidR="00660023" w:rsidRPr="00780E96" w:rsidRDefault="00BA1878" w:rsidP="00973925">
      <w:pPr>
        <w:pStyle w:val="SDMSubPara2"/>
      </w:pPr>
      <w:r w:rsidRPr="00780E96">
        <w:rPr>
          <w:lang w:eastAsia="ja-JP"/>
        </w:rPr>
        <w:t>T</w:t>
      </w:r>
      <w:r w:rsidR="00660023" w:rsidRPr="00780E96">
        <w:t xml:space="preserve">he simple </w:t>
      </w:r>
      <w:r w:rsidR="00CA013E" w:rsidRPr="00780E96">
        <w:t>OM</w:t>
      </w:r>
      <w:r w:rsidR="00660023" w:rsidRPr="00780E96">
        <w:t xml:space="preserve"> emission factor of the exporting electricity system, determined as described in section </w:t>
      </w:r>
      <w:r w:rsidR="00953D98" w:rsidRPr="00780E96">
        <w:fldChar w:fldCharType="begin"/>
      </w:r>
      <w:r w:rsidR="00953D98" w:rsidRPr="00780E96">
        <w:instrText xml:space="preserve"> REF _Ref215683293 \w \h </w:instrText>
      </w:r>
      <w:r w:rsidR="00275731" w:rsidRPr="00780E96">
        <w:instrText xml:space="preserve"> \* MERGEFORMAT </w:instrText>
      </w:r>
      <w:r w:rsidR="00953D98" w:rsidRPr="00780E96">
        <w:fldChar w:fldCharType="separate"/>
      </w:r>
      <w:r w:rsidR="003B0135" w:rsidRPr="00780E96">
        <w:rPr>
          <w:cs/>
        </w:rPr>
        <w:t>‎</w:t>
      </w:r>
      <w:r w:rsidR="003B0135" w:rsidRPr="00780E96">
        <w:t>5.7.1.2.2</w:t>
      </w:r>
      <w:r w:rsidR="00953D98" w:rsidRPr="00780E96">
        <w:fldChar w:fldCharType="end"/>
      </w:r>
      <w:r w:rsidR="00660023" w:rsidRPr="00780E96">
        <w:t>,</w:t>
      </w:r>
      <w:r w:rsidR="00660023" w:rsidRPr="00780E96" w:rsidDel="00995F37">
        <w:t xml:space="preserve"> </w:t>
      </w:r>
      <w:r w:rsidR="00995F37" w:rsidRPr="00780E96">
        <w:t xml:space="preserve">where </w:t>
      </w:r>
      <w:r w:rsidR="00660023" w:rsidRPr="00780E96">
        <w:t>the conditions for this method, as described in paragraph</w:t>
      </w:r>
      <w:r w:rsidR="00371E1E" w:rsidRPr="00780E96">
        <w:t> </w:t>
      </w:r>
      <w:r w:rsidR="009D51CC" w:rsidRPr="00780E96">
        <w:fldChar w:fldCharType="begin"/>
      </w:r>
      <w:r w:rsidR="009D51CC" w:rsidRPr="00780E96">
        <w:instrText xml:space="preserve"> REF _Ref221037558 \w \h </w:instrText>
      </w:r>
      <w:r w:rsidR="00BC7440" w:rsidRPr="00780E96">
        <w:instrText xml:space="preserve"> \* MERGEFORMAT </w:instrText>
      </w:r>
      <w:r w:rsidR="009D51CC" w:rsidRPr="00780E96">
        <w:fldChar w:fldCharType="separate"/>
      </w:r>
      <w:r w:rsidR="003B0135" w:rsidRPr="00780E96">
        <w:rPr>
          <w:cs/>
        </w:rPr>
        <w:t>‎</w:t>
      </w:r>
      <w:r w:rsidR="003B0135" w:rsidRPr="00780E96">
        <w:t>74</w:t>
      </w:r>
      <w:r w:rsidR="009D51CC" w:rsidRPr="00780E96">
        <w:fldChar w:fldCharType="end"/>
      </w:r>
      <w:r w:rsidR="00660023" w:rsidRPr="00780E96">
        <w:t xml:space="preserve">, apply to the exporting </w:t>
      </w:r>
      <w:r w:rsidR="00B65CFC" w:rsidRPr="00780E96">
        <w:t>electricity system</w:t>
      </w:r>
      <w:r w:rsidR="00660023" w:rsidRPr="00780E96">
        <w:t>; or</w:t>
      </w:r>
    </w:p>
    <w:p w14:paraId="0E0A879A" w14:textId="35885AE6" w:rsidR="00660023" w:rsidRPr="00780E96" w:rsidRDefault="11690D08" w:rsidP="00A704C1">
      <w:pPr>
        <w:pStyle w:val="SDMSubPara2"/>
      </w:pPr>
      <w:r w:rsidRPr="00780E96">
        <w:t xml:space="preserve">The simple adjusted </w:t>
      </w:r>
      <w:r w:rsidR="251AA7D3" w:rsidRPr="00780E96">
        <w:t>OM</w:t>
      </w:r>
      <w:r w:rsidRPr="00780E96">
        <w:t xml:space="preserve"> emission factor of the exporting electricity system, determined as described in </w:t>
      </w:r>
      <w:r w:rsidR="4D71B9B5" w:rsidRPr="00780E96">
        <w:t>section</w:t>
      </w:r>
      <w:r w:rsidR="0F438F9C" w:rsidRPr="00780E96">
        <w:t xml:space="preserve"> </w:t>
      </w:r>
      <w:r w:rsidR="00300143" w:rsidRPr="00780E96">
        <w:fldChar w:fldCharType="begin"/>
      </w:r>
      <w:r w:rsidR="00300143" w:rsidRPr="00780E96">
        <w:instrText xml:space="preserve"> REF _Ref216065061 \w \h </w:instrText>
      </w:r>
      <w:r w:rsidR="00275731" w:rsidRPr="00780E96">
        <w:instrText xml:space="preserve"> \* MERGEFORMAT </w:instrText>
      </w:r>
      <w:r w:rsidR="00300143" w:rsidRPr="00780E96">
        <w:fldChar w:fldCharType="separate"/>
      </w:r>
      <w:r w:rsidR="003B0135" w:rsidRPr="00780E96">
        <w:rPr>
          <w:cs/>
        </w:rPr>
        <w:t>‎</w:t>
      </w:r>
      <w:r w:rsidR="003B0135" w:rsidRPr="00780E96">
        <w:t>5.7.1.2.3</w:t>
      </w:r>
      <w:r w:rsidR="00300143" w:rsidRPr="00780E96">
        <w:fldChar w:fldCharType="end"/>
      </w:r>
      <w:r w:rsidR="0F438F9C" w:rsidRPr="00780E96">
        <w:t>,</w:t>
      </w:r>
      <w:r w:rsidRPr="00780E96" w:rsidDel="00C92046">
        <w:t xml:space="preserve"> </w:t>
      </w:r>
      <w:r w:rsidR="336A7EC6" w:rsidRPr="00780E96">
        <w:t xml:space="preserve">where </w:t>
      </w:r>
      <w:r w:rsidRPr="00780E96">
        <w:t>the conditions for this method, as described in para</w:t>
      </w:r>
      <w:r w:rsidR="336A7EC6" w:rsidRPr="00780E96">
        <w:t>graph</w:t>
      </w:r>
      <w:r w:rsidR="0F206C5A" w:rsidRPr="00780E96">
        <w:t> </w:t>
      </w:r>
      <w:r w:rsidR="00300143" w:rsidRPr="00780E96">
        <w:fldChar w:fldCharType="begin"/>
      </w:r>
      <w:r w:rsidR="00300143" w:rsidRPr="00780E96">
        <w:instrText xml:space="preserve"> REF _Ref220953076 \w \h </w:instrText>
      </w:r>
      <w:r w:rsidR="00BC7440" w:rsidRPr="00780E96">
        <w:instrText xml:space="preserve"> \* MERGEFORMAT </w:instrText>
      </w:r>
      <w:r w:rsidR="00300143" w:rsidRPr="00780E96">
        <w:fldChar w:fldCharType="separate"/>
      </w:r>
      <w:r w:rsidR="003B0135" w:rsidRPr="00780E96">
        <w:rPr>
          <w:cs/>
        </w:rPr>
        <w:t>‎</w:t>
      </w:r>
      <w:r w:rsidR="003B0135" w:rsidRPr="00780E96">
        <w:t>85</w:t>
      </w:r>
      <w:r w:rsidR="00300143" w:rsidRPr="00780E96">
        <w:fldChar w:fldCharType="end"/>
      </w:r>
      <w:r w:rsidRPr="00780E96">
        <w:t xml:space="preserve">, apply to the exporting </w:t>
      </w:r>
      <w:r w:rsidR="020B2437" w:rsidRPr="00780E96">
        <w:t>electricity system</w:t>
      </w:r>
      <w:r w:rsidR="10230311" w:rsidRPr="00780E96">
        <w:t>;</w:t>
      </w:r>
      <w:r w:rsidR="399CCAA4" w:rsidRPr="00780E96">
        <w:t xml:space="preserve"> or</w:t>
      </w:r>
    </w:p>
    <w:p w14:paraId="5E0C40C8" w14:textId="025C252F" w:rsidR="00402B15" w:rsidRPr="00780E96" w:rsidRDefault="00402B15" w:rsidP="00A704C1">
      <w:pPr>
        <w:pStyle w:val="SDMSubPara2"/>
      </w:pPr>
      <w:r w:rsidRPr="00780E96">
        <w:rPr>
          <w:lang w:eastAsia="ja-JP"/>
        </w:rPr>
        <w:t>T</w:t>
      </w:r>
      <w:r w:rsidRPr="00780E96">
        <w:t xml:space="preserve">he average OM emission factor of the exporting electricity system, determined as described in section </w:t>
      </w:r>
      <w:r w:rsidR="00300143" w:rsidRPr="00780E96">
        <w:fldChar w:fldCharType="begin"/>
      </w:r>
      <w:r w:rsidR="00300143" w:rsidRPr="00780E96">
        <w:instrText xml:space="preserve"> REF _Ref221037618 \w \h </w:instrText>
      </w:r>
      <w:r w:rsidR="00275731" w:rsidRPr="00780E96">
        <w:instrText xml:space="preserve"> \* MERGEFORMAT </w:instrText>
      </w:r>
      <w:r w:rsidR="00300143" w:rsidRPr="00780E96">
        <w:fldChar w:fldCharType="separate"/>
      </w:r>
      <w:r w:rsidR="003B0135" w:rsidRPr="00780E96">
        <w:rPr>
          <w:cs/>
        </w:rPr>
        <w:t>‎</w:t>
      </w:r>
      <w:r w:rsidR="003B0135" w:rsidRPr="00780E96">
        <w:t>5.7.1.2.4</w:t>
      </w:r>
      <w:r w:rsidR="00300143" w:rsidRPr="00780E96">
        <w:fldChar w:fldCharType="end"/>
      </w:r>
      <w:r w:rsidRPr="00780E96">
        <w:t>,</w:t>
      </w:r>
      <w:r w:rsidRPr="00780E96" w:rsidDel="00667CC3">
        <w:t xml:space="preserve"> </w:t>
      </w:r>
      <w:r w:rsidRPr="00780E96">
        <w:t>where the conditions for this method, as described in paragraph</w:t>
      </w:r>
      <w:r w:rsidR="00371E1E" w:rsidRPr="00780E96">
        <w:t> </w:t>
      </w:r>
      <w:r w:rsidR="00300143" w:rsidRPr="00780E96">
        <w:fldChar w:fldCharType="begin"/>
      </w:r>
      <w:r w:rsidR="00300143" w:rsidRPr="00780E96">
        <w:instrText xml:space="preserve"> REF _Ref216176376 \w \h </w:instrText>
      </w:r>
      <w:r w:rsidR="00BC7440" w:rsidRPr="00780E96">
        <w:instrText xml:space="preserve"> \* MERGEFORMAT </w:instrText>
      </w:r>
      <w:r w:rsidR="00300143" w:rsidRPr="00780E96">
        <w:fldChar w:fldCharType="separate"/>
      </w:r>
      <w:r w:rsidR="003B0135" w:rsidRPr="00780E96">
        <w:rPr>
          <w:cs/>
        </w:rPr>
        <w:t>‎</w:t>
      </w:r>
      <w:r w:rsidR="003B0135" w:rsidRPr="00780E96">
        <w:t>91</w:t>
      </w:r>
      <w:r w:rsidR="00300143" w:rsidRPr="00780E96">
        <w:fldChar w:fldCharType="end"/>
      </w:r>
      <w:r w:rsidRPr="00780E96">
        <w:t>, apply to the exporting electricity system</w:t>
      </w:r>
      <w:r w:rsidR="0045644E" w:rsidRPr="00780E96">
        <w:t>.</w:t>
      </w:r>
    </w:p>
    <w:p w14:paraId="4500C47C" w14:textId="7711A78D" w:rsidR="00660023" w:rsidRPr="00780E96" w:rsidRDefault="00660023">
      <w:pPr>
        <w:pStyle w:val="SDMPara"/>
      </w:pPr>
      <w:r w:rsidRPr="00780E96">
        <w:t xml:space="preserve">Any net electricity exports from the </w:t>
      </w:r>
      <w:r w:rsidR="552B20D0" w:rsidRPr="00780E96">
        <w:t>project</w:t>
      </w:r>
      <w:r w:rsidR="40E623C1" w:rsidRPr="00780E96">
        <w:t xml:space="preserve"> </w:t>
      </w:r>
      <w:r w:rsidRPr="00780E96">
        <w:t xml:space="preserve">electricity system to a connected electricity system shall not be accounted for in the application of this </w:t>
      </w:r>
      <w:r w:rsidR="007F2B04" w:rsidRPr="00780E96">
        <w:t xml:space="preserve">methodological </w:t>
      </w:r>
      <w:r w:rsidRPr="00780E96">
        <w:t>tool.</w:t>
      </w:r>
    </w:p>
    <w:p w14:paraId="497EA2F6" w14:textId="77777777" w:rsidR="00AF13FE" w:rsidRPr="00780E96" w:rsidRDefault="00272E6F">
      <w:pPr>
        <w:pStyle w:val="SDMHead5"/>
      </w:pPr>
      <w:bookmarkStart w:id="611" w:name="_Ref215698796"/>
      <w:bookmarkStart w:id="612" w:name="_Ref215687101"/>
      <w:r w:rsidRPr="00780E96">
        <w:t>General requirements for determining</w:t>
      </w:r>
      <w:r w:rsidR="00AF13FE" w:rsidRPr="00780E96">
        <w:t xml:space="preserve"> </w:t>
      </w:r>
      <w:r w:rsidR="00AF13FE" w:rsidRPr="00780E96">
        <w:rPr>
          <w:lang w:val="en-US"/>
        </w:rPr>
        <w:t>CO</w:t>
      </w:r>
      <w:r w:rsidR="00AF13FE" w:rsidRPr="00780E96">
        <w:rPr>
          <w:vertAlign w:val="subscript"/>
          <w:lang w:val="en-US"/>
        </w:rPr>
        <w:t>2</w:t>
      </w:r>
      <w:r w:rsidR="00AF13FE" w:rsidRPr="00780E96">
        <w:t xml:space="preserve"> emission factors </w:t>
      </w:r>
      <w:r w:rsidRPr="00780E96">
        <w:t>of</w:t>
      </w:r>
      <w:r w:rsidR="00AF13FE" w:rsidRPr="00780E96">
        <w:t xml:space="preserve"> power units</w:t>
      </w:r>
      <w:bookmarkEnd w:id="611"/>
      <w:bookmarkEnd w:id="612"/>
    </w:p>
    <w:p w14:paraId="1A3E9003" w14:textId="50295BCA" w:rsidR="007319A2" w:rsidRPr="00780E96" w:rsidRDefault="00FA5778">
      <w:pPr>
        <w:pStyle w:val="SDMPara"/>
      </w:pPr>
      <w:r w:rsidRPr="00780E96">
        <w:t xml:space="preserve">This section sets out how activity participants shall determine the </w:t>
      </w:r>
      <w:r w:rsidRPr="00780E96">
        <w:rPr>
          <w:lang w:val="en-US"/>
        </w:rPr>
        <w:t>CO</w:t>
      </w:r>
      <w:r w:rsidRPr="00780E96">
        <w:rPr>
          <w:vertAlign w:val="subscript"/>
          <w:lang w:val="en-US"/>
        </w:rPr>
        <w:t>2</w:t>
      </w:r>
      <w:r w:rsidRPr="00780E96">
        <w:t xml:space="preserve"> emission factors of power units </w:t>
      </w:r>
      <w:r w:rsidRPr="00780E96">
        <w:rPr>
          <w:i/>
          <w:iCs/>
        </w:rPr>
        <w:t>p</w:t>
      </w:r>
      <w:r w:rsidRPr="00780E96">
        <w:t xml:space="preserve">. The section applies to </w:t>
      </w:r>
      <w:r w:rsidR="00C01570" w:rsidRPr="00780E96">
        <w:t>the calculation</w:t>
      </w:r>
      <w:r w:rsidR="00A000FA" w:rsidRPr="00780E96">
        <w:t xml:space="preserve"> of</w:t>
      </w:r>
      <w:r w:rsidR="00C01570" w:rsidRPr="00780E96">
        <w:t xml:space="preserve"> </w:t>
      </w:r>
      <w:r w:rsidRPr="00780E96">
        <w:t>both the BM and the OM emission factor.</w:t>
      </w:r>
    </w:p>
    <w:p w14:paraId="6D2771FE" w14:textId="77777777" w:rsidR="007319A2" w:rsidRPr="00780E96" w:rsidRDefault="00FA5778" w:rsidP="00F62D64">
      <w:pPr>
        <w:pStyle w:val="SDMPara"/>
        <w:keepNext/>
      </w:pPr>
      <w:r w:rsidRPr="00780E96">
        <w:t xml:space="preserve">The </w:t>
      </w:r>
      <w:r w:rsidRPr="00780E96">
        <w:rPr>
          <w:lang w:val="en-US"/>
        </w:rPr>
        <w:t>CO</w:t>
      </w:r>
      <w:r w:rsidRPr="00780E96">
        <w:rPr>
          <w:vertAlign w:val="subscript"/>
          <w:lang w:val="en-US"/>
        </w:rPr>
        <w:t>2</w:t>
      </w:r>
      <w:r w:rsidRPr="00780E96">
        <w:t xml:space="preserve"> emission factor of each power unit </w:t>
      </w:r>
      <w:r w:rsidRPr="00780E96">
        <w:rPr>
          <w:i/>
        </w:rPr>
        <w:t>p</w:t>
      </w:r>
      <w:r w:rsidRPr="00780E96">
        <w:t xml:space="preserve"> (</w:t>
      </w:r>
      <w:r w:rsidRPr="00780E96">
        <w:rPr>
          <w:i/>
          <w:iCs/>
        </w:rPr>
        <w:t>EF</w:t>
      </w:r>
      <w:r w:rsidRPr="00780E96">
        <w:rPr>
          <w:i/>
          <w:iCs/>
          <w:vertAlign w:val="subscript"/>
        </w:rPr>
        <w:t>EL,p,t</w:t>
      </w:r>
      <w:r w:rsidRPr="00780E96">
        <w:t>) shall be determined as follows:</w:t>
      </w:r>
    </w:p>
    <w:p w14:paraId="1D4D123D" w14:textId="294D6DAA" w:rsidR="00FA5778" w:rsidRPr="00780E96" w:rsidRDefault="00FA5778" w:rsidP="00F62D64">
      <w:pPr>
        <w:pStyle w:val="SDMSubPara1"/>
        <w:keepNext/>
      </w:pPr>
      <w:r w:rsidRPr="00780E96">
        <w:rPr>
          <w:b/>
        </w:rPr>
        <w:t>Option</w:t>
      </w:r>
      <w:r w:rsidR="00071748" w:rsidRPr="00780E96">
        <w:rPr>
          <w:b/>
        </w:rPr>
        <w:t> </w:t>
      </w:r>
      <w:r w:rsidRPr="00780E96">
        <w:rPr>
          <w:b/>
        </w:rPr>
        <w:t>1:</w:t>
      </w:r>
      <w:r w:rsidRPr="00780E96">
        <w:t xml:space="preserve"> </w:t>
      </w:r>
      <w:r w:rsidR="00A618FE" w:rsidRPr="00780E96">
        <w:t>if</w:t>
      </w:r>
      <w:r w:rsidR="00C14C82" w:rsidRPr="00780E96">
        <w:t>,</w:t>
      </w:r>
      <w:r w:rsidRPr="00780E96">
        <w:t xml:space="preserve"> for a power unit </w:t>
      </w:r>
      <w:r w:rsidRPr="00780E96">
        <w:rPr>
          <w:i/>
        </w:rPr>
        <w:t>p</w:t>
      </w:r>
      <w:r w:rsidR="00C14C82" w:rsidRPr="00780E96">
        <w:rPr>
          <w:i/>
        </w:rPr>
        <w:t>,</w:t>
      </w:r>
      <w:r w:rsidRPr="00780E96">
        <w:t xml:space="preserve"> data on fuel consumption and net electricity generation </w:t>
      </w:r>
      <w:r w:rsidR="00C00CE0" w:rsidRPr="00780E96">
        <w:t xml:space="preserve">are </w:t>
      </w:r>
      <w:r w:rsidRPr="00780E96">
        <w:t>available, the emission factor shall be determined as follows:</w:t>
      </w:r>
    </w:p>
    <w:p w14:paraId="19A2F724" w14:textId="20F7DE0B" w:rsidR="00257247" w:rsidRPr="00780E96" w:rsidRDefault="00257247" w:rsidP="00F62D64">
      <w:pPr>
        <w:pStyle w:val="SDMSubPara2"/>
        <w:keepNext/>
      </w:pPr>
      <w:r w:rsidRPr="00780E96">
        <w:t xml:space="preserve">Where </w:t>
      </w:r>
      <w:r w:rsidR="003665F9" w:rsidRPr="00780E96">
        <w:t>the power unit is not a cogeneration unit:</w:t>
      </w:r>
    </w:p>
    <w:tbl>
      <w:tblPr>
        <w:tblStyle w:val="SDMMethTableEquation"/>
        <w:tblW w:w="8188" w:type="dxa"/>
        <w:tblInd w:w="1310" w:type="dxa"/>
        <w:tblLook w:val="0600" w:firstRow="0" w:lastRow="0" w:firstColumn="0" w:lastColumn="0" w:noHBand="1" w:noVBand="1"/>
      </w:tblPr>
      <w:tblGrid>
        <w:gridCol w:w="6487"/>
        <w:gridCol w:w="1701"/>
      </w:tblGrid>
      <w:tr w:rsidR="00F832D6" w:rsidRPr="00780E96" w14:paraId="13EF36FD" w14:textId="77777777" w:rsidTr="001538F1">
        <w:tc>
          <w:tcPr>
            <w:tcW w:w="6487" w:type="dxa"/>
          </w:tcPr>
          <w:p w14:paraId="7D4317D0" w14:textId="5F2CD7AB" w:rsidR="00F832D6" w:rsidRPr="00780E96" w:rsidRDefault="003F6646" w:rsidP="00164226">
            <w:pPr>
              <w:pStyle w:val="SDMMethEquation"/>
              <w:keepLines w:val="0"/>
              <w:ind w:left="709"/>
            </w:pPr>
            <m:oMathPara>
              <m:oMathParaPr>
                <m:jc m:val="left"/>
              </m:oMathParaPr>
              <m:oMath>
                <m:sSub>
                  <m:sSubPr>
                    <m:ctrlPr>
                      <w:rPr>
                        <w:rFonts w:ascii="Cambria Math" w:hAnsi="Cambria Math" w:cs="Cambria Math"/>
                        <w:i/>
                      </w:rPr>
                    </m:ctrlPr>
                  </m:sSubPr>
                  <m:e>
                    <m:r>
                      <w:rPr>
                        <w:rFonts w:ascii="Cambria Math" w:hAnsi="Cambria Math" w:cs="Cambria Math"/>
                      </w:rPr>
                      <m:t>EF</m:t>
                    </m:r>
                  </m:e>
                  <m:sub>
                    <m:r>
                      <w:rPr>
                        <w:rFonts w:ascii="Cambria Math" w:hAnsi="Cambria Math" w:cs="Cambria Math"/>
                      </w:rPr>
                      <m:t>EL,p,t</m:t>
                    </m:r>
                  </m:sub>
                </m:sSub>
                <m:r>
                  <m:rPr>
                    <m:sty m:val="p"/>
                  </m:rPr>
                  <w:rPr>
                    <w:rFonts w:ascii="Cambria Math" w:hAnsi="Cambria Math" w:cs="Cambria Math"/>
                  </w:rPr>
                  <m:t>=</m:t>
                </m:r>
                <m:f>
                  <m:fPr>
                    <m:ctrlPr>
                      <w:rPr>
                        <w:rFonts w:ascii="Cambria Math" w:hAnsi="Cambria Math"/>
                      </w:rPr>
                    </m:ctrlPr>
                  </m:fPr>
                  <m:num>
                    <m:nary>
                      <m:naryPr>
                        <m:chr m:val="∑"/>
                        <m:limLoc m:val="undOvr"/>
                        <m:supHide m:val="1"/>
                        <m:ctrlPr>
                          <w:rPr>
                            <w:rFonts w:ascii="Cambria Math" w:hAnsi="Cambria Math"/>
                            <w:i/>
                          </w:rPr>
                        </m:ctrlPr>
                      </m:naryPr>
                      <m:sub>
                        <m:r>
                          <w:rPr>
                            <w:rFonts w:ascii="Cambria Math" w:hAnsi="Cambria Math"/>
                          </w:rPr>
                          <m:t>i</m:t>
                        </m:r>
                      </m:sub>
                      <m:sup/>
                      <m:e>
                        <m:sSub>
                          <m:sSubPr>
                            <m:ctrlPr>
                              <w:rPr>
                                <w:rFonts w:ascii="Cambria Math" w:hAnsi="Cambria Math"/>
                                <w:i/>
                              </w:rPr>
                            </m:ctrlPr>
                          </m:sSubPr>
                          <m:e>
                            <m:r>
                              <w:rPr>
                                <w:rFonts w:ascii="Cambria Math" w:hAnsi="Cambria Math"/>
                              </w:rPr>
                              <m:t>FC</m:t>
                            </m:r>
                          </m:e>
                          <m:sub>
                            <m:r>
                              <w:rPr>
                                <w:rFonts w:ascii="Cambria Math" w:hAnsi="Cambria Math"/>
                              </w:rPr>
                              <m:t>i,p,t</m:t>
                            </m:r>
                          </m:sub>
                        </m:sSub>
                        <m:r>
                          <w:rPr>
                            <w:rFonts w:ascii="Cambria Math" w:hAnsi="Cambria Math"/>
                          </w:rPr>
                          <m:t>×</m:t>
                        </m:r>
                        <m:sSub>
                          <m:sSubPr>
                            <m:ctrlPr>
                              <w:rPr>
                                <w:rFonts w:ascii="Cambria Math" w:hAnsi="Cambria Math"/>
                                <w:i/>
                              </w:rPr>
                            </m:ctrlPr>
                          </m:sSubPr>
                          <m:e>
                            <m:r>
                              <w:rPr>
                                <w:rFonts w:ascii="Cambria Math" w:hAnsi="Cambria Math"/>
                              </w:rPr>
                              <m:t>NCV</m:t>
                            </m:r>
                          </m:e>
                          <m:sub>
                            <m:r>
                              <w:rPr>
                                <w:rFonts w:ascii="Cambria Math" w:hAnsi="Cambria Math"/>
                              </w:rPr>
                              <m:t>i,t</m:t>
                            </m:r>
                          </m:sub>
                        </m:sSub>
                        <m:r>
                          <w:rPr>
                            <w:rFonts w:ascii="Cambria Math" w:hAnsi="Cambria Math"/>
                          </w:rPr>
                          <m:t>×</m:t>
                        </m:r>
                        <m:sSub>
                          <m:sSubPr>
                            <m:ctrlPr>
                              <w:rPr>
                                <w:rFonts w:ascii="Cambria Math" w:hAnsi="Cambria Math"/>
                                <w:i/>
                              </w:rPr>
                            </m:ctrlPr>
                          </m:sSubPr>
                          <m:e>
                            <m:r>
                              <w:rPr>
                                <w:rFonts w:ascii="Cambria Math" w:hAnsi="Cambria Math"/>
                              </w:rPr>
                              <m:t>EF</m:t>
                            </m:r>
                          </m:e>
                          <m:sub>
                            <m:r>
                              <w:rPr>
                                <w:rFonts w:ascii="Cambria Math" w:hAnsi="Cambria Math"/>
                              </w:rPr>
                              <m:t>CO2,i,t</m:t>
                            </m:r>
                          </m:sub>
                        </m:sSub>
                      </m:e>
                    </m:nary>
                  </m:num>
                  <m:den>
                    <m:sSub>
                      <m:sSubPr>
                        <m:ctrlPr>
                          <w:rPr>
                            <w:rFonts w:ascii="Cambria Math" w:hAnsi="Cambria Math" w:cs="Cambria Math"/>
                          </w:rPr>
                        </m:ctrlPr>
                      </m:sSubPr>
                      <m:e>
                        <m:r>
                          <w:rPr>
                            <w:rFonts w:ascii="Cambria Math" w:hAnsi="Cambria Math" w:cs="Cambria Math"/>
                          </w:rPr>
                          <m:t>EG</m:t>
                        </m:r>
                      </m:e>
                      <m:sub>
                        <m:r>
                          <w:rPr>
                            <w:rFonts w:ascii="Cambria Math" w:hAnsi="Cambria Math" w:cs="Cambria Math"/>
                          </w:rPr>
                          <m:t>p,t</m:t>
                        </m:r>
                      </m:sub>
                    </m:sSub>
                  </m:den>
                </m:f>
              </m:oMath>
            </m:oMathPara>
          </w:p>
        </w:tc>
        <w:tc>
          <w:tcPr>
            <w:tcW w:w="1701" w:type="dxa"/>
          </w:tcPr>
          <w:p w14:paraId="11F58B57" w14:textId="77777777" w:rsidR="00F832D6" w:rsidRPr="00780E96" w:rsidRDefault="00F832D6">
            <w:pPr>
              <w:pStyle w:val="SDMMethEquationNr"/>
              <w:numPr>
                <w:ilvl w:val="0"/>
                <w:numId w:val="6"/>
              </w:numPr>
            </w:pPr>
          </w:p>
        </w:tc>
      </w:tr>
    </w:tbl>
    <w:p w14:paraId="5B1D4C18" w14:textId="77777777" w:rsidR="00F832D6" w:rsidRPr="00780E96" w:rsidRDefault="00F832D6" w:rsidP="00F62D64">
      <w:pPr>
        <w:pStyle w:val="SDMMethCaptionEquationParametersTable"/>
        <w:tabs>
          <w:tab w:val="clear" w:pos="1134"/>
          <w:tab w:val="left" w:pos="1276"/>
        </w:tabs>
        <w:jc w:val="left"/>
      </w:pPr>
      <w:r w:rsidRPr="00780E96">
        <w:t>Where:</w:t>
      </w:r>
    </w:p>
    <w:tbl>
      <w:tblPr>
        <w:tblStyle w:val="SDMMethTableEquationParameters"/>
        <w:tblW w:w="8760" w:type="dxa"/>
        <w:tblLook w:val="04A0" w:firstRow="1" w:lastRow="0" w:firstColumn="1" w:lastColumn="0" w:noHBand="0" w:noVBand="1"/>
      </w:tblPr>
      <w:tblGrid>
        <w:gridCol w:w="1723"/>
        <w:gridCol w:w="431"/>
        <w:gridCol w:w="6606"/>
      </w:tblGrid>
      <w:tr w:rsidR="003D19A2" w:rsidRPr="00780E96" w14:paraId="72123ACE" w14:textId="77777777" w:rsidTr="00AA7E37">
        <w:tc>
          <w:tcPr>
            <w:tcW w:w="1701" w:type="dxa"/>
            <w:vAlign w:val="top"/>
          </w:tcPr>
          <w:p w14:paraId="0DFD19CD" w14:textId="3A81EB88" w:rsidR="003D19A2" w:rsidRPr="00780E96" w:rsidRDefault="003F6646" w:rsidP="009C00E7">
            <w:pPr>
              <w:pStyle w:val="SDMTableBoxParaNotNumbered"/>
              <w:tabs>
                <w:tab w:val="left" w:pos="1276"/>
              </w:tabs>
            </w:pPr>
            <m:oMathPara>
              <m:oMathParaPr>
                <m:jc m:val="left"/>
              </m:oMathParaPr>
              <m:oMath>
                <m:sSub>
                  <m:sSubPr>
                    <m:ctrlPr>
                      <w:rPr>
                        <w:rFonts w:ascii="Cambria Math" w:hAnsi="Cambria Math" w:cs="Cambria Math"/>
                        <w:i/>
                      </w:rPr>
                    </m:ctrlPr>
                  </m:sSubPr>
                  <m:e>
                    <m:r>
                      <w:rPr>
                        <w:rFonts w:ascii="Cambria Math" w:hAnsi="Cambria Math" w:cs="Cambria Math"/>
                      </w:rPr>
                      <m:t>EF</m:t>
                    </m:r>
                  </m:e>
                  <m:sub>
                    <m:r>
                      <w:rPr>
                        <w:rFonts w:ascii="Cambria Math" w:hAnsi="Cambria Math" w:cs="Cambria Math"/>
                      </w:rPr>
                      <m:t>EL,p,t</m:t>
                    </m:r>
                  </m:sub>
                </m:sSub>
              </m:oMath>
            </m:oMathPara>
          </w:p>
        </w:tc>
        <w:tc>
          <w:tcPr>
            <w:tcW w:w="425" w:type="dxa"/>
            <w:vAlign w:val="top"/>
          </w:tcPr>
          <w:p w14:paraId="41D38239" w14:textId="77777777" w:rsidR="003D19A2" w:rsidRPr="00780E96" w:rsidRDefault="003D19A2" w:rsidP="009C00E7">
            <w:pPr>
              <w:pStyle w:val="SDMTableBoxParaNotNumbered"/>
              <w:tabs>
                <w:tab w:val="left" w:pos="1276"/>
              </w:tabs>
              <w:ind w:left="601" w:hanging="601"/>
            </w:pPr>
            <w:r w:rsidRPr="00780E96">
              <w:t>=</w:t>
            </w:r>
          </w:p>
        </w:tc>
        <w:tc>
          <w:tcPr>
            <w:tcW w:w="6521" w:type="dxa"/>
            <w:vAlign w:val="top"/>
          </w:tcPr>
          <w:p w14:paraId="6A3799C0" w14:textId="49749A4E" w:rsidR="003D19A2" w:rsidRPr="00780E96" w:rsidRDefault="003D19A2" w:rsidP="009C00E7">
            <w:pPr>
              <w:pStyle w:val="SDMTableBoxParaNotNumbered"/>
              <w:tabs>
                <w:tab w:val="left" w:pos="65"/>
              </w:tabs>
              <w:ind w:left="36"/>
            </w:pPr>
            <w:r w:rsidRPr="00780E96">
              <w:t>CO</w:t>
            </w:r>
            <w:r w:rsidRPr="00780E96">
              <w:rPr>
                <w:vertAlign w:val="subscript"/>
              </w:rPr>
              <w:t>2</w:t>
            </w:r>
            <w:r w:rsidRPr="00780E96">
              <w:t xml:space="preserve"> emission factor of power unit </w:t>
            </w:r>
            <w:r w:rsidRPr="00780E96">
              <w:rPr>
                <w:i/>
              </w:rPr>
              <w:t>p</w:t>
            </w:r>
            <w:r w:rsidRPr="00780E96">
              <w:t xml:space="preserve"> in period </w:t>
            </w:r>
            <w:r w:rsidRPr="00780E96">
              <w:rPr>
                <w:i/>
                <w:iCs/>
              </w:rPr>
              <w:t>t</w:t>
            </w:r>
            <w:r w:rsidRPr="00780E96">
              <w:t xml:space="preserve"> (t CO</w:t>
            </w:r>
            <w:r w:rsidRPr="00780E96">
              <w:rPr>
                <w:vertAlign w:val="subscript"/>
              </w:rPr>
              <w:t>2</w:t>
            </w:r>
            <w:r w:rsidR="000F47C8" w:rsidRPr="00780E96">
              <w:t> </w:t>
            </w:r>
            <w:r w:rsidRPr="00780E96">
              <w:t>/</w:t>
            </w:r>
            <w:r w:rsidR="000F47C8" w:rsidRPr="00780E96">
              <w:t> </w:t>
            </w:r>
            <w:r w:rsidRPr="00780E96">
              <w:t>MWh)</w:t>
            </w:r>
          </w:p>
        </w:tc>
      </w:tr>
      <w:tr w:rsidR="003D19A2" w:rsidRPr="00780E96" w14:paraId="2F263C7E" w14:textId="77777777" w:rsidTr="00AA7E37">
        <w:tc>
          <w:tcPr>
            <w:tcW w:w="1701" w:type="dxa"/>
            <w:vAlign w:val="top"/>
          </w:tcPr>
          <w:p w14:paraId="4066EBCB" w14:textId="432ED4A0" w:rsidR="003D19A2" w:rsidRPr="00780E96" w:rsidRDefault="003F6646" w:rsidP="009C00E7">
            <w:pPr>
              <w:pStyle w:val="SDMTableBoxParaNotNumbered"/>
              <w:tabs>
                <w:tab w:val="left" w:pos="1276"/>
              </w:tabs>
              <w:ind w:left="30"/>
            </w:pPr>
            <m:oMathPara>
              <m:oMathParaPr>
                <m:jc m:val="left"/>
              </m:oMathParaPr>
              <m:oMath>
                <m:sSub>
                  <m:sSubPr>
                    <m:ctrlPr>
                      <w:rPr>
                        <w:rFonts w:ascii="Cambria Math" w:hAnsi="Cambria Math"/>
                        <w:i/>
                      </w:rPr>
                    </m:ctrlPr>
                  </m:sSubPr>
                  <m:e>
                    <m:r>
                      <w:rPr>
                        <w:rFonts w:ascii="Cambria Math" w:hAnsi="Cambria Math"/>
                      </w:rPr>
                      <m:t>FC</m:t>
                    </m:r>
                  </m:e>
                  <m:sub>
                    <m:r>
                      <w:rPr>
                        <w:rFonts w:ascii="Cambria Math" w:hAnsi="Cambria Math"/>
                      </w:rPr>
                      <m:t>i,p,t</m:t>
                    </m:r>
                  </m:sub>
                </m:sSub>
              </m:oMath>
            </m:oMathPara>
          </w:p>
        </w:tc>
        <w:tc>
          <w:tcPr>
            <w:tcW w:w="425" w:type="dxa"/>
            <w:vAlign w:val="top"/>
          </w:tcPr>
          <w:p w14:paraId="4770A76F" w14:textId="77777777" w:rsidR="003D19A2" w:rsidRPr="00780E96" w:rsidRDefault="003D19A2" w:rsidP="009C00E7">
            <w:pPr>
              <w:pStyle w:val="SDMTableBoxParaNotNumbered"/>
              <w:tabs>
                <w:tab w:val="left" w:pos="1276"/>
              </w:tabs>
              <w:ind w:left="601" w:hanging="601"/>
            </w:pPr>
            <w:r w:rsidRPr="00780E96">
              <w:t>=</w:t>
            </w:r>
          </w:p>
        </w:tc>
        <w:tc>
          <w:tcPr>
            <w:tcW w:w="6521" w:type="dxa"/>
            <w:vAlign w:val="top"/>
          </w:tcPr>
          <w:p w14:paraId="1302472F" w14:textId="77777777" w:rsidR="00910B18" w:rsidRPr="00780E96" w:rsidRDefault="003D19A2" w:rsidP="007437D1">
            <w:pPr>
              <w:pStyle w:val="SDMTableBoxParaNotNumbered"/>
              <w:tabs>
                <w:tab w:val="left" w:pos="1276"/>
              </w:tabs>
              <w:ind w:left="36"/>
              <w:rPr>
                <w:i/>
                <w:iCs/>
              </w:rPr>
            </w:pPr>
            <w:r w:rsidRPr="00780E96">
              <w:t>Amount of fuel type </w:t>
            </w:r>
            <w:r w:rsidRPr="00780E96">
              <w:rPr>
                <w:i/>
                <w:iCs/>
              </w:rPr>
              <w:t xml:space="preserve">i </w:t>
            </w:r>
            <w:r w:rsidRPr="00780E96">
              <w:t>consumed by power unit </w:t>
            </w:r>
            <w:r w:rsidRPr="00780E96">
              <w:rPr>
                <w:i/>
                <w:iCs/>
              </w:rPr>
              <w:t xml:space="preserve">p </w:t>
            </w:r>
            <w:r w:rsidRPr="00780E96">
              <w:t>in</w:t>
            </w:r>
            <w:r w:rsidRPr="00780E96">
              <w:rPr>
                <w:i/>
                <w:iCs/>
              </w:rPr>
              <w:t xml:space="preserve"> </w:t>
            </w:r>
            <w:r w:rsidRPr="00780E96">
              <w:t>period</w:t>
            </w:r>
            <w:r w:rsidRPr="00780E96">
              <w:rPr>
                <w:i/>
                <w:iCs/>
              </w:rPr>
              <w:t> t</w:t>
            </w:r>
          </w:p>
          <w:p w14:paraId="47D41B40" w14:textId="108680A7" w:rsidR="003D19A2" w:rsidRPr="00780E96" w:rsidRDefault="003D19A2" w:rsidP="007437D1">
            <w:pPr>
              <w:pStyle w:val="SDMTableBoxParaNotNumbered"/>
              <w:tabs>
                <w:tab w:val="left" w:pos="1276"/>
              </w:tabs>
              <w:ind w:left="36"/>
            </w:pPr>
            <w:r w:rsidRPr="00780E96">
              <w:t>(Mass or volume unit)</w:t>
            </w:r>
          </w:p>
        </w:tc>
      </w:tr>
      <w:tr w:rsidR="003D19A2" w:rsidRPr="00780E96" w14:paraId="7A8F80C3" w14:textId="77777777" w:rsidTr="00AA7E37">
        <w:tc>
          <w:tcPr>
            <w:tcW w:w="1701" w:type="dxa"/>
            <w:vAlign w:val="top"/>
          </w:tcPr>
          <w:p w14:paraId="68EB8A3C" w14:textId="47E3C96E" w:rsidR="003D19A2" w:rsidRPr="00780E96" w:rsidRDefault="003F6646" w:rsidP="009C00E7">
            <w:pPr>
              <w:pStyle w:val="SDMTableBoxParaNotNumbered"/>
              <w:tabs>
                <w:tab w:val="left" w:pos="1276"/>
              </w:tabs>
              <w:ind w:left="30"/>
            </w:pPr>
            <m:oMathPara>
              <m:oMathParaPr>
                <m:jc m:val="left"/>
              </m:oMathParaPr>
              <m:oMath>
                <m:sSub>
                  <m:sSubPr>
                    <m:ctrlPr>
                      <w:rPr>
                        <w:rFonts w:ascii="Cambria Math" w:hAnsi="Cambria Math"/>
                        <w:i/>
                      </w:rPr>
                    </m:ctrlPr>
                  </m:sSubPr>
                  <m:e>
                    <m:r>
                      <w:rPr>
                        <w:rFonts w:ascii="Cambria Math" w:hAnsi="Cambria Math"/>
                      </w:rPr>
                      <m:t>NCV</m:t>
                    </m:r>
                  </m:e>
                  <m:sub>
                    <m:r>
                      <w:rPr>
                        <w:rFonts w:ascii="Cambria Math" w:hAnsi="Cambria Math"/>
                      </w:rPr>
                      <m:t>i,t</m:t>
                    </m:r>
                  </m:sub>
                </m:sSub>
              </m:oMath>
            </m:oMathPara>
          </w:p>
        </w:tc>
        <w:tc>
          <w:tcPr>
            <w:tcW w:w="425" w:type="dxa"/>
            <w:vAlign w:val="top"/>
          </w:tcPr>
          <w:p w14:paraId="2F22FF2F" w14:textId="77777777" w:rsidR="003D19A2" w:rsidRPr="00780E96" w:rsidRDefault="003D19A2" w:rsidP="009C00E7">
            <w:pPr>
              <w:pStyle w:val="SDMTableBoxParaNotNumbered"/>
              <w:tabs>
                <w:tab w:val="left" w:pos="1276"/>
              </w:tabs>
              <w:ind w:left="601" w:hanging="601"/>
            </w:pPr>
            <w:r w:rsidRPr="00780E96">
              <w:t>=</w:t>
            </w:r>
          </w:p>
        </w:tc>
        <w:tc>
          <w:tcPr>
            <w:tcW w:w="6521" w:type="dxa"/>
            <w:vAlign w:val="top"/>
          </w:tcPr>
          <w:p w14:paraId="0C05E895" w14:textId="77777777" w:rsidR="00910B18" w:rsidRPr="00780E96" w:rsidRDefault="003D19A2" w:rsidP="007437D1">
            <w:pPr>
              <w:pStyle w:val="SDMTableBoxParaNotNumbered"/>
              <w:tabs>
                <w:tab w:val="left" w:pos="1276"/>
              </w:tabs>
              <w:ind w:left="36"/>
              <w:rPr>
                <w:i/>
                <w:iCs/>
              </w:rPr>
            </w:pPr>
            <w:r w:rsidRPr="00780E96">
              <w:t>Net calorific value (energy content) of fuel type </w:t>
            </w:r>
            <w:r w:rsidRPr="00780E96">
              <w:rPr>
                <w:i/>
                <w:iCs/>
              </w:rPr>
              <w:t>i</w:t>
            </w:r>
            <w:r w:rsidRPr="00780E96">
              <w:t xml:space="preserve"> in period</w:t>
            </w:r>
            <w:r w:rsidRPr="00780E96">
              <w:rPr>
                <w:i/>
                <w:iCs/>
              </w:rPr>
              <w:t> t</w:t>
            </w:r>
          </w:p>
          <w:p w14:paraId="6CA46A50" w14:textId="11E151A5" w:rsidR="003D19A2" w:rsidRPr="00780E96" w:rsidRDefault="003D19A2" w:rsidP="007437D1">
            <w:pPr>
              <w:pStyle w:val="SDMTableBoxParaNotNumbered"/>
              <w:tabs>
                <w:tab w:val="left" w:pos="1276"/>
              </w:tabs>
              <w:ind w:left="36"/>
            </w:pPr>
            <w:r w:rsidRPr="00780E96">
              <w:t>(GJ</w:t>
            </w:r>
            <w:r w:rsidR="001C3381" w:rsidRPr="00780E96">
              <w:t> / </w:t>
            </w:r>
            <w:r w:rsidRPr="00780E96">
              <w:t>mass or volume unit)</w:t>
            </w:r>
          </w:p>
        </w:tc>
      </w:tr>
      <w:tr w:rsidR="003D19A2" w:rsidRPr="00780E96" w14:paraId="559AFF2A" w14:textId="77777777" w:rsidTr="00AA7E37">
        <w:tc>
          <w:tcPr>
            <w:tcW w:w="1701" w:type="dxa"/>
            <w:vAlign w:val="top"/>
          </w:tcPr>
          <w:p w14:paraId="7E5B6187" w14:textId="3A0060AA" w:rsidR="003D19A2" w:rsidRPr="00780E96" w:rsidRDefault="003F6646" w:rsidP="009C00E7">
            <w:pPr>
              <w:pStyle w:val="SDMTableBoxParaNotNumbered"/>
              <w:tabs>
                <w:tab w:val="left" w:pos="1276"/>
              </w:tabs>
              <w:ind w:left="30"/>
            </w:pPr>
            <m:oMathPara>
              <m:oMathParaPr>
                <m:jc m:val="left"/>
              </m:oMathParaPr>
              <m:oMath>
                <m:sSub>
                  <m:sSubPr>
                    <m:ctrlPr>
                      <w:rPr>
                        <w:rFonts w:ascii="Cambria Math" w:hAnsi="Cambria Math"/>
                        <w:i/>
                      </w:rPr>
                    </m:ctrlPr>
                  </m:sSubPr>
                  <m:e>
                    <m:r>
                      <w:rPr>
                        <w:rFonts w:ascii="Cambria Math" w:hAnsi="Cambria Math"/>
                      </w:rPr>
                      <m:t>EF</m:t>
                    </m:r>
                  </m:e>
                  <m:sub>
                    <m:r>
                      <w:rPr>
                        <w:rFonts w:ascii="Cambria Math" w:hAnsi="Cambria Math"/>
                      </w:rPr>
                      <m:t>CO2,i,t</m:t>
                    </m:r>
                  </m:sub>
                </m:sSub>
              </m:oMath>
            </m:oMathPara>
          </w:p>
        </w:tc>
        <w:tc>
          <w:tcPr>
            <w:tcW w:w="425" w:type="dxa"/>
            <w:vAlign w:val="top"/>
          </w:tcPr>
          <w:p w14:paraId="12B975A0" w14:textId="60511EBE" w:rsidR="003D19A2" w:rsidRPr="00780E96" w:rsidRDefault="003D19A2" w:rsidP="009C00E7">
            <w:pPr>
              <w:pStyle w:val="SDMTableBoxParaNotNumbered"/>
              <w:tabs>
                <w:tab w:val="left" w:pos="1276"/>
              </w:tabs>
              <w:ind w:left="601" w:hanging="601"/>
            </w:pPr>
            <w:r w:rsidRPr="00780E96">
              <w:t>=</w:t>
            </w:r>
          </w:p>
        </w:tc>
        <w:tc>
          <w:tcPr>
            <w:tcW w:w="6521" w:type="dxa"/>
            <w:vAlign w:val="top"/>
          </w:tcPr>
          <w:p w14:paraId="6FE23F15" w14:textId="3358185B" w:rsidR="003D19A2" w:rsidRPr="00780E96" w:rsidRDefault="003D19A2" w:rsidP="009C00E7">
            <w:pPr>
              <w:pStyle w:val="SDMTableBoxParaNotNumbered"/>
              <w:tabs>
                <w:tab w:val="left" w:pos="1276"/>
              </w:tabs>
              <w:ind w:left="36"/>
            </w:pPr>
            <w:r w:rsidRPr="00780E96">
              <w:t>CO</w:t>
            </w:r>
            <w:r w:rsidRPr="00780E96">
              <w:rPr>
                <w:vertAlign w:val="subscript"/>
              </w:rPr>
              <w:t>2</w:t>
            </w:r>
            <w:r w:rsidRPr="00780E96">
              <w:t xml:space="preserve"> emission factor of fuel type </w:t>
            </w:r>
            <w:r w:rsidRPr="00780E96">
              <w:rPr>
                <w:i/>
                <w:iCs/>
              </w:rPr>
              <w:t>i</w:t>
            </w:r>
            <w:r w:rsidRPr="00780E96">
              <w:t xml:space="preserve"> in period</w:t>
            </w:r>
            <w:r w:rsidRPr="00780E96">
              <w:rPr>
                <w:i/>
                <w:iCs/>
              </w:rPr>
              <w:t> t</w:t>
            </w:r>
            <w:r w:rsidRPr="00780E96">
              <w:t xml:space="preserve"> </w:t>
            </w:r>
            <w:r w:rsidRPr="00780E96">
              <w:rPr>
                <w:iCs/>
              </w:rPr>
              <w:t>(t CO</w:t>
            </w:r>
            <w:r w:rsidRPr="00780E96">
              <w:rPr>
                <w:iCs/>
                <w:vertAlign w:val="subscript"/>
              </w:rPr>
              <w:t>2</w:t>
            </w:r>
            <w:r w:rsidR="001C3381" w:rsidRPr="00780E96">
              <w:t> / </w:t>
            </w:r>
            <w:r w:rsidRPr="00780E96">
              <w:rPr>
                <w:iCs/>
              </w:rPr>
              <w:t>GJ)</w:t>
            </w:r>
          </w:p>
        </w:tc>
      </w:tr>
      <w:tr w:rsidR="003D19A2" w:rsidRPr="00780E96" w14:paraId="42D0D390" w14:textId="77777777" w:rsidTr="00AA7E37">
        <w:tc>
          <w:tcPr>
            <w:tcW w:w="1701" w:type="dxa"/>
            <w:vAlign w:val="top"/>
          </w:tcPr>
          <w:p w14:paraId="2EBF9F75" w14:textId="637DF91F" w:rsidR="003D19A2" w:rsidRPr="00780E96" w:rsidRDefault="003F6646" w:rsidP="009C00E7">
            <w:pPr>
              <w:pStyle w:val="SDMTableBoxParaNotNumbered"/>
              <w:tabs>
                <w:tab w:val="left" w:pos="1276"/>
              </w:tabs>
              <w:ind w:left="30"/>
            </w:pPr>
            <m:oMathPara>
              <m:oMathParaPr>
                <m:jc m:val="left"/>
              </m:oMathParaPr>
              <m:oMath>
                <m:sSub>
                  <m:sSubPr>
                    <m:ctrlPr>
                      <w:rPr>
                        <w:rFonts w:ascii="Cambria Math" w:hAnsi="Cambria Math" w:cs="Cambria Math"/>
                      </w:rPr>
                    </m:ctrlPr>
                  </m:sSubPr>
                  <m:e>
                    <m:r>
                      <w:rPr>
                        <w:rFonts w:ascii="Cambria Math" w:hAnsi="Cambria Math" w:cs="Cambria Math"/>
                      </w:rPr>
                      <m:t>EG</m:t>
                    </m:r>
                  </m:e>
                  <m:sub>
                    <m:r>
                      <w:rPr>
                        <w:rFonts w:ascii="Cambria Math" w:hAnsi="Cambria Math" w:cs="Cambria Math"/>
                      </w:rPr>
                      <m:t>p,t</m:t>
                    </m:r>
                  </m:sub>
                </m:sSub>
              </m:oMath>
            </m:oMathPara>
          </w:p>
        </w:tc>
        <w:tc>
          <w:tcPr>
            <w:tcW w:w="425" w:type="dxa"/>
            <w:vAlign w:val="top"/>
          </w:tcPr>
          <w:p w14:paraId="08550AE6" w14:textId="23153A4A" w:rsidR="003D19A2" w:rsidRPr="00780E96" w:rsidRDefault="003D19A2" w:rsidP="009C00E7">
            <w:pPr>
              <w:pStyle w:val="SDMTableBoxParaNotNumbered"/>
              <w:tabs>
                <w:tab w:val="left" w:pos="1276"/>
              </w:tabs>
              <w:ind w:left="601" w:hanging="601"/>
            </w:pPr>
            <w:r w:rsidRPr="00780E96">
              <w:t>=</w:t>
            </w:r>
          </w:p>
        </w:tc>
        <w:tc>
          <w:tcPr>
            <w:tcW w:w="6521" w:type="dxa"/>
            <w:vAlign w:val="top"/>
          </w:tcPr>
          <w:p w14:paraId="418FC04B" w14:textId="6D11D772" w:rsidR="003D19A2" w:rsidRPr="00780E96" w:rsidRDefault="003D19A2" w:rsidP="009C00E7">
            <w:pPr>
              <w:pStyle w:val="SDMTableBoxParaNotNumbered"/>
              <w:tabs>
                <w:tab w:val="left" w:pos="1276"/>
              </w:tabs>
              <w:ind w:left="36"/>
            </w:pPr>
            <w:r w:rsidRPr="00780E96">
              <w:t>Net quantity of electricity generated and delivered to the electricity system by power unit </w:t>
            </w:r>
            <w:r w:rsidRPr="00780E96">
              <w:rPr>
                <w:i/>
                <w:iCs/>
              </w:rPr>
              <w:t>p</w:t>
            </w:r>
            <w:r w:rsidRPr="00780E96">
              <w:rPr>
                <w:i/>
              </w:rPr>
              <w:t xml:space="preserve"> </w:t>
            </w:r>
            <w:r w:rsidRPr="00780E96">
              <w:t>in period</w:t>
            </w:r>
            <w:r w:rsidRPr="00780E96">
              <w:rPr>
                <w:i/>
                <w:iCs/>
              </w:rPr>
              <w:t xml:space="preserve"> t </w:t>
            </w:r>
            <w:r w:rsidRPr="00780E96">
              <w:t>(MWh)</w:t>
            </w:r>
          </w:p>
        </w:tc>
      </w:tr>
      <w:tr w:rsidR="003D19A2" w:rsidRPr="00780E96" w14:paraId="296C5736" w14:textId="77777777" w:rsidTr="00AA7E37">
        <w:tc>
          <w:tcPr>
            <w:tcW w:w="1701" w:type="dxa"/>
            <w:vAlign w:val="top"/>
          </w:tcPr>
          <w:p w14:paraId="0E98B099" w14:textId="258B6CB2" w:rsidR="003D19A2" w:rsidRPr="00780E96" w:rsidRDefault="00826B6C" w:rsidP="009C00E7">
            <w:pPr>
              <w:pStyle w:val="SDMTableBoxParaNotNumbered"/>
              <w:tabs>
                <w:tab w:val="left" w:pos="1276"/>
              </w:tabs>
              <w:ind w:left="30"/>
              <w:rPr>
                <w:i/>
              </w:rPr>
            </w:pPr>
            <m:oMathPara>
              <m:oMathParaPr>
                <m:jc m:val="left"/>
              </m:oMathParaPr>
              <m:oMath>
                <m:r>
                  <w:rPr>
                    <w:rFonts w:ascii="Cambria Math" w:hAnsi="Cambria Math" w:cs="Cambria Math"/>
                  </w:rPr>
                  <m:t>p</m:t>
                </m:r>
              </m:oMath>
            </m:oMathPara>
          </w:p>
        </w:tc>
        <w:tc>
          <w:tcPr>
            <w:tcW w:w="425" w:type="dxa"/>
            <w:vAlign w:val="top"/>
          </w:tcPr>
          <w:p w14:paraId="12BBA3DE" w14:textId="3C5A6BCA" w:rsidR="003D19A2" w:rsidRPr="00780E96" w:rsidRDefault="003D19A2" w:rsidP="009C00E7">
            <w:pPr>
              <w:pStyle w:val="SDMTableBoxParaNotNumbered"/>
              <w:tabs>
                <w:tab w:val="left" w:pos="1276"/>
              </w:tabs>
              <w:ind w:left="601" w:hanging="601"/>
            </w:pPr>
            <w:r w:rsidRPr="00780E96">
              <w:t>=</w:t>
            </w:r>
          </w:p>
        </w:tc>
        <w:tc>
          <w:tcPr>
            <w:tcW w:w="6521" w:type="dxa"/>
            <w:vAlign w:val="top"/>
          </w:tcPr>
          <w:p w14:paraId="438A3DA9" w14:textId="6F913529" w:rsidR="003D19A2" w:rsidRPr="00780E96" w:rsidRDefault="003D19A2" w:rsidP="009C00E7">
            <w:pPr>
              <w:pStyle w:val="SDMTableBoxParaNotNumbered"/>
              <w:tabs>
                <w:tab w:val="left" w:pos="1276"/>
              </w:tabs>
              <w:ind w:left="36"/>
            </w:pPr>
            <w:r w:rsidRPr="00780E96">
              <w:t xml:space="preserve">All relevant power units serving the electricity system in </w:t>
            </w:r>
            <w:r w:rsidR="00A932CB" w:rsidRPr="00780E96">
              <w:t>period</w:t>
            </w:r>
            <w:r w:rsidRPr="00780E96">
              <w:t> </w:t>
            </w:r>
            <w:r w:rsidR="00AB4C81" w:rsidRPr="00780E96">
              <w:rPr>
                <w:i/>
                <w:iCs/>
              </w:rPr>
              <w:t>t</w:t>
            </w:r>
            <w:r w:rsidRPr="00780E96">
              <w:t xml:space="preserve"> as per the method used for determining the OM or BM emission factor</w:t>
            </w:r>
          </w:p>
        </w:tc>
      </w:tr>
      <w:tr w:rsidR="003D19A2" w:rsidRPr="00780E96" w14:paraId="662422E6" w14:textId="50AFBE1C" w:rsidTr="00AA7E37">
        <w:tc>
          <w:tcPr>
            <w:tcW w:w="1701" w:type="dxa"/>
            <w:vAlign w:val="top"/>
          </w:tcPr>
          <w:p w14:paraId="4BF82035" w14:textId="16973550" w:rsidR="003D19A2" w:rsidRPr="00780E96" w:rsidRDefault="003D19A2" w:rsidP="009C00E7">
            <w:pPr>
              <w:pStyle w:val="SDMTableBoxParaNotNumbered"/>
              <w:tabs>
                <w:tab w:val="left" w:pos="1276"/>
              </w:tabs>
              <w:ind w:left="30"/>
            </w:pPr>
            <m:oMathPara>
              <m:oMathParaPr>
                <m:jc m:val="left"/>
              </m:oMathParaPr>
              <m:oMath>
                <m:r>
                  <w:rPr>
                    <w:rFonts w:ascii="Cambria Math" w:hAnsi="Cambria Math" w:cs="Cambria Math"/>
                  </w:rPr>
                  <m:t>i</m:t>
                </m:r>
              </m:oMath>
            </m:oMathPara>
          </w:p>
        </w:tc>
        <w:tc>
          <w:tcPr>
            <w:tcW w:w="425" w:type="dxa"/>
            <w:vAlign w:val="top"/>
          </w:tcPr>
          <w:p w14:paraId="08F86002" w14:textId="135BB510" w:rsidR="003D19A2" w:rsidRPr="00780E96" w:rsidRDefault="003D19A2" w:rsidP="009C00E7">
            <w:pPr>
              <w:pStyle w:val="SDMTableBoxParaNotNumbered"/>
              <w:tabs>
                <w:tab w:val="left" w:pos="1276"/>
              </w:tabs>
              <w:ind w:left="601" w:hanging="601"/>
            </w:pPr>
            <w:r w:rsidRPr="00780E96">
              <w:t>=</w:t>
            </w:r>
          </w:p>
        </w:tc>
        <w:tc>
          <w:tcPr>
            <w:tcW w:w="6521" w:type="dxa"/>
            <w:vAlign w:val="top"/>
          </w:tcPr>
          <w:p w14:paraId="3B87DC88" w14:textId="7D3237E8" w:rsidR="003D19A2" w:rsidRPr="00780E96" w:rsidRDefault="003D19A2" w:rsidP="009C00E7">
            <w:pPr>
              <w:pStyle w:val="SDMTableBoxParaNotNumbered"/>
              <w:tabs>
                <w:tab w:val="left" w:pos="1276"/>
              </w:tabs>
              <w:ind w:left="36"/>
            </w:pPr>
            <w:r w:rsidRPr="00780E96">
              <w:t>All fuel types combusted in power unit </w:t>
            </w:r>
            <w:r w:rsidRPr="00780E96">
              <w:rPr>
                <w:i/>
              </w:rPr>
              <w:t>p</w:t>
            </w:r>
            <w:r w:rsidRPr="00780E96">
              <w:t xml:space="preserve"> in</w:t>
            </w:r>
            <w:r w:rsidRPr="00780E96">
              <w:rPr>
                <w:i/>
                <w:iCs/>
              </w:rPr>
              <w:t xml:space="preserve"> period t</w:t>
            </w:r>
          </w:p>
        </w:tc>
      </w:tr>
      <w:tr w:rsidR="003D19A2" w:rsidRPr="00780E96" w14:paraId="6CBF8AC5" w14:textId="77777777" w:rsidTr="00AA7E37">
        <w:tc>
          <w:tcPr>
            <w:tcW w:w="1701" w:type="dxa"/>
            <w:vAlign w:val="top"/>
          </w:tcPr>
          <w:p w14:paraId="3E4D65C1" w14:textId="449E8A71" w:rsidR="003D19A2" w:rsidRPr="00780E96" w:rsidRDefault="003D19A2" w:rsidP="009C00E7">
            <w:pPr>
              <w:pStyle w:val="SDMTableBoxParaNotNumbered"/>
              <w:tabs>
                <w:tab w:val="left" w:pos="1276"/>
              </w:tabs>
              <w:ind w:left="30"/>
            </w:pPr>
            <m:oMathPara>
              <m:oMathParaPr>
                <m:jc m:val="left"/>
              </m:oMathParaPr>
              <m:oMath>
                <m:r>
                  <w:rPr>
                    <w:rFonts w:ascii="Cambria Math" w:hAnsi="Cambria Math"/>
                  </w:rPr>
                  <m:t>t</m:t>
                </m:r>
              </m:oMath>
            </m:oMathPara>
          </w:p>
        </w:tc>
        <w:tc>
          <w:tcPr>
            <w:tcW w:w="425" w:type="dxa"/>
            <w:vAlign w:val="top"/>
          </w:tcPr>
          <w:p w14:paraId="3A458471" w14:textId="0B3B92DE" w:rsidR="003D19A2" w:rsidRPr="00780E96" w:rsidRDefault="003D19A2" w:rsidP="009C00E7">
            <w:pPr>
              <w:pStyle w:val="SDMTableBoxParaNotNumbered"/>
              <w:tabs>
                <w:tab w:val="left" w:pos="1276"/>
              </w:tabs>
              <w:ind w:left="601" w:hanging="601"/>
            </w:pPr>
            <w:r w:rsidRPr="00780E96">
              <w:t>=</w:t>
            </w:r>
          </w:p>
        </w:tc>
        <w:tc>
          <w:tcPr>
            <w:tcW w:w="6521" w:type="dxa"/>
            <w:vAlign w:val="top"/>
          </w:tcPr>
          <w:p w14:paraId="17F6A909" w14:textId="0A97C33C" w:rsidR="003D19A2" w:rsidRPr="00780E96" w:rsidRDefault="003D19A2" w:rsidP="009C00E7">
            <w:pPr>
              <w:pStyle w:val="SDMTableBoxParaNotNumbered"/>
              <w:tabs>
                <w:tab w:val="left" w:pos="1276"/>
              </w:tabs>
              <w:ind w:left="36"/>
            </w:pPr>
            <w:r w:rsidRPr="00780E96">
              <w:t>The relevant period used for determining the emission factor</w:t>
            </w:r>
          </w:p>
        </w:tc>
      </w:tr>
    </w:tbl>
    <w:p w14:paraId="01C161A5" w14:textId="452A716C" w:rsidR="00B52D65" w:rsidRPr="00780E96" w:rsidRDefault="00B52D65" w:rsidP="00F62D64">
      <w:pPr>
        <w:pStyle w:val="SDMSubPara2"/>
        <w:keepNext/>
      </w:pPr>
      <w:r w:rsidRPr="00780E96">
        <w:t>Where the power generation unit is a cogeneration unit</w:t>
      </w:r>
      <w:r w:rsidR="00556068" w:rsidRPr="00780E96">
        <w:t xml:space="preserve">, by </w:t>
      </w:r>
      <w:r w:rsidR="00E97519" w:rsidRPr="00780E96">
        <w:t>allocating the emissions of the power unit </w:t>
      </w:r>
      <w:r w:rsidR="00E97519" w:rsidRPr="00780E96">
        <w:rPr>
          <w:i/>
        </w:rPr>
        <w:t>p</w:t>
      </w:r>
      <w:r w:rsidR="00E97519" w:rsidRPr="00780E96">
        <w:t xml:space="preserve"> to heat and power by assuming that, in the absence of cogeneration, the heat would be generated in a boiler using the same type(s) of fossil fuel as those used in the power unit</w:t>
      </w:r>
      <w:r w:rsidRPr="00780E96">
        <w:t>:</w:t>
      </w:r>
    </w:p>
    <w:tbl>
      <w:tblPr>
        <w:tblStyle w:val="SDMMethTableEquation"/>
        <w:tblW w:w="8279" w:type="dxa"/>
        <w:tblInd w:w="1310" w:type="dxa"/>
        <w:tblLook w:val="0600" w:firstRow="0" w:lastRow="0" w:firstColumn="0" w:lastColumn="0" w:noHBand="1" w:noVBand="1"/>
      </w:tblPr>
      <w:tblGrid>
        <w:gridCol w:w="6912"/>
        <w:gridCol w:w="1367"/>
      </w:tblGrid>
      <w:tr w:rsidR="00E97519" w:rsidRPr="00780E96" w14:paraId="7CE13E94" w14:textId="77777777" w:rsidTr="00031117">
        <w:tc>
          <w:tcPr>
            <w:tcW w:w="6912" w:type="dxa"/>
          </w:tcPr>
          <w:p w14:paraId="3DA69704" w14:textId="478117F6" w:rsidR="00E97519" w:rsidRPr="00780E96" w:rsidRDefault="003F6646" w:rsidP="002F0365">
            <w:pPr>
              <w:pStyle w:val="SDMMethEquation"/>
              <w:ind w:left="709"/>
            </w:pPr>
            <m:oMathPara>
              <m:oMathParaPr>
                <m:jc m:val="left"/>
              </m:oMathParaPr>
              <m:oMath>
                <m:sSub>
                  <m:sSubPr>
                    <m:ctrlPr>
                      <w:rPr>
                        <w:rFonts w:ascii="Cambria Math" w:hAnsi="Cambria Math"/>
                        <w:i/>
                      </w:rPr>
                    </m:ctrlPr>
                  </m:sSubPr>
                  <m:e>
                    <m:r>
                      <w:rPr>
                        <w:rFonts w:ascii="Cambria Math" w:hAnsi="Cambria Math"/>
                      </w:rPr>
                      <m:t>EF</m:t>
                    </m:r>
                  </m:e>
                  <m:sub>
                    <m:r>
                      <w:rPr>
                        <w:rFonts w:ascii="Cambria Math" w:hAnsi="Cambria Math"/>
                      </w:rPr>
                      <m:t>EL,p,t</m:t>
                    </m:r>
                  </m:sub>
                </m:sSub>
                <m:r>
                  <w:rPr>
                    <w:rFonts w:ascii="Cambria Math" w:hAnsi="Cambria Math"/>
                  </w:rPr>
                  <m:t>=</m:t>
                </m:r>
                <m:f>
                  <m:fPr>
                    <m:ctrlPr>
                      <w:rPr>
                        <w:rFonts w:ascii="Cambria Math" w:hAnsi="Cambria Math"/>
                        <w:i/>
                      </w:rPr>
                    </m:ctrlPr>
                  </m:fPr>
                  <m:num>
                    <m:d>
                      <m:dPr>
                        <m:begChr m:val="["/>
                        <m:endChr m:val="]"/>
                        <m:ctrlPr>
                          <w:rPr>
                            <w:rFonts w:ascii="Cambria Math" w:hAnsi="Cambria Math"/>
                            <w:i/>
                          </w:rPr>
                        </m:ctrlPr>
                      </m:dPr>
                      <m:e>
                        <m:nary>
                          <m:naryPr>
                            <m:chr m:val="∑"/>
                            <m:limLoc m:val="undOvr"/>
                            <m:supHide m:val="1"/>
                            <m:ctrlPr>
                              <w:rPr>
                                <w:rFonts w:ascii="Cambria Math" w:hAnsi="Cambria Math"/>
                                <w:i/>
                              </w:rPr>
                            </m:ctrlPr>
                          </m:naryPr>
                          <m:sub>
                            <m:r>
                              <w:rPr>
                                <w:rFonts w:ascii="Cambria Math" w:hAnsi="Cambria Math"/>
                              </w:rPr>
                              <m:t>i</m:t>
                            </m:r>
                          </m:sub>
                          <m:sup/>
                          <m:e>
                            <m:d>
                              <m:dPr>
                                <m:ctrlPr>
                                  <w:rPr>
                                    <w:rFonts w:ascii="Cambria Math" w:hAnsi="Cambria Math"/>
                                    <w:i/>
                                  </w:rPr>
                                </m:ctrlPr>
                              </m:dPr>
                              <m:e>
                                <m:sSub>
                                  <m:sSubPr>
                                    <m:ctrlPr>
                                      <w:rPr>
                                        <w:rFonts w:ascii="Cambria Math" w:hAnsi="Cambria Math"/>
                                        <w:i/>
                                      </w:rPr>
                                    </m:ctrlPr>
                                  </m:sSubPr>
                                  <m:e>
                                    <m:r>
                                      <w:rPr>
                                        <w:rFonts w:ascii="Cambria Math" w:hAnsi="Cambria Math"/>
                                      </w:rPr>
                                      <m:t>FC</m:t>
                                    </m:r>
                                  </m:e>
                                  <m:sub>
                                    <m:r>
                                      <w:rPr>
                                        <w:rFonts w:ascii="Cambria Math" w:hAnsi="Cambria Math"/>
                                      </w:rPr>
                                      <m:t>i,p,t</m:t>
                                    </m:r>
                                  </m:sub>
                                </m:sSub>
                                <m:r>
                                  <w:rPr>
                                    <w:rFonts w:ascii="Cambria Math" w:hAnsi="Cambria Math"/>
                                  </w:rPr>
                                  <m:t>×</m:t>
                                </m:r>
                                <m:sSub>
                                  <m:sSubPr>
                                    <m:ctrlPr>
                                      <w:rPr>
                                        <w:rFonts w:ascii="Cambria Math" w:hAnsi="Cambria Math"/>
                                        <w:i/>
                                      </w:rPr>
                                    </m:ctrlPr>
                                  </m:sSubPr>
                                  <m:e>
                                    <m:r>
                                      <w:rPr>
                                        <w:rFonts w:ascii="Cambria Math" w:hAnsi="Cambria Math"/>
                                      </w:rPr>
                                      <m:t>NCV</m:t>
                                    </m:r>
                                  </m:e>
                                  <m:sub>
                                    <m:r>
                                      <w:rPr>
                                        <w:rFonts w:ascii="Cambria Math" w:hAnsi="Cambria Math"/>
                                      </w:rPr>
                                      <m:t>i,t</m:t>
                                    </m:r>
                                  </m:sub>
                                </m:sSub>
                              </m:e>
                            </m:d>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HG</m:t>
                                    </m:r>
                                  </m:e>
                                  <m:sub>
                                    <m:r>
                                      <w:rPr>
                                        <w:rFonts w:ascii="Cambria Math" w:hAnsi="Cambria Math"/>
                                      </w:rPr>
                                      <m:t>p,t</m:t>
                                    </m:r>
                                  </m:sub>
                                </m:sSub>
                              </m:num>
                              <m:den>
                                <m:sSub>
                                  <m:sSubPr>
                                    <m:ctrlPr>
                                      <w:rPr>
                                        <w:rFonts w:ascii="Cambria Math" w:hAnsi="Cambria Math"/>
                                        <w:i/>
                                      </w:rPr>
                                    </m:ctrlPr>
                                  </m:sSubPr>
                                  <m:e>
                                    <m:r>
                                      <w:rPr>
                                        <w:rFonts w:ascii="Cambria Math" w:hAnsi="Cambria Math"/>
                                      </w:rPr>
                                      <m:t>η</m:t>
                                    </m:r>
                                  </m:e>
                                  <m:sub>
                                    <m:r>
                                      <w:rPr>
                                        <w:rFonts w:ascii="Cambria Math" w:hAnsi="Cambria Math"/>
                                      </w:rPr>
                                      <m:t>boiler</m:t>
                                    </m:r>
                                  </m:sub>
                                </m:sSub>
                              </m:den>
                            </m:f>
                          </m:e>
                        </m:nary>
                      </m:e>
                    </m:d>
                  </m:num>
                  <m:den>
                    <m:sSub>
                      <m:sSubPr>
                        <m:ctrlPr>
                          <w:rPr>
                            <w:rFonts w:ascii="Cambria Math" w:hAnsi="Cambria Math"/>
                            <w:i/>
                          </w:rPr>
                        </m:ctrlPr>
                      </m:sSubPr>
                      <m:e>
                        <m:r>
                          <w:rPr>
                            <w:rFonts w:ascii="Cambria Math" w:hAnsi="Cambria Math"/>
                          </w:rPr>
                          <m:t>EG</m:t>
                        </m:r>
                      </m:e>
                      <m:sub>
                        <m:r>
                          <w:rPr>
                            <w:rFonts w:ascii="Cambria Math" w:hAnsi="Cambria Math"/>
                          </w:rPr>
                          <m:t>p,t</m:t>
                        </m:r>
                      </m:sub>
                    </m:sSub>
                  </m:den>
                </m:f>
                <m:r>
                  <w:rPr>
                    <w:rFonts w:ascii="Cambria Math" w:hAnsi="Cambria Math"/>
                  </w:rPr>
                  <m:t>×</m:t>
                </m:r>
                <m:f>
                  <m:fPr>
                    <m:ctrlPr>
                      <w:rPr>
                        <w:rFonts w:ascii="Cambria Math" w:hAnsi="Cambria Math"/>
                        <w:i/>
                      </w:rPr>
                    </m:ctrlPr>
                  </m:fPr>
                  <m:num>
                    <m:nary>
                      <m:naryPr>
                        <m:chr m:val="∑"/>
                        <m:limLoc m:val="subSup"/>
                        <m:supHide m:val="1"/>
                        <m:ctrlPr>
                          <w:rPr>
                            <w:rFonts w:ascii="Cambria Math" w:hAnsi="Cambria Math"/>
                            <w:i/>
                          </w:rPr>
                        </m:ctrlPr>
                      </m:naryPr>
                      <m:sub>
                        <m:r>
                          <w:rPr>
                            <w:rFonts w:ascii="Cambria Math" w:hAnsi="Cambria Math"/>
                          </w:rPr>
                          <m:t>i</m:t>
                        </m:r>
                      </m:sub>
                      <m:sup/>
                      <m:e>
                        <m:sSub>
                          <m:sSubPr>
                            <m:ctrlPr>
                              <w:rPr>
                                <w:rFonts w:ascii="Cambria Math" w:hAnsi="Cambria Math"/>
                                <w:i/>
                              </w:rPr>
                            </m:ctrlPr>
                          </m:sSubPr>
                          <m:e>
                            <m:r>
                              <w:rPr>
                                <w:rFonts w:ascii="Cambria Math" w:hAnsi="Cambria Math"/>
                              </w:rPr>
                              <m:t>FC</m:t>
                            </m:r>
                          </m:e>
                          <m:sub>
                            <m:r>
                              <w:rPr>
                                <w:rFonts w:ascii="Cambria Math" w:hAnsi="Cambria Math"/>
                              </w:rPr>
                              <m:t>i,p,t</m:t>
                            </m:r>
                          </m:sub>
                        </m:sSub>
                        <m:r>
                          <w:rPr>
                            <w:rFonts w:ascii="Cambria Math" w:hAnsi="Cambria Math"/>
                          </w:rPr>
                          <m:t>×</m:t>
                        </m:r>
                        <m:sSub>
                          <m:sSubPr>
                            <m:ctrlPr>
                              <w:rPr>
                                <w:rFonts w:ascii="Cambria Math" w:hAnsi="Cambria Math"/>
                                <w:i/>
                              </w:rPr>
                            </m:ctrlPr>
                          </m:sSubPr>
                          <m:e>
                            <m:r>
                              <w:rPr>
                                <w:rFonts w:ascii="Cambria Math" w:hAnsi="Cambria Math"/>
                              </w:rPr>
                              <m:t>NCV</m:t>
                            </m:r>
                          </m:e>
                          <m:sub>
                            <m:r>
                              <w:rPr>
                                <w:rFonts w:ascii="Cambria Math" w:hAnsi="Cambria Math"/>
                              </w:rPr>
                              <m:t>i,t</m:t>
                            </m:r>
                          </m:sub>
                        </m:sSub>
                        <m:r>
                          <w:rPr>
                            <w:rFonts w:ascii="Cambria Math" w:hAnsi="Cambria Math"/>
                          </w:rPr>
                          <m:t>×</m:t>
                        </m:r>
                        <m:sSub>
                          <m:sSubPr>
                            <m:ctrlPr>
                              <w:rPr>
                                <w:rFonts w:ascii="Cambria Math" w:hAnsi="Cambria Math"/>
                                <w:i/>
                              </w:rPr>
                            </m:ctrlPr>
                          </m:sSubPr>
                          <m:e>
                            <m:r>
                              <w:rPr>
                                <w:rFonts w:ascii="Cambria Math" w:hAnsi="Cambria Math"/>
                              </w:rPr>
                              <m:t>EF</m:t>
                            </m:r>
                          </m:e>
                          <m:sub>
                            <m:r>
                              <w:rPr>
                                <w:rFonts w:ascii="Cambria Math" w:hAnsi="Cambria Math"/>
                              </w:rPr>
                              <m:t>CO2,i,t</m:t>
                            </m:r>
                          </m:sub>
                        </m:sSub>
                      </m:e>
                    </m:nary>
                  </m:num>
                  <m:den>
                    <m:nary>
                      <m:naryPr>
                        <m:chr m:val="∑"/>
                        <m:limLoc m:val="subSup"/>
                        <m:supHide m:val="1"/>
                        <m:ctrlPr>
                          <w:rPr>
                            <w:rFonts w:ascii="Cambria Math" w:hAnsi="Cambria Math"/>
                            <w:i/>
                          </w:rPr>
                        </m:ctrlPr>
                      </m:naryPr>
                      <m:sub>
                        <m:r>
                          <w:rPr>
                            <w:rFonts w:ascii="Cambria Math" w:hAnsi="Cambria Math"/>
                          </w:rPr>
                          <m:t>i</m:t>
                        </m:r>
                      </m:sub>
                      <m:sup/>
                      <m:e>
                        <m:sSub>
                          <m:sSubPr>
                            <m:ctrlPr>
                              <w:rPr>
                                <w:rFonts w:ascii="Cambria Math" w:hAnsi="Cambria Math"/>
                                <w:i/>
                              </w:rPr>
                            </m:ctrlPr>
                          </m:sSubPr>
                          <m:e>
                            <m:r>
                              <w:rPr>
                                <w:rFonts w:ascii="Cambria Math" w:hAnsi="Cambria Math"/>
                              </w:rPr>
                              <m:t>FC</m:t>
                            </m:r>
                          </m:e>
                          <m:sub>
                            <m:r>
                              <w:rPr>
                                <w:rFonts w:ascii="Cambria Math" w:hAnsi="Cambria Math"/>
                              </w:rPr>
                              <m:t>i,p,t</m:t>
                            </m:r>
                          </m:sub>
                        </m:sSub>
                        <m:r>
                          <w:rPr>
                            <w:rFonts w:ascii="Cambria Math" w:hAnsi="Cambria Math"/>
                          </w:rPr>
                          <m:t>×</m:t>
                        </m:r>
                        <m:sSub>
                          <m:sSubPr>
                            <m:ctrlPr>
                              <w:rPr>
                                <w:rFonts w:ascii="Cambria Math" w:hAnsi="Cambria Math"/>
                                <w:i/>
                              </w:rPr>
                            </m:ctrlPr>
                          </m:sSubPr>
                          <m:e>
                            <m:r>
                              <w:rPr>
                                <w:rFonts w:ascii="Cambria Math" w:hAnsi="Cambria Math"/>
                              </w:rPr>
                              <m:t>NCV</m:t>
                            </m:r>
                          </m:e>
                          <m:sub>
                            <m:r>
                              <w:rPr>
                                <w:rFonts w:ascii="Cambria Math" w:hAnsi="Cambria Math"/>
                              </w:rPr>
                              <m:t>i,t</m:t>
                            </m:r>
                          </m:sub>
                        </m:sSub>
                      </m:e>
                    </m:nary>
                  </m:den>
                </m:f>
              </m:oMath>
            </m:oMathPara>
          </w:p>
        </w:tc>
        <w:tc>
          <w:tcPr>
            <w:tcW w:w="1367" w:type="dxa"/>
          </w:tcPr>
          <w:p w14:paraId="3AFC51F7" w14:textId="77777777" w:rsidR="00E97519" w:rsidRPr="00780E96" w:rsidRDefault="00E97519" w:rsidP="00031117">
            <w:pPr>
              <w:pStyle w:val="SDMMethEquationNr"/>
              <w:numPr>
                <w:ilvl w:val="0"/>
                <w:numId w:val="8"/>
              </w:numPr>
              <w:ind w:left="-158" w:hanging="142"/>
            </w:pPr>
          </w:p>
        </w:tc>
      </w:tr>
    </w:tbl>
    <w:p w14:paraId="682AA967" w14:textId="77777777" w:rsidR="00E97519" w:rsidRPr="00780E96" w:rsidRDefault="00E97519" w:rsidP="00F62D64">
      <w:pPr>
        <w:pStyle w:val="SDMMethCaptionEquationParametersTable"/>
      </w:pPr>
      <w:r w:rsidRPr="00780E96">
        <w:t>Where:</w:t>
      </w:r>
    </w:p>
    <w:tbl>
      <w:tblPr>
        <w:tblStyle w:val="SDMMethTableEquationParameters"/>
        <w:tblW w:w="8760" w:type="dxa"/>
        <w:tblLook w:val="04A0" w:firstRow="1" w:lastRow="0" w:firstColumn="1" w:lastColumn="0" w:noHBand="0" w:noVBand="1"/>
      </w:tblPr>
      <w:tblGrid>
        <w:gridCol w:w="1718"/>
        <w:gridCol w:w="348"/>
        <w:gridCol w:w="6694"/>
      </w:tblGrid>
      <w:tr w:rsidR="00E97519" w:rsidRPr="00780E96" w14:paraId="749C058A" w14:textId="77777777" w:rsidTr="00AA7E37">
        <w:tc>
          <w:tcPr>
            <w:tcW w:w="1701" w:type="dxa"/>
            <w:vAlign w:val="top"/>
          </w:tcPr>
          <w:p w14:paraId="47B1B526" w14:textId="77777777" w:rsidR="00E97519" w:rsidRPr="00780E96" w:rsidRDefault="00E97519" w:rsidP="009C00E7">
            <w:pPr>
              <w:pStyle w:val="SDMTableBoxParaNotNumbered"/>
              <w:rPr>
                <w:rFonts w:ascii="Cambria Math" w:hAnsi="Cambria Math" w:cs="Arial"/>
                <w:i/>
              </w:rPr>
            </w:pPr>
            <w:r w:rsidRPr="00780E96">
              <w:rPr>
                <w:rFonts w:ascii="Cambria Math" w:hAnsi="Cambria Math" w:cs="Arial"/>
                <w:i/>
              </w:rPr>
              <w:t>EF</w:t>
            </w:r>
            <w:r w:rsidRPr="00780E96">
              <w:rPr>
                <w:rFonts w:ascii="Cambria Math" w:hAnsi="Cambria Math" w:cs="Arial"/>
                <w:i/>
                <w:vertAlign w:val="subscript"/>
              </w:rPr>
              <w:t>EL,p,t</w:t>
            </w:r>
          </w:p>
        </w:tc>
        <w:tc>
          <w:tcPr>
            <w:tcW w:w="345" w:type="dxa"/>
            <w:vAlign w:val="top"/>
          </w:tcPr>
          <w:p w14:paraId="077F5FC1" w14:textId="77777777" w:rsidR="00E97519" w:rsidRPr="00780E96" w:rsidRDefault="00E97519" w:rsidP="009C00E7">
            <w:pPr>
              <w:pStyle w:val="SDMTableBoxParaNotNumbered"/>
              <w:rPr>
                <w:rFonts w:cs="Arial"/>
              </w:rPr>
            </w:pPr>
            <w:r w:rsidRPr="00780E96">
              <w:rPr>
                <w:rFonts w:cs="Arial"/>
              </w:rPr>
              <w:t>=</w:t>
            </w:r>
          </w:p>
        </w:tc>
        <w:tc>
          <w:tcPr>
            <w:tcW w:w="6630" w:type="dxa"/>
            <w:vAlign w:val="top"/>
          </w:tcPr>
          <w:p w14:paraId="3C8926A3" w14:textId="4A2DF443" w:rsidR="00E97519" w:rsidRPr="00780E96" w:rsidRDefault="00E6232E" w:rsidP="009C00E7">
            <w:pPr>
              <w:pStyle w:val="SDMTableBoxParaNotNumbered"/>
              <w:rPr>
                <w:rFonts w:cs="Arial"/>
              </w:rPr>
            </w:pPr>
            <w:r w:rsidRPr="00780E96">
              <w:rPr>
                <w:rFonts w:cs="Arial"/>
              </w:rPr>
              <w:t>CO</w:t>
            </w:r>
            <w:r w:rsidRPr="00780E96">
              <w:rPr>
                <w:rFonts w:cs="Arial"/>
                <w:vertAlign w:val="subscript"/>
              </w:rPr>
              <w:t>2</w:t>
            </w:r>
            <w:r w:rsidRPr="00780E96">
              <w:rPr>
                <w:rFonts w:cs="Arial"/>
              </w:rPr>
              <w:t xml:space="preserve"> emission factor of power unit </w:t>
            </w:r>
            <w:r w:rsidRPr="00780E96">
              <w:rPr>
                <w:rFonts w:cs="Arial"/>
                <w:i/>
              </w:rPr>
              <w:t>p</w:t>
            </w:r>
            <w:r w:rsidRPr="00780E96">
              <w:rPr>
                <w:rFonts w:cs="Arial"/>
              </w:rPr>
              <w:t xml:space="preserve"> in period </w:t>
            </w:r>
            <w:r w:rsidRPr="00780E96">
              <w:rPr>
                <w:rFonts w:cs="Arial"/>
                <w:i/>
                <w:iCs/>
              </w:rPr>
              <w:t>t</w:t>
            </w:r>
            <w:r w:rsidRPr="00780E96">
              <w:rPr>
                <w:rFonts w:cs="Arial"/>
              </w:rPr>
              <w:t xml:space="preserve"> (t CO</w:t>
            </w:r>
            <w:r w:rsidRPr="00780E96">
              <w:rPr>
                <w:rFonts w:cs="Arial"/>
                <w:vertAlign w:val="subscript"/>
              </w:rPr>
              <w:t>2</w:t>
            </w:r>
            <w:r w:rsidR="002E6A73" w:rsidRPr="00780E96">
              <w:t> / </w:t>
            </w:r>
            <w:r w:rsidRPr="00780E96">
              <w:rPr>
                <w:rFonts w:cs="Arial"/>
              </w:rPr>
              <w:t>MWh)</w:t>
            </w:r>
          </w:p>
        </w:tc>
      </w:tr>
      <w:tr w:rsidR="00E97519" w:rsidRPr="00780E96" w14:paraId="2B3265CA" w14:textId="77777777" w:rsidTr="00AA7E37">
        <w:tc>
          <w:tcPr>
            <w:tcW w:w="1701" w:type="dxa"/>
            <w:vAlign w:val="top"/>
          </w:tcPr>
          <w:p w14:paraId="208D8688" w14:textId="77777777" w:rsidR="00E97519" w:rsidRPr="00780E96" w:rsidRDefault="00E97519" w:rsidP="009C00E7">
            <w:pPr>
              <w:pStyle w:val="SDMTableBoxParaNotNumbered"/>
              <w:rPr>
                <w:rFonts w:ascii="Cambria Math" w:hAnsi="Cambria Math" w:cs="Arial"/>
                <w:i/>
              </w:rPr>
            </w:pPr>
            <w:r w:rsidRPr="00780E96">
              <w:rPr>
                <w:rFonts w:ascii="Cambria Math" w:hAnsi="Cambria Math" w:cs="Arial"/>
                <w:i/>
              </w:rPr>
              <w:t>FC</w:t>
            </w:r>
            <w:r w:rsidRPr="00780E96">
              <w:rPr>
                <w:rFonts w:ascii="Cambria Math" w:hAnsi="Cambria Math" w:cs="Arial"/>
                <w:i/>
                <w:vertAlign w:val="subscript"/>
              </w:rPr>
              <w:t>i,p,t</w:t>
            </w:r>
          </w:p>
        </w:tc>
        <w:tc>
          <w:tcPr>
            <w:tcW w:w="345" w:type="dxa"/>
            <w:vAlign w:val="top"/>
          </w:tcPr>
          <w:p w14:paraId="706ECB92" w14:textId="77777777" w:rsidR="00E97519" w:rsidRPr="00780E96" w:rsidRDefault="00E97519" w:rsidP="009C00E7">
            <w:pPr>
              <w:pStyle w:val="SDMTableBoxParaNotNumbered"/>
              <w:rPr>
                <w:rFonts w:cs="Arial"/>
              </w:rPr>
            </w:pPr>
            <w:r w:rsidRPr="00780E96">
              <w:rPr>
                <w:rFonts w:cs="Arial"/>
              </w:rPr>
              <w:t>=</w:t>
            </w:r>
          </w:p>
        </w:tc>
        <w:tc>
          <w:tcPr>
            <w:tcW w:w="6630" w:type="dxa"/>
            <w:vAlign w:val="top"/>
          </w:tcPr>
          <w:p w14:paraId="3A3F1D90" w14:textId="77777777" w:rsidR="00E301C9" w:rsidRPr="00780E96" w:rsidRDefault="00037FAC" w:rsidP="00822CD3">
            <w:pPr>
              <w:pStyle w:val="SDMTableBoxParaNotNumbered"/>
              <w:tabs>
                <w:tab w:val="left" w:pos="1276"/>
              </w:tabs>
              <w:ind w:left="36"/>
              <w:rPr>
                <w:rFonts w:cs="Arial"/>
                <w:i/>
                <w:iCs/>
              </w:rPr>
            </w:pPr>
            <w:r w:rsidRPr="00780E96">
              <w:rPr>
                <w:rFonts w:cs="Arial"/>
              </w:rPr>
              <w:t>Amount of fuel type </w:t>
            </w:r>
            <w:r w:rsidRPr="00780E96">
              <w:rPr>
                <w:rFonts w:cs="Arial"/>
                <w:i/>
                <w:iCs/>
              </w:rPr>
              <w:t xml:space="preserve">i </w:t>
            </w:r>
            <w:r w:rsidRPr="00780E96">
              <w:rPr>
                <w:rFonts w:cs="Arial"/>
              </w:rPr>
              <w:t>consumed by power unit </w:t>
            </w:r>
            <w:r w:rsidRPr="00780E96">
              <w:rPr>
                <w:rFonts w:cs="Arial"/>
                <w:i/>
                <w:iCs/>
              </w:rPr>
              <w:t xml:space="preserve">p </w:t>
            </w:r>
            <w:r w:rsidRPr="00780E96">
              <w:rPr>
                <w:rFonts w:cs="Arial"/>
              </w:rPr>
              <w:t>in</w:t>
            </w:r>
            <w:r w:rsidRPr="00780E96">
              <w:rPr>
                <w:rFonts w:cs="Arial"/>
                <w:i/>
                <w:iCs/>
              </w:rPr>
              <w:t xml:space="preserve"> </w:t>
            </w:r>
            <w:r w:rsidRPr="00780E96">
              <w:rPr>
                <w:rFonts w:cs="Arial"/>
              </w:rPr>
              <w:t>period</w:t>
            </w:r>
            <w:r w:rsidRPr="00780E96">
              <w:rPr>
                <w:rFonts w:cs="Arial"/>
                <w:i/>
                <w:iCs/>
              </w:rPr>
              <w:t> t</w:t>
            </w:r>
          </w:p>
          <w:p w14:paraId="65849AC5" w14:textId="2990FCCD" w:rsidR="00E97519" w:rsidRPr="00780E96" w:rsidRDefault="00037FAC" w:rsidP="00822CD3">
            <w:pPr>
              <w:pStyle w:val="SDMTableBoxParaNotNumbered"/>
              <w:tabs>
                <w:tab w:val="left" w:pos="1276"/>
              </w:tabs>
              <w:ind w:left="36"/>
              <w:rPr>
                <w:rFonts w:cs="Arial"/>
              </w:rPr>
            </w:pPr>
            <w:r w:rsidRPr="00780E96">
              <w:rPr>
                <w:rFonts w:cs="Arial"/>
              </w:rPr>
              <w:t>(Mass or volume unit)</w:t>
            </w:r>
          </w:p>
        </w:tc>
      </w:tr>
      <w:tr w:rsidR="00E97519" w:rsidRPr="00780E96" w14:paraId="4F0E70F8" w14:textId="77777777" w:rsidTr="00AA7E37">
        <w:tc>
          <w:tcPr>
            <w:tcW w:w="1701" w:type="dxa"/>
            <w:vAlign w:val="top"/>
          </w:tcPr>
          <w:p w14:paraId="4777B147" w14:textId="77777777" w:rsidR="00E97519" w:rsidRPr="00780E96" w:rsidRDefault="00E97519" w:rsidP="009C00E7">
            <w:pPr>
              <w:pStyle w:val="SDMTableBoxParaNotNumbered"/>
              <w:rPr>
                <w:rFonts w:ascii="Cambria Math" w:hAnsi="Cambria Math" w:cs="Arial"/>
                <w:i/>
              </w:rPr>
            </w:pPr>
            <w:r w:rsidRPr="00780E96">
              <w:rPr>
                <w:rFonts w:ascii="Cambria Math" w:hAnsi="Cambria Math" w:cs="Arial"/>
                <w:i/>
              </w:rPr>
              <w:t>NCV</w:t>
            </w:r>
            <w:r w:rsidRPr="00780E96">
              <w:rPr>
                <w:rFonts w:ascii="Cambria Math" w:hAnsi="Cambria Math" w:cs="Arial"/>
                <w:i/>
                <w:vertAlign w:val="subscript"/>
              </w:rPr>
              <w:t>i,t</w:t>
            </w:r>
          </w:p>
        </w:tc>
        <w:tc>
          <w:tcPr>
            <w:tcW w:w="345" w:type="dxa"/>
            <w:vAlign w:val="top"/>
          </w:tcPr>
          <w:p w14:paraId="55D8C1CA" w14:textId="77777777" w:rsidR="00E97519" w:rsidRPr="00780E96" w:rsidRDefault="00E97519" w:rsidP="009C00E7">
            <w:pPr>
              <w:pStyle w:val="SDMTableBoxParaNotNumbered"/>
              <w:rPr>
                <w:rFonts w:cs="Arial"/>
              </w:rPr>
            </w:pPr>
            <w:r w:rsidRPr="00780E96">
              <w:rPr>
                <w:rFonts w:cs="Arial"/>
              </w:rPr>
              <w:t>=</w:t>
            </w:r>
          </w:p>
        </w:tc>
        <w:tc>
          <w:tcPr>
            <w:tcW w:w="6630" w:type="dxa"/>
            <w:vAlign w:val="top"/>
          </w:tcPr>
          <w:p w14:paraId="0BA4F200" w14:textId="77777777" w:rsidR="00E301C9" w:rsidRPr="00780E96" w:rsidRDefault="00037FAC" w:rsidP="00822CD3">
            <w:pPr>
              <w:pStyle w:val="SDMTableBoxParaNotNumbered"/>
              <w:tabs>
                <w:tab w:val="left" w:pos="1276"/>
              </w:tabs>
              <w:ind w:left="36"/>
              <w:rPr>
                <w:rFonts w:cs="Arial"/>
                <w:i/>
                <w:iCs/>
              </w:rPr>
            </w:pPr>
            <w:r w:rsidRPr="00780E96">
              <w:rPr>
                <w:rFonts w:cs="Arial"/>
              </w:rPr>
              <w:t>Net calorific value (energy content) of fuel type </w:t>
            </w:r>
            <w:r w:rsidRPr="00780E96">
              <w:rPr>
                <w:rFonts w:cs="Arial"/>
                <w:i/>
                <w:iCs/>
              </w:rPr>
              <w:t>i</w:t>
            </w:r>
            <w:r w:rsidRPr="00780E96">
              <w:rPr>
                <w:rFonts w:cs="Arial"/>
              </w:rPr>
              <w:t xml:space="preserve"> in period</w:t>
            </w:r>
            <w:r w:rsidRPr="00780E96">
              <w:rPr>
                <w:rFonts w:cs="Arial"/>
                <w:i/>
                <w:iCs/>
              </w:rPr>
              <w:t> t</w:t>
            </w:r>
          </w:p>
          <w:p w14:paraId="778F49C8" w14:textId="321C8848" w:rsidR="00E97519" w:rsidRPr="00780E96" w:rsidRDefault="00037FAC" w:rsidP="00822CD3">
            <w:pPr>
              <w:pStyle w:val="SDMTableBoxParaNotNumbered"/>
              <w:tabs>
                <w:tab w:val="left" w:pos="1276"/>
              </w:tabs>
              <w:ind w:left="36"/>
              <w:rPr>
                <w:rFonts w:cs="Arial"/>
              </w:rPr>
            </w:pPr>
            <w:r w:rsidRPr="00780E96">
              <w:rPr>
                <w:rFonts w:cs="Arial"/>
              </w:rPr>
              <w:t>(GJ</w:t>
            </w:r>
            <w:r w:rsidR="002E6A73" w:rsidRPr="00780E96">
              <w:t> / </w:t>
            </w:r>
            <w:r w:rsidRPr="00780E96">
              <w:rPr>
                <w:rFonts w:cs="Arial"/>
              </w:rPr>
              <w:t>mass or volume unit)</w:t>
            </w:r>
          </w:p>
        </w:tc>
      </w:tr>
      <w:tr w:rsidR="00E97519" w:rsidRPr="00780E96" w14:paraId="588DEFC8" w14:textId="77777777" w:rsidTr="00AA7E37">
        <w:tc>
          <w:tcPr>
            <w:tcW w:w="1701" w:type="dxa"/>
            <w:vAlign w:val="top"/>
          </w:tcPr>
          <w:p w14:paraId="7810C8E9" w14:textId="77777777" w:rsidR="00E97519" w:rsidRPr="00780E96" w:rsidRDefault="00E97519" w:rsidP="009C00E7">
            <w:pPr>
              <w:pStyle w:val="SDMTableBoxParaNotNumbered"/>
              <w:rPr>
                <w:rFonts w:ascii="Cambria Math" w:hAnsi="Cambria Math" w:cs="Arial"/>
                <w:i/>
              </w:rPr>
            </w:pPr>
            <w:r w:rsidRPr="00780E96">
              <w:rPr>
                <w:rFonts w:ascii="Cambria Math" w:hAnsi="Cambria Math" w:cs="Arial"/>
                <w:i/>
                <w:iCs/>
              </w:rPr>
              <w:t>HG</w:t>
            </w:r>
            <w:r w:rsidRPr="00780E96">
              <w:rPr>
                <w:rFonts w:ascii="Cambria Math" w:hAnsi="Cambria Math" w:cs="Arial"/>
                <w:i/>
                <w:iCs/>
                <w:vertAlign w:val="subscript"/>
              </w:rPr>
              <w:t>p,t</w:t>
            </w:r>
          </w:p>
        </w:tc>
        <w:tc>
          <w:tcPr>
            <w:tcW w:w="345" w:type="dxa"/>
            <w:vAlign w:val="top"/>
          </w:tcPr>
          <w:p w14:paraId="36F88549" w14:textId="77777777" w:rsidR="00E97519" w:rsidRPr="00780E96" w:rsidRDefault="00E97519" w:rsidP="009C00E7">
            <w:pPr>
              <w:pStyle w:val="SDMTableBoxParaNotNumbered"/>
              <w:rPr>
                <w:rFonts w:cs="Arial"/>
              </w:rPr>
            </w:pPr>
            <w:r w:rsidRPr="00780E96">
              <w:rPr>
                <w:rFonts w:cs="Arial"/>
              </w:rPr>
              <w:t>=</w:t>
            </w:r>
          </w:p>
        </w:tc>
        <w:tc>
          <w:tcPr>
            <w:tcW w:w="6630" w:type="dxa"/>
            <w:vAlign w:val="top"/>
          </w:tcPr>
          <w:p w14:paraId="771E180F" w14:textId="381EE012" w:rsidR="00E97519" w:rsidRPr="00780E96" w:rsidRDefault="00A05E99" w:rsidP="009C00E7">
            <w:pPr>
              <w:pStyle w:val="SDMTableBoxParaNotNumbered"/>
              <w:rPr>
                <w:rFonts w:cs="Arial"/>
              </w:rPr>
            </w:pPr>
            <w:r w:rsidRPr="00780E96">
              <w:rPr>
                <w:rFonts w:cs="Arial"/>
              </w:rPr>
              <w:t>H</w:t>
            </w:r>
            <w:r w:rsidR="00E97519" w:rsidRPr="00780E96">
              <w:rPr>
                <w:rFonts w:cs="Arial"/>
              </w:rPr>
              <w:t xml:space="preserve">eat co-generated </w:t>
            </w:r>
            <w:r w:rsidRPr="00780E96">
              <w:rPr>
                <w:rFonts w:cs="Arial"/>
              </w:rPr>
              <w:t>in</w:t>
            </w:r>
            <w:r w:rsidR="00E97519" w:rsidRPr="00780E96">
              <w:rPr>
                <w:rFonts w:cs="Arial"/>
              </w:rPr>
              <w:t xml:space="preserve"> power plant</w:t>
            </w:r>
            <w:r w:rsidR="00E97519" w:rsidRPr="00780E96">
              <w:rPr>
                <w:rFonts w:cs="Arial"/>
                <w:i/>
              </w:rPr>
              <w:t> </w:t>
            </w:r>
            <w:r w:rsidR="00E97519" w:rsidRPr="00780E96">
              <w:rPr>
                <w:rFonts w:cs="Arial"/>
                <w:i/>
                <w:iCs/>
              </w:rPr>
              <w:t>p</w:t>
            </w:r>
            <w:r w:rsidR="00E97519" w:rsidRPr="00780E96">
              <w:rPr>
                <w:rFonts w:cs="Arial"/>
                <w:i/>
              </w:rPr>
              <w:t xml:space="preserve"> </w:t>
            </w:r>
            <w:r w:rsidR="00E97519" w:rsidRPr="00780E96">
              <w:rPr>
                <w:rFonts w:cs="Arial"/>
              </w:rPr>
              <w:t>in period</w:t>
            </w:r>
            <w:r w:rsidR="00E97519" w:rsidRPr="00780E96">
              <w:rPr>
                <w:rFonts w:cs="Arial"/>
                <w:i/>
              </w:rPr>
              <w:t xml:space="preserve"> t </w:t>
            </w:r>
            <w:r w:rsidR="00E97519" w:rsidRPr="00780E96">
              <w:rPr>
                <w:rFonts w:cs="Arial"/>
              </w:rPr>
              <w:t>(GJ)</w:t>
            </w:r>
          </w:p>
        </w:tc>
      </w:tr>
      <w:tr w:rsidR="00E97519" w:rsidRPr="00780E96" w14:paraId="49DFF9C6" w14:textId="77777777" w:rsidTr="00AA7E37">
        <w:tc>
          <w:tcPr>
            <w:tcW w:w="1701" w:type="dxa"/>
            <w:vAlign w:val="top"/>
          </w:tcPr>
          <w:p w14:paraId="5834C111" w14:textId="24DB9870" w:rsidR="00E97519" w:rsidRPr="00780E96" w:rsidRDefault="003F6646" w:rsidP="009C00E7">
            <w:pPr>
              <w:pStyle w:val="SDMTableBoxParaNotNumbered"/>
              <w:rPr>
                <w:rFonts w:ascii="Cambria Math" w:hAnsi="Cambria Math" w:cs="Arial"/>
                <w:i/>
                <w:iCs/>
              </w:rPr>
            </w:pPr>
            <m:oMathPara>
              <m:oMathParaPr>
                <m:jc m:val="left"/>
              </m:oMathParaPr>
              <m:oMath>
                <m:sSub>
                  <m:sSubPr>
                    <m:ctrlPr>
                      <w:rPr>
                        <w:rFonts w:ascii="Cambria Math" w:hAnsi="Cambria Math"/>
                        <w:i/>
                      </w:rPr>
                    </m:ctrlPr>
                  </m:sSubPr>
                  <m:e>
                    <m:r>
                      <w:rPr>
                        <w:rFonts w:ascii="Cambria Math" w:hAnsi="Cambria Math"/>
                      </w:rPr>
                      <m:t>η</m:t>
                    </m:r>
                  </m:e>
                  <m:sub>
                    <m:r>
                      <w:rPr>
                        <w:rFonts w:ascii="Cambria Math" w:hAnsi="Cambria Math"/>
                      </w:rPr>
                      <m:t>boiler</m:t>
                    </m:r>
                  </m:sub>
                </m:sSub>
              </m:oMath>
            </m:oMathPara>
          </w:p>
        </w:tc>
        <w:tc>
          <w:tcPr>
            <w:tcW w:w="345" w:type="dxa"/>
            <w:vAlign w:val="top"/>
          </w:tcPr>
          <w:p w14:paraId="7ADF9B37" w14:textId="77777777" w:rsidR="00E97519" w:rsidRPr="00780E96" w:rsidRDefault="00E97519" w:rsidP="009C00E7">
            <w:pPr>
              <w:pStyle w:val="SDMTableBoxParaNotNumbered"/>
              <w:rPr>
                <w:rFonts w:cs="Arial"/>
              </w:rPr>
            </w:pPr>
            <w:r w:rsidRPr="00780E96">
              <w:rPr>
                <w:rFonts w:cs="Arial"/>
              </w:rPr>
              <w:t>=</w:t>
            </w:r>
          </w:p>
        </w:tc>
        <w:tc>
          <w:tcPr>
            <w:tcW w:w="6630" w:type="dxa"/>
            <w:vAlign w:val="top"/>
          </w:tcPr>
          <w:p w14:paraId="6F52785A" w14:textId="7377D3EA" w:rsidR="00E97519" w:rsidRPr="00780E96" w:rsidRDefault="00E97519" w:rsidP="009C00E7">
            <w:pPr>
              <w:pStyle w:val="SDMTableBoxParaNotNumbered"/>
              <w:rPr>
                <w:rFonts w:cs="Arial"/>
              </w:rPr>
            </w:pPr>
            <w:r w:rsidRPr="00780E96">
              <w:rPr>
                <w:rFonts w:cs="Arial"/>
              </w:rPr>
              <w:t>Efficiency of the boiler assumed to generate heat in the absence of cogeneration</w:t>
            </w:r>
          </w:p>
        </w:tc>
      </w:tr>
      <w:tr w:rsidR="00E97519" w:rsidRPr="00780E96" w14:paraId="5C49AD2C" w14:textId="77777777" w:rsidTr="00AA7E37">
        <w:tc>
          <w:tcPr>
            <w:tcW w:w="1701" w:type="dxa"/>
            <w:vAlign w:val="top"/>
          </w:tcPr>
          <w:p w14:paraId="307DFC1E" w14:textId="54E7E60F" w:rsidR="00E97519" w:rsidRPr="00780E96" w:rsidRDefault="00E97519" w:rsidP="009C00E7">
            <w:pPr>
              <w:pStyle w:val="SDMTableBoxParaNotNumbered"/>
              <w:rPr>
                <w:rFonts w:ascii="Cambria Math" w:hAnsi="Cambria Math" w:cs="Arial"/>
                <w:i/>
                <w:iCs/>
              </w:rPr>
            </w:pPr>
            <w:r w:rsidRPr="00780E96">
              <w:rPr>
                <w:rFonts w:ascii="Cambria Math" w:hAnsi="Cambria Math" w:cs="Arial"/>
                <w:i/>
                <w:iCs/>
              </w:rPr>
              <w:t>EF</w:t>
            </w:r>
            <w:r w:rsidRPr="00780E96">
              <w:rPr>
                <w:rFonts w:ascii="Cambria Math" w:hAnsi="Cambria Math" w:cs="Arial"/>
                <w:i/>
                <w:iCs/>
                <w:vertAlign w:val="subscript"/>
              </w:rPr>
              <w:t>CO2,</w:t>
            </w:r>
            <w:r w:rsidR="0DF61D92" w:rsidRPr="00780E96">
              <w:rPr>
                <w:rFonts w:ascii="Cambria Math" w:hAnsi="Cambria Math" w:cs="Arial"/>
                <w:i/>
                <w:iCs/>
                <w:vertAlign w:val="subscript"/>
              </w:rPr>
              <w:t>i</w:t>
            </w:r>
            <w:r w:rsidRPr="00780E96">
              <w:rPr>
                <w:rFonts w:ascii="Cambria Math" w:hAnsi="Cambria Math" w:cs="Arial"/>
                <w:i/>
                <w:iCs/>
                <w:vertAlign w:val="subscript"/>
              </w:rPr>
              <w:t>,t</w:t>
            </w:r>
          </w:p>
        </w:tc>
        <w:tc>
          <w:tcPr>
            <w:tcW w:w="345" w:type="dxa"/>
            <w:vAlign w:val="top"/>
          </w:tcPr>
          <w:p w14:paraId="6C3DE6E8" w14:textId="77777777" w:rsidR="00E97519" w:rsidRPr="00780E96" w:rsidRDefault="00E97519" w:rsidP="009C00E7">
            <w:pPr>
              <w:pStyle w:val="SDMTableBoxParaNotNumbered"/>
              <w:rPr>
                <w:rFonts w:cs="Arial"/>
              </w:rPr>
            </w:pPr>
            <w:r w:rsidRPr="00780E96">
              <w:rPr>
                <w:rFonts w:cs="Arial"/>
              </w:rPr>
              <w:t>=</w:t>
            </w:r>
          </w:p>
        </w:tc>
        <w:tc>
          <w:tcPr>
            <w:tcW w:w="6630" w:type="dxa"/>
            <w:vAlign w:val="top"/>
          </w:tcPr>
          <w:p w14:paraId="1DD05495" w14:textId="373AE1CD" w:rsidR="00E97519" w:rsidRPr="00780E96" w:rsidRDefault="00AE42E4" w:rsidP="009C00E7">
            <w:pPr>
              <w:pStyle w:val="SDMTableBoxParaNotNumbered"/>
              <w:rPr>
                <w:rFonts w:cs="Arial"/>
              </w:rPr>
            </w:pPr>
            <w:r w:rsidRPr="00780E96">
              <w:rPr>
                <w:rFonts w:cs="Arial"/>
              </w:rPr>
              <w:t>CO</w:t>
            </w:r>
            <w:r w:rsidRPr="00780E96">
              <w:rPr>
                <w:rFonts w:cs="Arial"/>
                <w:vertAlign w:val="subscript"/>
              </w:rPr>
              <w:t>2</w:t>
            </w:r>
            <w:r w:rsidRPr="00780E96">
              <w:rPr>
                <w:rFonts w:cs="Arial"/>
              </w:rPr>
              <w:t xml:space="preserve"> emission factor of fuel type </w:t>
            </w:r>
            <w:r w:rsidRPr="00780E96">
              <w:rPr>
                <w:rFonts w:cs="Arial"/>
                <w:i/>
                <w:iCs/>
              </w:rPr>
              <w:t>i</w:t>
            </w:r>
            <w:r w:rsidRPr="00780E96">
              <w:rPr>
                <w:rFonts w:cs="Arial"/>
              </w:rPr>
              <w:t xml:space="preserve"> in period</w:t>
            </w:r>
            <w:r w:rsidRPr="00780E96">
              <w:rPr>
                <w:rFonts w:cs="Arial"/>
                <w:i/>
                <w:iCs/>
              </w:rPr>
              <w:t> t</w:t>
            </w:r>
            <w:r w:rsidRPr="00780E96">
              <w:rPr>
                <w:rFonts w:cs="Arial"/>
              </w:rPr>
              <w:t xml:space="preserve"> </w:t>
            </w:r>
            <w:r w:rsidRPr="00780E96">
              <w:rPr>
                <w:rFonts w:cs="Arial"/>
                <w:iCs/>
              </w:rPr>
              <w:t>(t CO</w:t>
            </w:r>
            <w:r w:rsidRPr="00780E96">
              <w:rPr>
                <w:rFonts w:cs="Arial"/>
                <w:iCs/>
                <w:vertAlign w:val="subscript"/>
              </w:rPr>
              <w:t>2</w:t>
            </w:r>
            <w:r w:rsidR="002E6A73" w:rsidRPr="00780E96">
              <w:t> / </w:t>
            </w:r>
            <w:r w:rsidRPr="00780E96">
              <w:rPr>
                <w:rFonts w:cs="Arial"/>
                <w:iCs/>
              </w:rPr>
              <w:t>GJ)</w:t>
            </w:r>
          </w:p>
        </w:tc>
      </w:tr>
      <w:tr w:rsidR="00E97519" w:rsidRPr="00780E96" w14:paraId="71E38A8C" w14:textId="77777777" w:rsidTr="00AA7E37">
        <w:tc>
          <w:tcPr>
            <w:tcW w:w="1701" w:type="dxa"/>
            <w:vAlign w:val="top"/>
          </w:tcPr>
          <w:p w14:paraId="1185510C" w14:textId="77777777" w:rsidR="00E97519" w:rsidRPr="00780E96" w:rsidRDefault="00E97519" w:rsidP="009C00E7">
            <w:pPr>
              <w:pStyle w:val="SDMTableBoxParaNotNumbered"/>
              <w:rPr>
                <w:rFonts w:ascii="Cambria Math" w:hAnsi="Cambria Math" w:cs="Arial"/>
                <w:i/>
                <w:iCs/>
              </w:rPr>
            </w:pPr>
            <w:r w:rsidRPr="00780E96">
              <w:rPr>
                <w:rFonts w:ascii="Cambria Math" w:hAnsi="Cambria Math" w:cs="Arial"/>
                <w:i/>
                <w:iCs/>
              </w:rPr>
              <w:t>EG</w:t>
            </w:r>
            <w:r w:rsidRPr="00780E96">
              <w:rPr>
                <w:rFonts w:ascii="Cambria Math" w:hAnsi="Cambria Math" w:cs="Arial"/>
                <w:i/>
                <w:iCs/>
                <w:vertAlign w:val="subscript"/>
              </w:rPr>
              <w:t>p,t</w:t>
            </w:r>
          </w:p>
        </w:tc>
        <w:tc>
          <w:tcPr>
            <w:tcW w:w="345" w:type="dxa"/>
            <w:vAlign w:val="top"/>
          </w:tcPr>
          <w:p w14:paraId="4282E797" w14:textId="77777777" w:rsidR="00E97519" w:rsidRPr="00780E96" w:rsidRDefault="00E97519" w:rsidP="009C00E7">
            <w:pPr>
              <w:pStyle w:val="SDMTableBoxParaNotNumbered"/>
              <w:rPr>
                <w:rFonts w:cs="Arial"/>
              </w:rPr>
            </w:pPr>
            <w:r w:rsidRPr="00780E96">
              <w:rPr>
                <w:rFonts w:cs="Arial"/>
              </w:rPr>
              <w:t>=</w:t>
            </w:r>
          </w:p>
        </w:tc>
        <w:tc>
          <w:tcPr>
            <w:tcW w:w="6630" w:type="dxa"/>
            <w:vAlign w:val="top"/>
          </w:tcPr>
          <w:p w14:paraId="32FB6878" w14:textId="18B1BD3F" w:rsidR="00E97519" w:rsidRPr="00780E96" w:rsidRDefault="00263DB8" w:rsidP="009C00E7">
            <w:pPr>
              <w:pStyle w:val="SDMTableBoxParaNotNumbered"/>
              <w:rPr>
                <w:rFonts w:cs="Arial"/>
              </w:rPr>
            </w:pPr>
            <w:r w:rsidRPr="00780E96">
              <w:rPr>
                <w:rFonts w:cs="Arial"/>
              </w:rPr>
              <w:t>Net quantity of electricity generated and delivered to the electricity system by power unit </w:t>
            </w:r>
            <w:r w:rsidRPr="00780E96">
              <w:rPr>
                <w:rFonts w:cs="Arial"/>
                <w:i/>
                <w:iCs/>
              </w:rPr>
              <w:t>p</w:t>
            </w:r>
            <w:r w:rsidRPr="00780E96">
              <w:rPr>
                <w:rFonts w:cs="Arial"/>
                <w:i/>
              </w:rPr>
              <w:t xml:space="preserve"> </w:t>
            </w:r>
            <w:r w:rsidRPr="00780E96">
              <w:rPr>
                <w:rFonts w:cs="Arial"/>
              </w:rPr>
              <w:t>in period</w:t>
            </w:r>
            <w:r w:rsidRPr="00780E96">
              <w:rPr>
                <w:rFonts w:cs="Arial"/>
                <w:i/>
                <w:iCs/>
              </w:rPr>
              <w:t xml:space="preserve"> t </w:t>
            </w:r>
            <w:r w:rsidRPr="00780E96">
              <w:rPr>
                <w:rFonts w:cs="Arial"/>
              </w:rPr>
              <w:t>(MWh)</w:t>
            </w:r>
          </w:p>
        </w:tc>
      </w:tr>
      <w:tr w:rsidR="00556905" w:rsidRPr="00780E96" w14:paraId="5318521D" w14:textId="77777777" w:rsidTr="00AA7E37">
        <w:tc>
          <w:tcPr>
            <w:tcW w:w="1701" w:type="dxa"/>
            <w:vAlign w:val="top"/>
          </w:tcPr>
          <w:p w14:paraId="41471D96" w14:textId="77777777" w:rsidR="00556905" w:rsidRPr="00780E96" w:rsidRDefault="00556905" w:rsidP="009C00E7">
            <w:pPr>
              <w:pStyle w:val="SDMTableBoxParaNotNumbered"/>
              <w:rPr>
                <w:rFonts w:ascii="Cambria Math" w:hAnsi="Cambria Math" w:cs="Arial"/>
                <w:i/>
                <w:iCs/>
              </w:rPr>
            </w:pPr>
            <w:r w:rsidRPr="00780E96">
              <w:rPr>
                <w:rFonts w:ascii="Cambria Math" w:hAnsi="Cambria Math" w:cs="Arial"/>
                <w:i/>
                <w:iCs/>
              </w:rPr>
              <w:t>p</w:t>
            </w:r>
          </w:p>
        </w:tc>
        <w:tc>
          <w:tcPr>
            <w:tcW w:w="345" w:type="dxa"/>
            <w:vAlign w:val="top"/>
          </w:tcPr>
          <w:p w14:paraId="6046DFBA" w14:textId="77777777" w:rsidR="00556905" w:rsidRPr="00780E96" w:rsidRDefault="00556905" w:rsidP="009C00E7">
            <w:pPr>
              <w:pStyle w:val="SDMTableBoxParaNotNumbered"/>
              <w:rPr>
                <w:rFonts w:cs="Arial"/>
              </w:rPr>
            </w:pPr>
            <w:r w:rsidRPr="00780E96">
              <w:rPr>
                <w:rFonts w:cs="Arial"/>
              </w:rPr>
              <w:t>=</w:t>
            </w:r>
          </w:p>
        </w:tc>
        <w:tc>
          <w:tcPr>
            <w:tcW w:w="6630" w:type="dxa"/>
            <w:vAlign w:val="top"/>
          </w:tcPr>
          <w:p w14:paraId="1A01D36A" w14:textId="50225785" w:rsidR="00556905" w:rsidRPr="00780E96" w:rsidRDefault="00556905" w:rsidP="009C00E7">
            <w:pPr>
              <w:pStyle w:val="SDMTableBoxParaNotNumbered"/>
              <w:rPr>
                <w:rFonts w:cs="Arial"/>
              </w:rPr>
            </w:pPr>
            <w:r w:rsidRPr="00780E96">
              <w:rPr>
                <w:rFonts w:cs="Arial"/>
              </w:rPr>
              <w:t>All relevant power units serving the electricity system in period </w:t>
            </w:r>
            <w:r w:rsidRPr="00780E96">
              <w:rPr>
                <w:rFonts w:cs="Arial"/>
                <w:i/>
                <w:iCs/>
              </w:rPr>
              <w:t>t</w:t>
            </w:r>
            <w:r w:rsidRPr="00780E96">
              <w:rPr>
                <w:rFonts w:cs="Arial"/>
              </w:rPr>
              <w:t xml:space="preserve"> as per the method used for determining the OM or BM emission factor</w:t>
            </w:r>
          </w:p>
        </w:tc>
      </w:tr>
      <w:tr w:rsidR="00556905" w:rsidRPr="00780E96" w14:paraId="4254BA7D" w14:textId="77777777" w:rsidTr="00AA7E37">
        <w:tc>
          <w:tcPr>
            <w:tcW w:w="1701" w:type="dxa"/>
            <w:vAlign w:val="top"/>
          </w:tcPr>
          <w:p w14:paraId="6712FCBF" w14:textId="77777777" w:rsidR="00556905" w:rsidRPr="00780E96" w:rsidRDefault="00556905" w:rsidP="009C00E7">
            <w:pPr>
              <w:pStyle w:val="SDMTableBoxParaNotNumbered"/>
              <w:rPr>
                <w:rFonts w:ascii="Cambria Math" w:hAnsi="Cambria Math" w:cs="Arial"/>
                <w:i/>
                <w:iCs/>
              </w:rPr>
            </w:pPr>
            <w:r w:rsidRPr="00780E96">
              <w:rPr>
                <w:rFonts w:ascii="Cambria Math" w:hAnsi="Cambria Math" w:cs="Arial"/>
                <w:i/>
                <w:iCs/>
              </w:rPr>
              <w:t>t</w:t>
            </w:r>
          </w:p>
        </w:tc>
        <w:tc>
          <w:tcPr>
            <w:tcW w:w="345" w:type="dxa"/>
            <w:vAlign w:val="top"/>
          </w:tcPr>
          <w:p w14:paraId="5E771FE6" w14:textId="77777777" w:rsidR="00556905" w:rsidRPr="00780E96" w:rsidRDefault="00556905" w:rsidP="009C00E7">
            <w:pPr>
              <w:pStyle w:val="SDMTableBoxParaNotNumbered"/>
              <w:rPr>
                <w:rFonts w:cs="Arial"/>
              </w:rPr>
            </w:pPr>
            <w:r w:rsidRPr="00780E96">
              <w:rPr>
                <w:rFonts w:cs="Arial"/>
              </w:rPr>
              <w:t>=</w:t>
            </w:r>
          </w:p>
        </w:tc>
        <w:tc>
          <w:tcPr>
            <w:tcW w:w="6630" w:type="dxa"/>
            <w:vAlign w:val="top"/>
          </w:tcPr>
          <w:p w14:paraId="1B0FA5B4" w14:textId="7E25C575" w:rsidR="00556905" w:rsidRPr="00780E96" w:rsidRDefault="00556905" w:rsidP="009C00E7">
            <w:pPr>
              <w:pStyle w:val="SDMTableBoxParaNotNumbered"/>
              <w:rPr>
                <w:rFonts w:cs="Arial"/>
              </w:rPr>
            </w:pPr>
            <w:r w:rsidRPr="00780E96">
              <w:rPr>
                <w:rFonts w:cs="Arial"/>
              </w:rPr>
              <w:t>The relevant period used for determining the emission factor</w:t>
            </w:r>
          </w:p>
        </w:tc>
      </w:tr>
    </w:tbl>
    <w:p w14:paraId="44955502" w14:textId="53A83429" w:rsidR="001A2D56" w:rsidRPr="00780E96" w:rsidRDefault="00FA5778" w:rsidP="00F62D64">
      <w:pPr>
        <w:pStyle w:val="SDMSubPara1"/>
        <w:keepNext/>
      </w:pPr>
      <w:r w:rsidRPr="00780E96">
        <w:rPr>
          <w:b/>
          <w:bCs/>
        </w:rPr>
        <w:t>Option</w:t>
      </w:r>
      <w:r w:rsidR="00071748" w:rsidRPr="00780E96">
        <w:rPr>
          <w:b/>
          <w:bCs/>
        </w:rPr>
        <w:t> </w:t>
      </w:r>
      <w:r w:rsidRPr="00780E96">
        <w:rPr>
          <w:b/>
          <w:bCs/>
        </w:rPr>
        <w:t>2:</w:t>
      </w:r>
      <w:r w:rsidRPr="00780E96">
        <w:t xml:space="preserve"> </w:t>
      </w:r>
      <w:r w:rsidR="00A618FE" w:rsidRPr="00780E96">
        <w:t>if</w:t>
      </w:r>
      <w:r w:rsidR="00BD2183" w:rsidRPr="00780E96">
        <w:t>,</w:t>
      </w:r>
      <w:r w:rsidRPr="00780E96">
        <w:t xml:space="preserve"> for a power unit </w:t>
      </w:r>
      <w:r w:rsidR="00830192" w:rsidRPr="00780E96">
        <w:rPr>
          <w:i/>
          <w:iCs/>
        </w:rPr>
        <w:t>p</w:t>
      </w:r>
      <w:r w:rsidR="00BD2183" w:rsidRPr="00780E96">
        <w:rPr>
          <w:i/>
          <w:iCs/>
        </w:rPr>
        <w:t>,</w:t>
      </w:r>
      <w:r w:rsidRPr="00780E96">
        <w:t xml:space="preserve"> only data on the fuel type</w:t>
      </w:r>
      <w:r w:rsidR="00BD2183" w:rsidRPr="00780E96">
        <w:t>(</w:t>
      </w:r>
      <w:r w:rsidRPr="00780E96">
        <w:t>s</w:t>
      </w:r>
      <w:r w:rsidR="00BD2183" w:rsidRPr="00780E96">
        <w:t>)</w:t>
      </w:r>
      <w:r w:rsidRPr="00780E96">
        <w:t xml:space="preserve"> used </w:t>
      </w:r>
      <w:r w:rsidRPr="00780E96" w:rsidDel="00BD2183">
        <w:t xml:space="preserve">is </w:t>
      </w:r>
      <w:r w:rsidRPr="00780E96">
        <w:t xml:space="preserve">available, the emission factor shall be determined </w:t>
      </w:r>
      <w:r w:rsidR="001A2D56" w:rsidRPr="00780E96">
        <w:t>using one of the following two approaches:</w:t>
      </w:r>
    </w:p>
    <w:p w14:paraId="7718E1AB" w14:textId="2E5F6BB0" w:rsidR="00FA5778" w:rsidRPr="00780E96" w:rsidRDefault="001A2D56" w:rsidP="00F62D64">
      <w:pPr>
        <w:pStyle w:val="SDMSubPara2"/>
        <w:keepNext/>
      </w:pPr>
      <w:r w:rsidRPr="00780E96">
        <w:t>B</w:t>
      </w:r>
      <w:r w:rsidR="00FA5778" w:rsidRPr="00780E96">
        <w:t>ased on the CO</w:t>
      </w:r>
      <w:r w:rsidR="00FA5778" w:rsidRPr="00780E96">
        <w:rPr>
          <w:vertAlign w:val="subscript"/>
        </w:rPr>
        <w:t>2</w:t>
      </w:r>
      <w:r w:rsidR="00FA5778" w:rsidRPr="00780E96">
        <w:t xml:space="preserve"> emission factor of the fuel type used and the efficiency of the power unit, as follows:</w:t>
      </w:r>
    </w:p>
    <w:tbl>
      <w:tblPr>
        <w:tblStyle w:val="SDMMethTableEquation"/>
        <w:tblW w:w="8147" w:type="dxa"/>
        <w:tblInd w:w="1310" w:type="dxa"/>
        <w:tblLook w:val="0600" w:firstRow="0" w:lastRow="0" w:firstColumn="0" w:lastColumn="0" w:noHBand="1" w:noVBand="1"/>
      </w:tblPr>
      <w:tblGrid>
        <w:gridCol w:w="6912"/>
        <w:gridCol w:w="1235"/>
      </w:tblGrid>
      <w:tr w:rsidR="003D19A2" w:rsidRPr="00780E96" w14:paraId="7634252B" w14:textId="77777777" w:rsidTr="00031117">
        <w:tc>
          <w:tcPr>
            <w:tcW w:w="6912" w:type="dxa"/>
          </w:tcPr>
          <w:p w14:paraId="053EEA9B" w14:textId="6D429242" w:rsidR="003D19A2" w:rsidRPr="00780E96" w:rsidRDefault="003F6646" w:rsidP="00C46814">
            <w:pPr>
              <w:pStyle w:val="SDMMethEquation"/>
              <w:ind w:left="709"/>
            </w:pPr>
            <m:oMathPara>
              <m:oMathParaPr>
                <m:jc m:val="left"/>
              </m:oMathParaPr>
              <m:oMath>
                <m:sSub>
                  <m:sSubPr>
                    <m:ctrlPr>
                      <w:rPr>
                        <w:rFonts w:ascii="Cambria Math" w:hAnsi="Cambria Math" w:cs="Cambria Math"/>
                        <w:i/>
                      </w:rPr>
                    </m:ctrlPr>
                  </m:sSubPr>
                  <m:e>
                    <m:r>
                      <w:rPr>
                        <w:rFonts w:ascii="Cambria Math" w:hAnsi="Cambria Math" w:cs="Cambria Math"/>
                      </w:rPr>
                      <m:t>EF</m:t>
                    </m:r>
                  </m:e>
                  <m:sub>
                    <m:r>
                      <w:rPr>
                        <w:rFonts w:ascii="Cambria Math" w:hAnsi="Cambria Math" w:cs="Cambria Math"/>
                      </w:rPr>
                      <m:t>EL,p,t</m:t>
                    </m:r>
                  </m:sub>
                </m:sSub>
                <m:r>
                  <m:rPr>
                    <m:sty m:val="p"/>
                  </m:rPr>
                  <w:rPr>
                    <w:rFonts w:ascii="Cambria Math" w:hAnsi="Cambria Math" w:cs="Cambria Math"/>
                  </w:rPr>
                  <m:t>=</m:t>
                </m:r>
                <m:f>
                  <m:fPr>
                    <m:ctrlPr>
                      <w:rPr>
                        <w:rFonts w:ascii="Cambria Math" w:hAnsi="Cambria Math"/>
                      </w:rPr>
                    </m:ctrlPr>
                  </m:fPr>
                  <m:num>
                    <m:sSub>
                      <m:sSubPr>
                        <m:ctrlPr>
                          <w:rPr>
                            <w:rFonts w:ascii="Cambria Math" w:hAnsi="Cambria Math"/>
                            <w:i/>
                          </w:rPr>
                        </m:ctrlPr>
                      </m:sSubPr>
                      <m:e>
                        <m:r>
                          <w:rPr>
                            <w:rFonts w:ascii="Cambria Math" w:hAnsi="Cambria Math"/>
                          </w:rPr>
                          <m:t>EF</m:t>
                        </m:r>
                      </m:e>
                      <m:sub>
                        <m:r>
                          <w:rPr>
                            <w:rFonts w:ascii="Cambria Math" w:hAnsi="Cambria Math"/>
                          </w:rPr>
                          <m:t>CO2,p,t</m:t>
                        </m:r>
                      </m:sub>
                    </m:sSub>
                    <m:r>
                      <w:rPr>
                        <w:rFonts w:ascii="Cambria Math" w:hAnsi="Cambria Math"/>
                      </w:rPr>
                      <m:t>×3.6</m:t>
                    </m:r>
                  </m:num>
                  <m:den>
                    <m:sSub>
                      <m:sSubPr>
                        <m:ctrlPr>
                          <w:rPr>
                            <w:rFonts w:ascii="Cambria Math" w:hAnsi="Cambria Math" w:cs="Cambria Math"/>
                            <w:i/>
                          </w:rPr>
                        </m:ctrlPr>
                      </m:sSubPr>
                      <m:e>
                        <m:r>
                          <w:rPr>
                            <w:rFonts w:ascii="Cambria Math" w:hAnsi="Cambria Math" w:cs="Cambria Math"/>
                          </w:rPr>
                          <m:t>η</m:t>
                        </m:r>
                      </m:e>
                      <m:sub>
                        <m:r>
                          <w:rPr>
                            <w:rFonts w:ascii="Cambria Math" w:hAnsi="Cambria Math" w:cs="Cambria Math"/>
                          </w:rPr>
                          <m:t>p,t</m:t>
                        </m:r>
                      </m:sub>
                    </m:sSub>
                  </m:den>
                </m:f>
              </m:oMath>
            </m:oMathPara>
          </w:p>
        </w:tc>
        <w:tc>
          <w:tcPr>
            <w:tcW w:w="1235" w:type="dxa"/>
          </w:tcPr>
          <w:p w14:paraId="59BB0177" w14:textId="77777777" w:rsidR="003D19A2" w:rsidRPr="00780E96" w:rsidRDefault="003D19A2" w:rsidP="00031117">
            <w:pPr>
              <w:pStyle w:val="SDMMethEquationNr"/>
              <w:numPr>
                <w:ilvl w:val="0"/>
                <w:numId w:val="6"/>
              </w:numPr>
              <w:ind w:left="-145"/>
            </w:pPr>
          </w:p>
        </w:tc>
      </w:tr>
    </w:tbl>
    <w:p w14:paraId="4982D4E3" w14:textId="6FE096AB" w:rsidR="003D19A2" w:rsidRPr="00780E96" w:rsidRDefault="003D19A2" w:rsidP="00F62D64">
      <w:pPr>
        <w:pStyle w:val="SDMMethCaptionEquationParametersTable"/>
      </w:pPr>
      <w:r w:rsidRPr="00780E96">
        <w:t>Where:</w:t>
      </w:r>
    </w:p>
    <w:tbl>
      <w:tblPr>
        <w:tblStyle w:val="SDMMethTableEquationParameters"/>
        <w:tblW w:w="8760" w:type="dxa"/>
        <w:tblLook w:val="04A0" w:firstRow="1" w:lastRow="0" w:firstColumn="1" w:lastColumn="0" w:noHBand="0" w:noVBand="1"/>
      </w:tblPr>
      <w:tblGrid>
        <w:gridCol w:w="1701"/>
        <w:gridCol w:w="345"/>
        <w:gridCol w:w="6714"/>
      </w:tblGrid>
      <w:tr w:rsidR="003D19A2" w:rsidRPr="00780E96" w14:paraId="0BC23788" w14:textId="77777777" w:rsidTr="00AA7E37">
        <w:tc>
          <w:tcPr>
            <w:tcW w:w="1701" w:type="dxa"/>
            <w:vAlign w:val="top"/>
          </w:tcPr>
          <w:p w14:paraId="3B2DE274" w14:textId="688A0CCF" w:rsidR="003D19A2" w:rsidRPr="00780E96" w:rsidRDefault="003F6646" w:rsidP="00E70B79">
            <w:pPr>
              <w:pStyle w:val="SDMTableBoxParaNotNumbered"/>
            </w:pPr>
            <m:oMathPara>
              <m:oMathParaPr>
                <m:jc m:val="left"/>
              </m:oMathParaPr>
              <m:oMath>
                <m:sSub>
                  <m:sSubPr>
                    <m:ctrlPr>
                      <w:rPr>
                        <w:rFonts w:ascii="Cambria Math" w:hAnsi="Cambria Math" w:cs="Cambria Math"/>
                        <w:i/>
                      </w:rPr>
                    </m:ctrlPr>
                  </m:sSubPr>
                  <m:e>
                    <m:r>
                      <w:rPr>
                        <w:rFonts w:ascii="Cambria Math" w:hAnsi="Cambria Math" w:cs="Cambria Math"/>
                      </w:rPr>
                      <m:t>EF</m:t>
                    </m:r>
                  </m:e>
                  <m:sub>
                    <m:r>
                      <w:rPr>
                        <w:rFonts w:ascii="Cambria Math" w:hAnsi="Cambria Math" w:cs="Cambria Math"/>
                      </w:rPr>
                      <m:t>EL,p,t</m:t>
                    </m:r>
                  </m:sub>
                </m:sSub>
              </m:oMath>
            </m:oMathPara>
          </w:p>
        </w:tc>
        <w:tc>
          <w:tcPr>
            <w:tcW w:w="345" w:type="dxa"/>
            <w:vAlign w:val="top"/>
          </w:tcPr>
          <w:p w14:paraId="6A555BBF" w14:textId="77777777" w:rsidR="003D19A2" w:rsidRPr="00780E96" w:rsidRDefault="003D19A2" w:rsidP="00E70B79">
            <w:pPr>
              <w:pStyle w:val="SDMTableBoxParaNotNumbered"/>
            </w:pPr>
            <w:r w:rsidRPr="00780E96">
              <w:t>=</w:t>
            </w:r>
          </w:p>
        </w:tc>
        <w:tc>
          <w:tcPr>
            <w:tcW w:w="0" w:type="auto"/>
            <w:vAlign w:val="top"/>
          </w:tcPr>
          <w:p w14:paraId="67ADA5E5" w14:textId="586969D5" w:rsidR="003D19A2" w:rsidRPr="00780E96" w:rsidRDefault="003D19A2" w:rsidP="00E70B79">
            <w:pPr>
              <w:pStyle w:val="SDMTableBoxParaNotNumbered"/>
            </w:pPr>
            <w:r w:rsidRPr="00780E96">
              <w:t>CO</w:t>
            </w:r>
            <w:r w:rsidRPr="00780E96">
              <w:rPr>
                <w:vertAlign w:val="subscript"/>
              </w:rPr>
              <w:t>2</w:t>
            </w:r>
            <w:r w:rsidRPr="00780E96">
              <w:t xml:space="preserve"> emission factor of power unit </w:t>
            </w:r>
            <w:r w:rsidRPr="00780E96">
              <w:rPr>
                <w:i/>
              </w:rPr>
              <w:t>p</w:t>
            </w:r>
            <w:r w:rsidRPr="00780E96">
              <w:t xml:space="preserve"> in period </w:t>
            </w:r>
            <w:r w:rsidRPr="00780E96">
              <w:rPr>
                <w:i/>
                <w:iCs/>
              </w:rPr>
              <w:t>t</w:t>
            </w:r>
            <w:r w:rsidRPr="00780E96">
              <w:t xml:space="preserve"> (t CO</w:t>
            </w:r>
            <w:r w:rsidRPr="00780E96">
              <w:rPr>
                <w:vertAlign w:val="subscript"/>
              </w:rPr>
              <w:t>2</w:t>
            </w:r>
            <w:r w:rsidR="002E6A73" w:rsidRPr="00780E96">
              <w:t> / </w:t>
            </w:r>
            <w:r w:rsidRPr="00780E96">
              <w:t>MWh)</w:t>
            </w:r>
          </w:p>
        </w:tc>
      </w:tr>
      <w:tr w:rsidR="003D19A2" w:rsidRPr="00780E96" w14:paraId="18A929A7" w14:textId="77777777" w:rsidTr="00AA7E37">
        <w:tc>
          <w:tcPr>
            <w:tcW w:w="1701" w:type="dxa"/>
            <w:vAlign w:val="top"/>
          </w:tcPr>
          <w:p w14:paraId="34D9211E" w14:textId="39A84BE9" w:rsidR="003D19A2" w:rsidRPr="00780E96" w:rsidRDefault="003F6646" w:rsidP="00E70B79">
            <w:pPr>
              <w:pStyle w:val="SDMTableBoxParaNotNumbered"/>
            </w:pPr>
            <m:oMathPara>
              <m:oMathParaPr>
                <m:jc m:val="left"/>
              </m:oMathParaPr>
              <m:oMath>
                <m:sSub>
                  <m:sSubPr>
                    <m:ctrlPr>
                      <w:rPr>
                        <w:rFonts w:ascii="Cambria Math" w:hAnsi="Cambria Math"/>
                        <w:i/>
                      </w:rPr>
                    </m:ctrlPr>
                  </m:sSubPr>
                  <m:e>
                    <m:r>
                      <w:rPr>
                        <w:rFonts w:ascii="Cambria Math" w:hAnsi="Cambria Math"/>
                      </w:rPr>
                      <m:t>EF</m:t>
                    </m:r>
                  </m:e>
                  <m:sub>
                    <m:r>
                      <w:rPr>
                        <w:rFonts w:ascii="Cambria Math" w:hAnsi="Cambria Math"/>
                      </w:rPr>
                      <m:t>CO2,p,t</m:t>
                    </m:r>
                  </m:sub>
                </m:sSub>
              </m:oMath>
            </m:oMathPara>
          </w:p>
        </w:tc>
        <w:tc>
          <w:tcPr>
            <w:tcW w:w="345" w:type="dxa"/>
            <w:vAlign w:val="top"/>
          </w:tcPr>
          <w:p w14:paraId="08D84508" w14:textId="77777777" w:rsidR="003D19A2" w:rsidRPr="00780E96" w:rsidRDefault="003D19A2" w:rsidP="00E70B79">
            <w:pPr>
              <w:pStyle w:val="SDMTableBoxParaNotNumbered"/>
            </w:pPr>
            <w:r w:rsidRPr="00780E96">
              <w:t>=</w:t>
            </w:r>
          </w:p>
        </w:tc>
        <w:tc>
          <w:tcPr>
            <w:tcW w:w="0" w:type="auto"/>
            <w:vAlign w:val="top"/>
          </w:tcPr>
          <w:p w14:paraId="6BDD022B" w14:textId="19C73D9E" w:rsidR="003D19A2" w:rsidRPr="00780E96" w:rsidRDefault="003D19A2" w:rsidP="00E70B79">
            <w:pPr>
              <w:pStyle w:val="SDMTableBoxParaNotNumbered"/>
            </w:pPr>
            <w:r w:rsidRPr="00780E96">
              <w:t>Average CO</w:t>
            </w:r>
            <w:r w:rsidRPr="00780E96">
              <w:rPr>
                <w:vertAlign w:val="subscript"/>
              </w:rPr>
              <w:t>2</w:t>
            </w:r>
            <w:r w:rsidRPr="00780E96">
              <w:t xml:space="preserve"> emission factor of </w:t>
            </w:r>
            <w:r w:rsidR="00DE311E" w:rsidRPr="00780E96">
              <w:t xml:space="preserve">the </w:t>
            </w:r>
            <w:r w:rsidRPr="00780E96">
              <w:t>fuel used in power unit </w:t>
            </w:r>
            <w:r w:rsidRPr="00780E96">
              <w:rPr>
                <w:i/>
              </w:rPr>
              <w:t>p</w:t>
            </w:r>
            <w:r w:rsidRPr="00780E96">
              <w:t xml:space="preserve"> in period</w:t>
            </w:r>
            <w:r w:rsidRPr="00780E96">
              <w:rPr>
                <w:i/>
                <w:iCs/>
              </w:rPr>
              <w:t> t</w:t>
            </w:r>
            <w:r w:rsidRPr="00780E96">
              <w:t xml:space="preserve"> </w:t>
            </w:r>
            <w:r w:rsidRPr="00780E96">
              <w:rPr>
                <w:iCs/>
              </w:rPr>
              <w:t>(t CO</w:t>
            </w:r>
            <w:r w:rsidRPr="00780E96">
              <w:rPr>
                <w:iCs/>
                <w:vertAlign w:val="subscript"/>
              </w:rPr>
              <w:t>2</w:t>
            </w:r>
            <w:r w:rsidR="002E6A73" w:rsidRPr="00780E96">
              <w:t> / </w:t>
            </w:r>
            <w:r w:rsidRPr="00780E96">
              <w:rPr>
                <w:iCs/>
              </w:rPr>
              <w:t>GJ)</w:t>
            </w:r>
          </w:p>
        </w:tc>
      </w:tr>
      <w:tr w:rsidR="003D19A2" w:rsidRPr="00780E96" w14:paraId="455335BD" w14:textId="77777777" w:rsidTr="00AA7E37">
        <w:tc>
          <w:tcPr>
            <w:tcW w:w="1701" w:type="dxa"/>
            <w:vAlign w:val="top"/>
          </w:tcPr>
          <w:p w14:paraId="2CAFB33A" w14:textId="4485051F" w:rsidR="003D19A2" w:rsidRPr="00780E96" w:rsidRDefault="003F6646" w:rsidP="00E70B79">
            <w:pPr>
              <w:pStyle w:val="SDMTableBoxParaNotNumbered"/>
            </w:pPr>
            <m:oMathPara>
              <m:oMathParaPr>
                <m:jc m:val="left"/>
              </m:oMathParaPr>
              <m:oMath>
                <m:sSub>
                  <m:sSubPr>
                    <m:ctrlPr>
                      <w:rPr>
                        <w:rFonts w:ascii="Cambria Math" w:hAnsi="Cambria Math" w:cs="Cambria Math"/>
                        <w:i/>
                      </w:rPr>
                    </m:ctrlPr>
                  </m:sSubPr>
                  <m:e>
                    <m:r>
                      <w:rPr>
                        <w:rFonts w:ascii="Cambria Math" w:hAnsi="Cambria Math" w:cs="Cambria Math"/>
                      </w:rPr>
                      <m:t>η</m:t>
                    </m:r>
                  </m:e>
                  <m:sub>
                    <m:r>
                      <w:rPr>
                        <w:rFonts w:ascii="Cambria Math" w:hAnsi="Cambria Math" w:cs="Cambria Math"/>
                      </w:rPr>
                      <m:t>p,t</m:t>
                    </m:r>
                  </m:sub>
                </m:sSub>
              </m:oMath>
            </m:oMathPara>
          </w:p>
        </w:tc>
        <w:tc>
          <w:tcPr>
            <w:tcW w:w="345" w:type="dxa"/>
            <w:vAlign w:val="top"/>
          </w:tcPr>
          <w:p w14:paraId="6B7B7D74" w14:textId="77777777" w:rsidR="003D19A2" w:rsidRPr="00780E96" w:rsidRDefault="003D19A2" w:rsidP="00E70B79">
            <w:pPr>
              <w:pStyle w:val="SDMTableBoxParaNotNumbered"/>
            </w:pPr>
            <w:r w:rsidRPr="00780E96">
              <w:t>=</w:t>
            </w:r>
          </w:p>
        </w:tc>
        <w:tc>
          <w:tcPr>
            <w:tcW w:w="0" w:type="auto"/>
            <w:vAlign w:val="top"/>
          </w:tcPr>
          <w:p w14:paraId="7B88AC9E" w14:textId="33145773" w:rsidR="003D19A2" w:rsidRPr="00780E96" w:rsidRDefault="003D19A2" w:rsidP="00E70B79">
            <w:pPr>
              <w:pStyle w:val="SDMTableBoxParaNotNumbered"/>
            </w:pPr>
            <w:r w:rsidRPr="00780E96">
              <w:t>Average net energy conversion efficiency of power unit </w:t>
            </w:r>
            <w:r w:rsidRPr="00780E96">
              <w:rPr>
                <w:i/>
              </w:rPr>
              <w:t>p</w:t>
            </w:r>
            <w:r w:rsidRPr="00780E96">
              <w:t xml:space="preserve"> in period </w:t>
            </w:r>
            <w:r w:rsidRPr="00780E96">
              <w:rPr>
                <w:i/>
                <w:iCs/>
              </w:rPr>
              <w:t>t</w:t>
            </w:r>
            <w:r w:rsidRPr="00780E96">
              <w:t xml:space="preserve"> (ratio)</w:t>
            </w:r>
          </w:p>
        </w:tc>
      </w:tr>
      <w:tr w:rsidR="003D19A2" w:rsidRPr="00780E96" w14:paraId="4442001E" w14:textId="77777777" w:rsidTr="00AA7E37">
        <w:tc>
          <w:tcPr>
            <w:tcW w:w="1701" w:type="dxa"/>
            <w:vAlign w:val="top"/>
          </w:tcPr>
          <w:p w14:paraId="645843A6" w14:textId="4FF7D357" w:rsidR="003D19A2" w:rsidRPr="00780E96" w:rsidRDefault="003D19A2" w:rsidP="00E70B79">
            <w:pPr>
              <w:pStyle w:val="SDMTableBoxParaNotNumbered"/>
            </w:pPr>
            <m:oMathPara>
              <m:oMathParaPr>
                <m:jc m:val="left"/>
              </m:oMathParaPr>
              <m:oMath>
                <m:r>
                  <w:rPr>
                    <w:rFonts w:ascii="Cambria Math" w:hAnsi="Cambria Math" w:cs="Cambria Math"/>
                  </w:rPr>
                  <m:t>p</m:t>
                </m:r>
              </m:oMath>
            </m:oMathPara>
          </w:p>
        </w:tc>
        <w:tc>
          <w:tcPr>
            <w:tcW w:w="345" w:type="dxa"/>
            <w:vAlign w:val="top"/>
          </w:tcPr>
          <w:p w14:paraId="2928193D" w14:textId="4216C35D" w:rsidR="003D19A2" w:rsidRPr="00780E96" w:rsidRDefault="003D19A2" w:rsidP="00E70B79">
            <w:pPr>
              <w:pStyle w:val="SDMTableBoxParaNotNumbered"/>
            </w:pPr>
            <w:r w:rsidRPr="00780E96">
              <w:t>=</w:t>
            </w:r>
          </w:p>
        </w:tc>
        <w:tc>
          <w:tcPr>
            <w:tcW w:w="0" w:type="auto"/>
            <w:vAlign w:val="top"/>
          </w:tcPr>
          <w:p w14:paraId="025CFC26" w14:textId="16ACEE34" w:rsidR="003D19A2" w:rsidRPr="00780E96" w:rsidRDefault="003D19A2" w:rsidP="00E70B79">
            <w:pPr>
              <w:pStyle w:val="SDMTableBoxParaNotNumbered"/>
            </w:pPr>
            <w:r w:rsidRPr="00780E96">
              <w:t>All relevant power units serving the electricity system in period </w:t>
            </w:r>
            <w:r w:rsidRPr="00780E96">
              <w:rPr>
                <w:i/>
              </w:rPr>
              <w:t>t</w:t>
            </w:r>
            <w:r w:rsidRPr="00780E96">
              <w:t xml:space="preserve"> as per the method used for determining the OM or BM emission factor</w:t>
            </w:r>
          </w:p>
        </w:tc>
      </w:tr>
      <w:tr w:rsidR="003D19A2" w:rsidRPr="00780E96" w14:paraId="48EC475D" w14:textId="77777777" w:rsidTr="00AA7E37">
        <w:tc>
          <w:tcPr>
            <w:tcW w:w="1701" w:type="dxa"/>
            <w:vAlign w:val="top"/>
          </w:tcPr>
          <w:p w14:paraId="4EF14441" w14:textId="0977AF06" w:rsidR="003D19A2" w:rsidRPr="00780E96" w:rsidRDefault="003D19A2" w:rsidP="00E70B79">
            <w:pPr>
              <w:pStyle w:val="SDMTableBoxParaNotNumbered"/>
            </w:pPr>
            <m:oMathPara>
              <m:oMathParaPr>
                <m:jc m:val="left"/>
              </m:oMathParaPr>
              <m:oMath>
                <m:r>
                  <w:rPr>
                    <w:rFonts w:ascii="Cambria Math" w:hAnsi="Cambria Math" w:cs="Cambria Math"/>
                  </w:rPr>
                  <m:t>t</m:t>
                </m:r>
              </m:oMath>
            </m:oMathPara>
          </w:p>
        </w:tc>
        <w:tc>
          <w:tcPr>
            <w:tcW w:w="345" w:type="dxa"/>
            <w:vAlign w:val="top"/>
          </w:tcPr>
          <w:p w14:paraId="18D45366" w14:textId="2B7A8A5C" w:rsidR="003D19A2" w:rsidRPr="00780E96" w:rsidRDefault="003D19A2" w:rsidP="00E70B79">
            <w:pPr>
              <w:pStyle w:val="SDMTableBoxParaNotNumbered"/>
            </w:pPr>
            <w:r w:rsidRPr="00780E96">
              <w:t>=</w:t>
            </w:r>
          </w:p>
        </w:tc>
        <w:tc>
          <w:tcPr>
            <w:tcW w:w="0" w:type="auto"/>
            <w:vAlign w:val="top"/>
          </w:tcPr>
          <w:p w14:paraId="2490251B" w14:textId="49F0B920" w:rsidR="003D19A2" w:rsidRPr="00780E96" w:rsidRDefault="003D19A2" w:rsidP="00E70B79">
            <w:pPr>
              <w:pStyle w:val="SDMTableBoxParaNotNumbered"/>
            </w:pPr>
            <w:r w:rsidRPr="00780E96">
              <w:t>The relevant period used for determining the emission factor</w:t>
            </w:r>
          </w:p>
        </w:tc>
      </w:tr>
    </w:tbl>
    <w:p w14:paraId="304BC60F" w14:textId="7FC92986" w:rsidR="00FA5778" w:rsidRPr="00780E96" w:rsidRDefault="00FA5778" w:rsidP="00A704C1">
      <w:pPr>
        <w:pStyle w:val="SDMSubPara2"/>
      </w:pPr>
      <w:r w:rsidRPr="00780E96" w:rsidDel="001A2D56">
        <w:t xml:space="preserve">As </w:t>
      </w:r>
      <w:r w:rsidR="00B90870" w:rsidRPr="00780E96" w:rsidDel="001A2D56">
        <w:t>a</w:t>
      </w:r>
      <w:r w:rsidRPr="00780E96">
        <w:t xml:space="preserve"> simple and conservative approach, </w:t>
      </w:r>
      <w:r w:rsidR="001A2D56" w:rsidRPr="00780E96">
        <w:t xml:space="preserve">using </w:t>
      </w:r>
      <w:r w:rsidRPr="00780E96">
        <w:t xml:space="preserve">the default values </w:t>
      </w:r>
      <w:r w:rsidR="009C4AE9" w:rsidRPr="00780E96">
        <w:t>in</w:t>
      </w:r>
      <w:r w:rsidR="00323B6B" w:rsidRPr="00780E96">
        <w:t>.</w:t>
      </w:r>
    </w:p>
    <w:p w14:paraId="59B3B47B" w14:textId="73C21EC1" w:rsidR="00451CA7" w:rsidRPr="00780E96" w:rsidRDefault="00FE2DAD" w:rsidP="00164226">
      <w:pPr>
        <w:pStyle w:val="Caption"/>
        <w:keepNext w:val="0"/>
        <w:keepLines w:val="0"/>
      </w:pPr>
      <w:bookmarkStart w:id="613" w:name="_Ref220950638"/>
      <w:bookmarkStart w:id="614" w:name="_Ref216286480"/>
      <w:r w:rsidRPr="00780E96">
        <w:t>Table</w:t>
      </w:r>
      <w:r w:rsidR="005A04B7" w:rsidRPr="00780E96">
        <w:t> </w:t>
      </w:r>
      <w:r w:rsidRPr="00780E96">
        <w:fldChar w:fldCharType="begin"/>
      </w:r>
      <w:r w:rsidRPr="00780E96">
        <w:instrText>SEQ Table \* ARABIC</w:instrText>
      </w:r>
      <w:r w:rsidRPr="00780E96">
        <w:fldChar w:fldCharType="separate"/>
      </w:r>
      <w:r w:rsidR="003B0135" w:rsidRPr="00780E96">
        <w:rPr>
          <w:noProof/>
        </w:rPr>
        <w:t>3</w:t>
      </w:r>
      <w:r w:rsidRPr="00780E96">
        <w:fldChar w:fldCharType="end"/>
      </w:r>
      <w:bookmarkEnd w:id="613"/>
      <w:r w:rsidR="008B7921" w:rsidRPr="00780E96">
        <w:rPr>
          <w:noProof/>
        </w:rPr>
        <w:t>.</w:t>
      </w:r>
      <w:r w:rsidR="008B7921" w:rsidRPr="00780E96">
        <w:tab/>
      </w:r>
      <w:r w:rsidR="00451CA7" w:rsidRPr="00780E96">
        <w:t>Default values for the emission factor of power units</w:t>
      </w:r>
      <w:bookmarkEnd w:id="614"/>
      <w:r w:rsidR="00876F21" w:rsidRPr="00780E96">
        <w:t xml:space="preserve"> (t</w:t>
      </w:r>
      <w:r w:rsidR="00071748" w:rsidRPr="00780E96">
        <w:t> </w:t>
      </w:r>
      <w:r w:rsidR="00876F21" w:rsidRPr="00780E96">
        <w:t>CO</w:t>
      </w:r>
      <w:r w:rsidR="00876F21" w:rsidRPr="00780E96">
        <w:rPr>
          <w:vertAlign w:val="subscript"/>
        </w:rPr>
        <w:t>2</w:t>
      </w:r>
      <w:r w:rsidR="00321494" w:rsidRPr="00780E96">
        <w:t> / </w:t>
      </w:r>
      <w:r w:rsidR="00876F21" w:rsidRPr="00780E96">
        <w:t>MWh)</w:t>
      </w:r>
      <w:r w:rsidR="00451CA7" w:rsidRPr="00780E96">
        <w:rPr>
          <w:rStyle w:val="FootnoteReference"/>
        </w:rPr>
        <w:footnoteReference w:id="11"/>
      </w:r>
    </w:p>
    <w:tbl>
      <w:tblPr>
        <w:tblStyle w:val="SDMTable"/>
        <w:tblW w:w="8529" w:type="dxa"/>
        <w:tblLayout w:type="fixed"/>
        <w:tblLook w:val="04A0" w:firstRow="1" w:lastRow="0" w:firstColumn="1" w:lastColumn="0" w:noHBand="0" w:noVBand="1"/>
      </w:tblPr>
      <w:tblGrid>
        <w:gridCol w:w="3088"/>
        <w:gridCol w:w="2752"/>
        <w:gridCol w:w="2689"/>
      </w:tblGrid>
      <w:tr w:rsidR="009709BE" w:rsidRPr="00780E96" w14:paraId="3AD1962D" w14:textId="77777777" w:rsidTr="003711C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8" w:type="dxa"/>
          </w:tcPr>
          <w:p w14:paraId="7A90841E" w14:textId="3E2E440F" w:rsidR="009709BE" w:rsidRPr="00780E96" w:rsidRDefault="009709BE" w:rsidP="007C28CD">
            <w:pPr>
              <w:pStyle w:val="SDMTableBoxParaNumbered"/>
              <w:numPr>
                <w:ilvl w:val="0"/>
                <w:numId w:val="0"/>
              </w:numPr>
            </w:pPr>
            <w:r w:rsidRPr="00780E96">
              <w:t>Fuel type</w:t>
            </w:r>
          </w:p>
        </w:tc>
        <w:tc>
          <w:tcPr>
            <w:tcW w:w="2752" w:type="dxa"/>
          </w:tcPr>
          <w:p w14:paraId="15296996" w14:textId="0FF5B6D0" w:rsidR="009709BE" w:rsidRPr="00780E96" w:rsidRDefault="009709BE" w:rsidP="007C28CD">
            <w:pPr>
              <w:pStyle w:val="SDMTableBoxParaNotNumbered"/>
              <w:cnfStyle w:val="100000000000" w:firstRow="1" w:lastRow="0" w:firstColumn="0" w:lastColumn="0" w:oddVBand="0" w:evenVBand="0" w:oddHBand="0" w:evenHBand="0" w:firstRowFirstColumn="0" w:firstRowLastColumn="0" w:lastRowFirstColumn="0" w:lastRowLastColumn="0"/>
            </w:pPr>
            <w:r w:rsidRPr="00780E96">
              <w:t>Case 1</w:t>
            </w:r>
          </w:p>
        </w:tc>
        <w:tc>
          <w:tcPr>
            <w:tcW w:w="2689" w:type="dxa"/>
          </w:tcPr>
          <w:p w14:paraId="70C46E8A" w14:textId="6073085A" w:rsidR="009709BE" w:rsidRPr="00780E96" w:rsidRDefault="009709BE" w:rsidP="007C28CD">
            <w:pPr>
              <w:pStyle w:val="SDMTableBoxParaNotNumbered"/>
              <w:cnfStyle w:val="100000000000" w:firstRow="1" w:lastRow="0" w:firstColumn="0" w:lastColumn="0" w:oddVBand="0" w:evenVBand="0" w:oddHBand="0" w:evenHBand="0" w:firstRowFirstColumn="0" w:firstRowLastColumn="0" w:lastRowFirstColumn="0" w:lastRowLastColumn="0"/>
            </w:pPr>
            <w:r w:rsidRPr="00780E96">
              <w:t>Case 2</w:t>
            </w:r>
          </w:p>
        </w:tc>
      </w:tr>
      <w:tr w:rsidR="009709BE" w:rsidRPr="00780E96" w14:paraId="6633B292" w14:textId="77777777" w:rsidTr="003711C4">
        <w:tc>
          <w:tcPr>
            <w:cnfStyle w:val="001000000000" w:firstRow="0" w:lastRow="0" w:firstColumn="1" w:lastColumn="0" w:oddVBand="0" w:evenVBand="0" w:oddHBand="0" w:evenHBand="0" w:firstRowFirstColumn="0" w:firstRowLastColumn="0" w:lastRowFirstColumn="0" w:lastRowLastColumn="0"/>
            <w:tcW w:w="3088" w:type="dxa"/>
          </w:tcPr>
          <w:p w14:paraId="157B0182" w14:textId="37F9591C" w:rsidR="009709BE" w:rsidRPr="00780E96" w:rsidRDefault="009709BE" w:rsidP="007C28CD">
            <w:pPr>
              <w:pStyle w:val="SDMTableBoxParaNotNumbered"/>
              <w:keepNext/>
              <w:keepLines/>
              <w:rPr>
                <w:b w:val="0"/>
                <w:bCs/>
              </w:rPr>
            </w:pPr>
            <w:r w:rsidRPr="00780E96">
              <w:rPr>
                <w:b w:val="0"/>
                <w:bCs/>
              </w:rPr>
              <w:t>Coal</w:t>
            </w:r>
          </w:p>
        </w:tc>
        <w:tc>
          <w:tcPr>
            <w:tcW w:w="2752" w:type="dxa"/>
          </w:tcPr>
          <w:p w14:paraId="2AF5A4CE" w14:textId="73DC6BF3" w:rsidR="009709BE" w:rsidRPr="00780E96" w:rsidRDefault="009709BE" w:rsidP="007C28CD">
            <w:pPr>
              <w:pStyle w:val="SDMTableBoxParaNotNumbered"/>
              <w:keepNext/>
              <w:keepLines/>
              <w:cnfStyle w:val="000000000000" w:firstRow="0" w:lastRow="0" w:firstColumn="0" w:lastColumn="0" w:oddVBand="0" w:evenVBand="0" w:oddHBand="0" w:evenHBand="0" w:firstRowFirstColumn="0" w:firstRowLastColumn="0" w:lastRowFirstColumn="0" w:lastRowLastColumn="0"/>
            </w:pPr>
            <w:r w:rsidRPr="00780E96">
              <w:t>1.3</w:t>
            </w:r>
          </w:p>
        </w:tc>
        <w:tc>
          <w:tcPr>
            <w:tcW w:w="2689" w:type="dxa"/>
          </w:tcPr>
          <w:p w14:paraId="2CC03EBD" w14:textId="6A262EE1" w:rsidR="009709BE" w:rsidRPr="00780E96" w:rsidRDefault="009709BE" w:rsidP="007C28CD">
            <w:pPr>
              <w:pStyle w:val="SDMTableBoxParaNotNumbered"/>
              <w:keepNext/>
              <w:keepLines/>
              <w:cnfStyle w:val="000000000000" w:firstRow="0" w:lastRow="0" w:firstColumn="0" w:lastColumn="0" w:oddVBand="0" w:evenVBand="0" w:oddHBand="0" w:evenHBand="0" w:firstRowFirstColumn="0" w:firstRowLastColumn="0" w:lastRowFirstColumn="0" w:lastRowLastColumn="0"/>
            </w:pPr>
            <w:r w:rsidRPr="00780E96">
              <w:t>0.7</w:t>
            </w:r>
          </w:p>
        </w:tc>
      </w:tr>
      <w:tr w:rsidR="009709BE" w:rsidRPr="00780E96" w14:paraId="412588A1" w14:textId="77777777" w:rsidTr="003711C4">
        <w:tc>
          <w:tcPr>
            <w:cnfStyle w:val="001000000000" w:firstRow="0" w:lastRow="0" w:firstColumn="1" w:lastColumn="0" w:oddVBand="0" w:evenVBand="0" w:oddHBand="0" w:evenHBand="0" w:firstRowFirstColumn="0" w:firstRowLastColumn="0" w:lastRowFirstColumn="0" w:lastRowLastColumn="0"/>
            <w:tcW w:w="3088" w:type="dxa"/>
          </w:tcPr>
          <w:p w14:paraId="47C4E7A0" w14:textId="55E15344" w:rsidR="009709BE" w:rsidRPr="00780E96" w:rsidRDefault="009709BE" w:rsidP="007C28CD">
            <w:pPr>
              <w:pStyle w:val="SDMTableBoxParaNotNumbered"/>
              <w:keepNext/>
              <w:keepLines/>
              <w:rPr>
                <w:b w:val="0"/>
                <w:bCs/>
              </w:rPr>
            </w:pPr>
            <w:r w:rsidRPr="00780E96">
              <w:rPr>
                <w:b w:val="0"/>
                <w:bCs/>
              </w:rPr>
              <w:t>Oil</w:t>
            </w:r>
          </w:p>
        </w:tc>
        <w:tc>
          <w:tcPr>
            <w:tcW w:w="2752" w:type="dxa"/>
          </w:tcPr>
          <w:p w14:paraId="67F6CED9" w14:textId="40443643" w:rsidR="009709BE" w:rsidRPr="00780E96" w:rsidRDefault="009709BE" w:rsidP="007C28CD">
            <w:pPr>
              <w:pStyle w:val="SDMTableBoxParaNotNumbered"/>
              <w:keepNext/>
              <w:keepLines/>
              <w:cnfStyle w:val="000000000000" w:firstRow="0" w:lastRow="0" w:firstColumn="0" w:lastColumn="0" w:oddVBand="0" w:evenVBand="0" w:oddHBand="0" w:evenHBand="0" w:firstRowFirstColumn="0" w:firstRowLastColumn="0" w:lastRowFirstColumn="0" w:lastRowLastColumn="0"/>
            </w:pPr>
            <w:r w:rsidRPr="00780E96">
              <w:t>0.9</w:t>
            </w:r>
          </w:p>
        </w:tc>
        <w:tc>
          <w:tcPr>
            <w:tcW w:w="2689" w:type="dxa"/>
          </w:tcPr>
          <w:p w14:paraId="026A3FFD" w14:textId="13E28B06" w:rsidR="009709BE" w:rsidRPr="00780E96" w:rsidRDefault="009709BE" w:rsidP="007C28CD">
            <w:pPr>
              <w:pStyle w:val="SDMTableBoxParaNotNumbered"/>
              <w:keepNext/>
              <w:keepLines/>
              <w:cnfStyle w:val="000000000000" w:firstRow="0" w:lastRow="0" w:firstColumn="0" w:lastColumn="0" w:oddVBand="0" w:evenVBand="0" w:oddHBand="0" w:evenHBand="0" w:firstRowFirstColumn="0" w:firstRowLastColumn="0" w:lastRowFirstColumn="0" w:lastRowLastColumn="0"/>
            </w:pPr>
            <w:r w:rsidRPr="00780E96">
              <w:t>0.54</w:t>
            </w:r>
          </w:p>
        </w:tc>
      </w:tr>
      <w:tr w:rsidR="009709BE" w:rsidRPr="00780E96" w14:paraId="280054D2" w14:textId="77777777" w:rsidTr="003711C4">
        <w:tc>
          <w:tcPr>
            <w:cnfStyle w:val="001000000000" w:firstRow="0" w:lastRow="0" w:firstColumn="1" w:lastColumn="0" w:oddVBand="0" w:evenVBand="0" w:oddHBand="0" w:evenHBand="0" w:firstRowFirstColumn="0" w:firstRowLastColumn="0" w:lastRowFirstColumn="0" w:lastRowLastColumn="0"/>
            <w:tcW w:w="3088" w:type="dxa"/>
          </w:tcPr>
          <w:p w14:paraId="2122F2A8" w14:textId="74FC211F" w:rsidR="009709BE" w:rsidRPr="00780E96" w:rsidRDefault="009709BE" w:rsidP="007C28CD">
            <w:pPr>
              <w:pStyle w:val="SDMTableBoxParaNotNumbered"/>
              <w:keepNext/>
              <w:keepLines/>
              <w:rPr>
                <w:b w:val="0"/>
                <w:bCs/>
              </w:rPr>
            </w:pPr>
            <w:r w:rsidRPr="00780E96">
              <w:rPr>
                <w:b w:val="0"/>
                <w:bCs/>
              </w:rPr>
              <w:t>Natural gas</w:t>
            </w:r>
          </w:p>
        </w:tc>
        <w:tc>
          <w:tcPr>
            <w:tcW w:w="2752" w:type="dxa"/>
          </w:tcPr>
          <w:p w14:paraId="54C3E601" w14:textId="078F8818" w:rsidR="009709BE" w:rsidRPr="00780E96" w:rsidRDefault="009709BE" w:rsidP="007C28CD">
            <w:pPr>
              <w:pStyle w:val="SDMTableBoxParaNotNumbered"/>
              <w:keepNext/>
              <w:keepLines/>
              <w:cnfStyle w:val="000000000000" w:firstRow="0" w:lastRow="0" w:firstColumn="0" w:lastColumn="0" w:oddVBand="0" w:evenVBand="0" w:oddHBand="0" w:evenHBand="0" w:firstRowFirstColumn="0" w:firstRowLastColumn="0" w:lastRowFirstColumn="0" w:lastRowLastColumn="0"/>
            </w:pPr>
            <w:r w:rsidRPr="00780E96">
              <w:t>0.7</w:t>
            </w:r>
          </w:p>
        </w:tc>
        <w:tc>
          <w:tcPr>
            <w:tcW w:w="2689" w:type="dxa"/>
          </w:tcPr>
          <w:p w14:paraId="7A5B9F6F" w14:textId="2864AE80" w:rsidR="009709BE" w:rsidRPr="00780E96" w:rsidRDefault="009709BE" w:rsidP="007C28CD">
            <w:pPr>
              <w:pStyle w:val="SDMTableBoxParaNotNumbered"/>
              <w:keepNext/>
              <w:keepLines/>
              <w:cnfStyle w:val="000000000000" w:firstRow="0" w:lastRow="0" w:firstColumn="0" w:lastColumn="0" w:oddVBand="0" w:evenVBand="0" w:oddHBand="0" w:evenHBand="0" w:firstRowFirstColumn="0" w:firstRowLastColumn="0" w:lastRowFirstColumn="0" w:lastRowLastColumn="0"/>
            </w:pPr>
            <w:r w:rsidRPr="00780E96">
              <w:t>0.3</w:t>
            </w:r>
          </w:p>
        </w:tc>
      </w:tr>
    </w:tbl>
    <w:p w14:paraId="1F5576EE" w14:textId="1F9AD9FF" w:rsidR="00FA5778" w:rsidRPr="00780E96" w:rsidRDefault="00C3587A">
      <w:pPr>
        <w:pStyle w:val="SDMPara"/>
        <w:rPr>
          <w:rFonts w:eastAsia="SimSun"/>
        </w:rPr>
      </w:pPr>
      <w:bookmarkStart w:id="615" w:name="_Ref216284882"/>
      <w:bookmarkStart w:id="616" w:name="_Ref220951287"/>
      <w:r w:rsidRPr="00780E96">
        <w:rPr>
          <w:rFonts w:eastAsia="SimSun"/>
        </w:rPr>
        <w:t>W</w:t>
      </w:r>
      <w:r w:rsidR="00FA5778" w:rsidRPr="00780E96">
        <w:rPr>
          <w:rFonts w:eastAsia="SimSun"/>
        </w:rPr>
        <w:t xml:space="preserve">here biomass or biomass-derived fuels are </w:t>
      </w:r>
      <w:r w:rsidR="00FC2443" w:rsidRPr="00780E96">
        <w:rPr>
          <w:rFonts w:eastAsia="SimSun"/>
        </w:rPr>
        <w:t xml:space="preserve">consumed by </w:t>
      </w:r>
      <w:r w:rsidR="00FA5778" w:rsidRPr="00780E96">
        <w:rPr>
          <w:rFonts w:eastAsia="SimSun"/>
        </w:rPr>
        <w:t>a power unit </w:t>
      </w:r>
      <w:r w:rsidR="003017D1" w:rsidRPr="00780E96">
        <w:rPr>
          <w:rFonts w:eastAsia="SimSun"/>
          <w:i/>
          <w:iCs/>
        </w:rPr>
        <w:t>p</w:t>
      </w:r>
      <w:r w:rsidR="00FA5778" w:rsidRPr="00780E96">
        <w:rPr>
          <w:rFonts w:eastAsia="SimSun"/>
        </w:rPr>
        <w:t>, use</w:t>
      </w:r>
      <w:r w:rsidR="00CE2903" w:rsidRPr="00780E96">
        <w:rPr>
          <w:rFonts w:eastAsia="SimSun"/>
        </w:rPr>
        <w:t>,</w:t>
      </w:r>
      <w:r w:rsidR="00FA5778" w:rsidRPr="00780E96">
        <w:rPr>
          <w:rFonts w:eastAsia="SimSun"/>
        </w:rPr>
        <w:t xml:space="preserve"> for </w:t>
      </w:r>
      <w:r w:rsidR="00CE2903" w:rsidRPr="00780E96">
        <w:rPr>
          <w:rFonts w:eastAsia="SimSun"/>
          <w:b/>
          <w:bCs/>
        </w:rPr>
        <w:t>case 1</w:t>
      </w:r>
      <w:r w:rsidR="00CE2903" w:rsidRPr="00780E96">
        <w:rPr>
          <w:rFonts w:eastAsia="SimSun"/>
        </w:rPr>
        <w:t xml:space="preserve">, </w:t>
      </w:r>
      <w:r w:rsidR="00FA5778" w:rsidRPr="00780E96">
        <w:rPr>
          <w:rFonts w:eastAsia="SimSun"/>
        </w:rPr>
        <w:t xml:space="preserve">the higher value within a plausible range of emission factors, assuming that the biomass is not renewable, and use for </w:t>
      </w:r>
      <w:r w:rsidR="00CE2903" w:rsidRPr="00780E96">
        <w:rPr>
          <w:rFonts w:eastAsia="SimSun"/>
          <w:b/>
          <w:bCs/>
        </w:rPr>
        <w:t>case </w:t>
      </w:r>
      <w:r w:rsidR="00FA5778" w:rsidRPr="00780E96">
        <w:rPr>
          <w:rFonts w:eastAsia="SimSun"/>
          <w:b/>
          <w:bCs/>
        </w:rPr>
        <w:t>2</w:t>
      </w:r>
      <w:r w:rsidR="00FA5778" w:rsidRPr="00780E96">
        <w:rPr>
          <w:rFonts w:eastAsia="SimSun"/>
        </w:rPr>
        <w:t xml:space="preserve"> an emission factor of zero.</w:t>
      </w:r>
      <w:bookmarkEnd w:id="615"/>
      <w:r w:rsidR="00E94667" w:rsidRPr="00780E96">
        <w:rPr>
          <w:rStyle w:val="FootnoteReference"/>
          <w:rFonts w:eastAsia="SimSun"/>
        </w:rPr>
        <w:footnoteReference w:id="12"/>
      </w:r>
      <w:bookmarkEnd w:id="616"/>
    </w:p>
    <w:p w14:paraId="2CC05B1C" w14:textId="5867210C" w:rsidR="00FA5778" w:rsidRPr="00780E96" w:rsidRDefault="00FA5778">
      <w:pPr>
        <w:pStyle w:val="SDMPara"/>
        <w:rPr>
          <w:rFonts w:eastAsia="SimSun"/>
        </w:rPr>
      </w:pPr>
      <w:bookmarkStart w:id="617" w:name="_Ref220951293"/>
      <w:r w:rsidRPr="00780E96">
        <w:rPr>
          <w:rFonts w:eastAsia="SimSun"/>
        </w:rPr>
        <w:t xml:space="preserve">Where hydrogen or hydrogen-derived fuels are </w:t>
      </w:r>
      <w:r w:rsidR="00FC2443" w:rsidRPr="00780E96">
        <w:rPr>
          <w:rFonts w:eastAsia="SimSun"/>
        </w:rPr>
        <w:t xml:space="preserve">consumed by </w:t>
      </w:r>
      <w:r w:rsidRPr="00780E96">
        <w:rPr>
          <w:rFonts w:eastAsia="SimSun"/>
        </w:rPr>
        <w:t>a power unit </w:t>
      </w:r>
      <w:r w:rsidR="00272E6F" w:rsidRPr="00780E96">
        <w:rPr>
          <w:rFonts w:eastAsia="SimSun"/>
          <w:i/>
          <w:iCs/>
        </w:rPr>
        <w:t>p</w:t>
      </w:r>
      <w:r w:rsidRPr="00780E96">
        <w:rPr>
          <w:rFonts w:eastAsia="SimSun"/>
        </w:rPr>
        <w:t>, use</w:t>
      </w:r>
      <w:r w:rsidR="00CE2903" w:rsidRPr="00780E96">
        <w:rPr>
          <w:rFonts w:eastAsia="SimSun"/>
        </w:rPr>
        <w:t>,</w:t>
      </w:r>
      <w:r w:rsidRPr="00780E96">
        <w:rPr>
          <w:rFonts w:eastAsia="SimSun"/>
        </w:rPr>
        <w:t xml:space="preserve"> for </w:t>
      </w:r>
      <w:r w:rsidR="00CE2903" w:rsidRPr="00780E96">
        <w:rPr>
          <w:rFonts w:eastAsia="SimSun"/>
          <w:b/>
          <w:bCs/>
        </w:rPr>
        <w:t>case </w:t>
      </w:r>
      <w:r w:rsidRPr="00780E96">
        <w:rPr>
          <w:rFonts w:eastAsia="SimSun"/>
          <w:b/>
          <w:bCs/>
        </w:rPr>
        <w:t>1</w:t>
      </w:r>
      <w:r w:rsidR="00CE2903" w:rsidRPr="00780E96">
        <w:rPr>
          <w:rFonts w:eastAsia="SimSun"/>
          <w:b/>
          <w:bCs/>
        </w:rPr>
        <w:t>,</w:t>
      </w:r>
      <w:r w:rsidRPr="00780E96">
        <w:rPr>
          <w:rFonts w:eastAsia="SimSun"/>
        </w:rPr>
        <w:t xml:space="preserve"> the higher value within a plausible range of emission factors, assuming that the hydrogen </w:t>
      </w:r>
      <w:r w:rsidR="00CE2903" w:rsidRPr="00780E96">
        <w:rPr>
          <w:rFonts w:eastAsia="SimSun"/>
        </w:rPr>
        <w:t xml:space="preserve">is </w:t>
      </w:r>
      <w:r w:rsidRPr="00780E96">
        <w:rPr>
          <w:rFonts w:eastAsia="SimSun"/>
        </w:rPr>
        <w:t xml:space="preserve">produced from </w:t>
      </w:r>
      <w:r w:rsidR="00692FDB" w:rsidRPr="00780E96">
        <w:rPr>
          <w:rFonts w:eastAsia="SimSun"/>
        </w:rPr>
        <w:t xml:space="preserve">fossil fuels </w:t>
      </w:r>
      <w:r w:rsidRPr="00780E96">
        <w:rPr>
          <w:rFonts w:eastAsia="SimSun"/>
        </w:rPr>
        <w:t>without carbon capture and storage, and use</w:t>
      </w:r>
      <w:r w:rsidR="007628C4" w:rsidRPr="00780E96">
        <w:rPr>
          <w:rFonts w:eastAsia="SimSun"/>
        </w:rPr>
        <w:t>,</w:t>
      </w:r>
      <w:r w:rsidRPr="00780E96">
        <w:rPr>
          <w:rFonts w:eastAsia="SimSun"/>
        </w:rPr>
        <w:t xml:space="preserve"> for </w:t>
      </w:r>
      <w:r w:rsidR="007628C4" w:rsidRPr="00780E96">
        <w:rPr>
          <w:rFonts w:eastAsia="SimSun"/>
          <w:b/>
          <w:bCs/>
        </w:rPr>
        <w:t>case </w:t>
      </w:r>
      <w:r w:rsidRPr="00780E96">
        <w:rPr>
          <w:rFonts w:eastAsia="SimSun"/>
          <w:b/>
          <w:bCs/>
        </w:rPr>
        <w:t>2</w:t>
      </w:r>
      <w:r w:rsidRPr="00780E96">
        <w:rPr>
          <w:rFonts w:eastAsia="SimSun"/>
        </w:rPr>
        <w:t xml:space="preserve"> an emission factor of zero</w:t>
      </w:r>
      <w:r w:rsidR="000A29D6" w:rsidRPr="00780E96">
        <w:rPr>
          <w:rFonts w:eastAsia="SimSun"/>
        </w:rPr>
        <w:t>, unless other approaches are provided by the mechanism methodology referring to this tool</w:t>
      </w:r>
      <w:r w:rsidRPr="00780E96">
        <w:rPr>
          <w:rFonts w:eastAsia="SimSun"/>
        </w:rPr>
        <w:t>.</w:t>
      </w:r>
      <w:bookmarkEnd w:id="617"/>
    </w:p>
    <w:p w14:paraId="6A74020F" w14:textId="7B1278AE" w:rsidR="00272E6F" w:rsidRPr="00780E96" w:rsidRDefault="00272E6F">
      <w:pPr>
        <w:pStyle w:val="SDMPara"/>
        <w:rPr>
          <w:rFonts w:eastAsia="SimSun"/>
        </w:rPr>
      </w:pPr>
      <w:r w:rsidRPr="00780E96">
        <w:t xml:space="preserve">Where several fuel types are </w:t>
      </w:r>
      <w:r w:rsidR="006D533B" w:rsidRPr="00780E96">
        <w:t xml:space="preserve">consumed by </w:t>
      </w:r>
      <w:r w:rsidRPr="00780E96">
        <w:t>a power unit </w:t>
      </w:r>
      <w:r w:rsidRPr="00780E96">
        <w:rPr>
          <w:i/>
          <w:iCs/>
        </w:rPr>
        <w:t>p</w:t>
      </w:r>
      <w:r w:rsidR="03493EDE" w:rsidRPr="00780E96">
        <w:rPr>
          <w:i/>
          <w:iCs/>
        </w:rPr>
        <w:t xml:space="preserve"> </w:t>
      </w:r>
      <w:r w:rsidR="03493EDE" w:rsidRPr="00780E96">
        <w:t xml:space="preserve">and the data </w:t>
      </w:r>
      <w:r w:rsidR="003A6822" w:rsidRPr="00780E96">
        <w:t xml:space="preserve">required </w:t>
      </w:r>
      <w:r w:rsidR="03493EDE" w:rsidRPr="00780E96">
        <w:t xml:space="preserve">for </w:t>
      </w:r>
      <w:r w:rsidR="03493EDE" w:rsidRPr="00780E96">
        <w:rPr>
          <w:b/>
          <w:bCs/>
        </w:rPr>
        <w:t>option</w:t>
      </w:r>
      <w:r w:rsidR="00071748" w:rsidRPr="00780E96">
        <w:rPr>
          <w:b/>
          <w:bCs/>
        </w:rPr>
        <w:t> </w:t>
      </w:r>
      <w:r w:rsidR="03493EDE" w:rsidRPr="00780E96">
        <w:rPr>
          <w:b/>
          <w:bCs/>
        </w:rPr>
        <w:t>1</w:t>
      </w:r>
      <w:r w:rsidR="03493EDE" w:rsidRPr="00780E96">
        <w:t xml:space="preserve"> </w:t>
      </w:r>
      <w:r w:rsidR="007628C4" w:rsidRPr="00780E96">
        <w:t xml:space="preserve">are </w:t>
      </w:r>
      <w:r w:rsidR="03493EDE" w:rsidRPr="00780E96">
        <w:t>not available</w:t>
      </w:r>
      <w:r w:rsidRPr="00780E96">
        <w:t xml:space="preserve">, use the fuel type with the </w:t>
      </w:r>
      <w:r w:rsidR="00D54CAF" w:rsidRPr="00780E96">
        <w:t>highest emission factor</w:t>
      </w:r>
      <w:r w:rsidRPr="00780E96">
        <w:t xml:space="preserve"> for </w:t>
      </w:r>
      <w:r w:rsidR="007628C4" w:rsidRPr="00780E96">
        <w:rPr>
          <w:b/>
          <w:bCs/>
        </w:rPr>
        <w:t>case </w:t>
      </w:r>
      <w:r w:rsidRPr="00780E96">
        <w:rPr>
          <w:b/>
          <w:bCs/>
        </w:rPr>
        <w:t>1</w:t>
      </w:r>
      <w:r w:rsidRPr="00780E96">
        <w:t xml:space="preserve"> </w:t>
      </w:r>
      <w:r w:rsidR="00DB7ED3" w:rsidRPr="00780E96">
        <w:t>and the</w:t>
      </w:r>
      <w:r w:rsidRPr="00780E96">
        <w:t xml:space="preserve"> fuel type with the lowest </w:t>
      </w:r>
      <w:r w:rsidR="00D54CAF" w:rsidRPr="00780E96">
        <w:t>emission factor</w:t>
      </w:r>
      <w:r w:rsidRPr="00780E96">
        <w:t xml:space="preserve"> for </w:t>
      </w:r>
      <w:r w:rsidR="00DB7ED3" w:rsidRPr="00780E96">
        <w:rPr>
          <w:b/>
          <w:bCs/>
        </w:rPr>
        <w:t>case </w:t>
      </w:r>
      <w:r w:rsidRPr="00780E96">
        <w:rPr>
          <w:b/>
          <w:bCs/>
        </w:rPr>
        <w:t>2</w:t>
      </w:r>
      <w:r w:rsidRPr="00780E96">
        <w:t>.</w:t>
      </w:r>
    </w:p>
    <w:p w14:paraId="7F7FDED3" w14:textId="1F6D82BB" w:rsidR="003A39DF" w:rsidRPr="00780E96" w:rsidRDefault="37EFC794">
      <w:pPr>
        <w:pStyle w:val="SDMHead4"/>
      </w:pPr>
      <w:bookmarkStart w:id="618" w:name="_Ref219921825"/>
      <w:r w:rsidRPr="00780E96">
        <w:t>Sub step</w:t>
      </w:r>
      <w:r w:rsidR="00592D9E" w:rsidRPr="00780E96">
        <w:t> </w:t>
      </w:r>
      <w:r w:rsidRPr="00780E96">
        <w:t xml:space="preserve">a: </w:t>
      </w:r>
      <w:r w:rsidR="00AB65F7" w:rsidRPr="00780E96">
        <w:t>Determination of</w:t>
      </w:r>
      <w:r w:rsidRPr="00780E96">
        <w:t xml:space="preserve"> the OM emission factor</w:t>
      </w:r>
      <w:bookmarkEnd w:id="618"/>
    </w:p>
    <w:p w14:paraId="67943BA3" w14:textId="29E6224D" w:rsidR="00E148AB" w:rsidRPr="00780E96" w:rsidRDefault="00E148AB" w:rsidP="008913C4">
      <w:pPr>
        <w:pStyle w:val="SDMPara"/>
      </w:pPr>
      <w:bookmarkStart w:id="619" w:name="_Ref494890796"/>
      <w:r w:rsidRPr="00780E96">
        <w:t>The OM emission factor (</w:t>
      </w:r>
      <w:r w:rsidRPr="00780E96">
        <w:rPr>
          <w:i/>
          <w:iCs/>
        </w:rPr>
        <w:t>EF</w:t>
      </w:r>
      <w:r w:rsidRPr="00780E96">
        <w:rPr>
          <w:i/>
          <w:iCs/>
          <w:vertAlign w:val="subscript"/>
        </w:rPr>
        <w:t>OM,</w:t>
      </w:r>
      <w:r w:rsidR="7E7C1F16" w:rsidRPr="00780E96">
        <w:rPr>
          <w:i/>
          <w:iCs/>
          <w:vertAlign w:val="subscript"/>
        </w:rPr>
        <w:t>t</w:t>
      </w:r>
      <w:r w:rsidRPr="00780E96">
        <w:t xml:space="preserve">) shall be </w:t>
      </w:r>
      <w:r w:rsidR="00B47854" w:rsidRPr="00780E96">
        <w:t xml:space="preserve">determined </w:t>
      </w:r>
      <w:r w:rsidRPr="00780E96">
        <w:t>based on one of the following methods</w:t>
      </w:r>
      <w:bookmarkEnd w:id="619"/>
      <w:r w:rsidR="00E16FAE" w:rsidRPr="00780E96">
        <w:t>:</w:t>
      </w:r>
      <w:r w:rsidR="00511431" w:rsidRPr="00780E96">
        <w:rPr>
          <w:rStyle w:val="FootnoteReference"/>
        </w:rPr>
        <w:footnoteReference w:id="13"/>
      </w:r>
    </w:p>
    <w:p w14:paraId="3CC0C723" w14:textId="6FA0A314" w:rsidR="00FF70B5" w:rsidRPr="00780E96" w:rsidRDefault="00E148AB" w:rsidP="00973925">
      <w:pPr>
        <w:pStyle w:val="SDMSubPara1"/>
      </w:pPr>
      <w:r w:rsidRPr="00780E96">
        <w:rPr>
          <w:b/>
          <w:bCs/>
        </w:rPr>
        <w:t>Dispatch data OM</w:t>
      </w:r>
      <w:r w:rsidR="00FE511C" w:rsidRPr="00780E96">
        <w:t>, as described</w:t>
      </w:r>
      <w:r w:rsidRPr="00780E96">
        <w:t xml:space="preserve"> in </w:t>
      </w:r>
      <w:r w:rsidR="00EB7C09" w:rsidRPr="00780E96">
        <w:t xml:space="preserve">section </w:t>
      </w:r>
      <w:r w:rsidR="00CD413D" w:rsidRPr="00780E96">
        <w:fldChar w:fldCharType="begin"/>
      </w:r>
      <w:r w:rsidR="00CD413D" w:rsidRPr="00780E96">
        <w:instrText xml:space="preserve"> REF _Ref215683635 \w \h </w:instrText>
      </w:r>
      <w:r w:rsidR="00780E96">
        <w:instrText xml:space="preserve"> \* MERGEFORMAT </w:instrText>
      </w:r>
      <w:r w:rsidR="00CD413D" w:rsidRPr="00780E96">
        <w:fldChar w:fldCharType="separate"/>
      </w:r>
      <w:r w:rsidR="003B0135" w:rsidRPr="00780E96">
        <w:rPr>
          <w:cs/>
        </w:rPr>
        <w:t>‎</w:t>
      </w:r>
      <w:r w:rsidR="003B0135" w:rsidRPr="00780E96">
        <w:t>5.7.1.2.1</w:t>
      </w:r>
      <w:r w:rsidR="00CD413D" w:rsidRPr="00780E96">
        <w:fldChar w:fldCharType="end"/>
      </w:r>
      <w:r w:rsidRPr="00780E96">
        <w:t>;</w:t>
      </w:r>
    </w:p>
    <w:p w14:paraId="4AA46B45" w14:textId="009D2FF4" w:rsidR="00FF70B5" w:rsidRPr="00780E96" w:rsidRDefault="00E148AB" w:rsidP="00A704C1">
      <w:pPr>
        <w:pStyle w:val="SDMSubPara1"/>
      </w:pPr>
      <w:r w:rsidRPr="00780E96">
        <w:rPr>
          <w:b/>
          <w:bCs/>
        </w:rPr>
        <w:t>Simple OM</w:t>
      </w:r>
      <w:r w:rsidR="00FE511C" w:rsidRPr="00780E96">
        <w:t>, as described</w:t>
      </w:r>
      <w:r w:rsidRPr="00780E96">
        <w:t xml:space="preserve"> in </w:t>
      </w:r>
      <w:r w:rsidR="00EB7C09" w:rsidRPr="00780E96">
        <w:t xml:space="preserve">section </w:t>
      </w:r>
      <w:r w:rsidR="00CD413D" w:rsidRPr="00780E96">
        <w:fldChar w:fldCharType="begin"/>
      </w:r>
      <w:r w:rsidR="00CD413D" w:rsidRPr="00780E96">
        <w:instrText xml:space="preserve"> REF _Ref215683293 \w \h </w:instrText>
      </w:r>
      <w:r w:rsidR="00780E96">
        <w:instrText xml:space="preserve"> \* MERGEFORMAT </w:instrText>
      </w:r>
      <w:r w:rsidR="00CD413D" w:rsidRPr="00780E96">
        <w:fldChar w:fldCharType="separate"/>
      </w:r>
      <w:r w:rsidR="003B0135" w:rsidRPr="00780E96">
        <w:rPr>
          <w:cs/>
        </w:rPr>
        <w:t>‎</w:t>
      </w:r>
      <w:r w:rsidR="003B0135" w:rsidRPr="00780E96">
        <w:t>5.7.1.2.2</w:t>
      </w:r>
      <w:r w:rsidR="00CD413D" w:rsidRPr="00780E96">
        <w:fldChar w:fldCharType="end"/>
      </w:r>
      <w:r w:rsidRPr="00780E96">
        <w:t>;</w:t>
      </w:r>
    </w:p>
    <w:p w14:paraId="20B422F0" w14:textId="29455685" w:rsidR="00E148AB" w:rsidRPr="00780E96" w:rsidRDefault="00E148AB" w:rsidP="00A704C1">
      <w:pPr>
        <w:pStyle w:val="SDMSubPara1"/>
      </w:pPr>
      <w:r w:rsidRPr="00780E96">
        <w:rPr>
          <w:b/>
          <w:bCs/>
        </w:rPr>
        <w:t>Simple adjusted OM</w:t>
      </w:r>
      <w:r w:rsidR="00FE511C" w:rsidRPr="00780E96">
        <w:t>, as described</w:t>
      </w:r>
      <w:r w:rsidRPr="00780E96">
        <w:t xml:space="preserve"> in </w:t>
      </w:r>
      <w:r w:rsidR="00EB7C09" w:rsidRPr="00780E96">
        <w:t>section</w:t>
      </w:r>
      <w:r w:rsidR="00D9168E" w:rsidRPr="00780E96">
        <w:t xml:space="preserve"> </w:t>
      </w:r>
      <w:r w:rsidR="00CD413D" w:rsidRPr="00780E96">
        <w:fldChar w:fldCharType="begin"/>
      </w:r>
      <w:r w:rsidR="00CD413D" w:rsidRPr="00780E96">
        <w:instrText xml:space="preserve"> REF _Ref216065061 \w \h </w:instrText>
      </w:r>
      <w:r w:rsidR="00780E96">
        <w:instrText xml:space="preserve"> \* MERGEFORMAT </w:instrText>
      </w:r>
      <w:r w:rsidR="00CD413D" w:rsidRPr="00780E96">
        <w:fldChar w:fldCharType="separate"/>
      </w:r>
      <w:r w:rsidR="003B0135" w:rsidRPr="00780E96">
        <w:rPr>
          <w:cs/>
        </w:rPr>
        <w:t>‎</w:t>
      </w:r>
      <w:r w:rsidR="003B0135" w:rsidRPr="00780E96">
        <w:t>5.7.1.2.3</w:t>
      </w:r>
      <w:r w:rsidR="00CD413D" w:rsidRPr="00780E96">
        <w:fldChar w:fldCharType="end"/>
      </w:r>
      <w:r w:rsidR="00D9168E" w:rsidRPr="00780E96">
        <w:t xml:space="preserve">; </w:t>
      </w:r>
      <w:r w:rsidRPr="00780E96" w:rsidDel="00486211">
        <w:t>or</w:t>
      </w:r>
    </w:p>
    <w:p w14:paraId="39AD281B" w14:textId="6414EC9B" w:rsidR="00E148AB" w:rsidRPr="00780E96" w:rsidRDefault="00E148AB" w:rsidP="00A704C1">
      <w:pPr>
        <w:pStyle w:val="SDMSubPara1"/>
      </w:pPr>
      <w:r w:rsidRPr="00780E96">
        <w:rPr>
          <w:b/>
          <w:bCs/>
        </w:rPr>
        <w:t>Average OM</w:t>
      </w:r>
      <w:r w:rsidR="00FE511C" w:rsidRPr="00780E96">
        <w:t>, as described</w:t>
      </w:r>
      <w:r w:rsidRPr="00780E96">
        <w:t xml:space="preserve"> in </w:t>
      </w:r>
      <w:r w:rsidR="00EB7C09" w:rsidRPr="00780E96">
        <w:t xml:space="preserve">section </w:t>
      </w:r>
      <w:r w:rsidR="00CD413D" w:rsidRPr="00780E96">
        <w:fldChar w:fldCharType="begin"/>
      </w:r>
      <w:r w:rsidR="00CD413D" w:rsidRPr="00780E96">
        <w:instrText xml:space="preserve"> REF _Ref221037800 \w \h </w:instrText>
      </w:r>
      <w:r w:rsidR="00780E96">
        <w:instrText xml:space="preserve"> \* MERGEFORMAT </w:instrText>
      </w:r>
      <w:r w:rsidR="00CD413D" w:rsidRPr="00780E96">
        <w:fldChar w:fldCharType="separate"/>
      </w:r>
      <w:r w:rsidR="003B0135" w:rsidRPr="00780E96">
        <w:rPr>
          <w:cs/>
        </w:rPr>
        <w:t>‎</w:t>
      </w:r>
      <w:r w:rsidR="003B0135" w:rsidRPr="00780E96">
        <w:t>5.7.1.2.4</w:t>
      </w:r>
      <w:r w:rsidR="00CD413D" w:rsidRPr="00780E96">
        <w:fldChar w:fldCharType="end"/>
      </w:r>
      <w:r w:rsidRPr="00780E96">
        <w:t>.</w:t>
      </w:r>
    </w:p>
    <w:bookmarkStart w:id="620" w:name="_Ref220951490"/>
    <w:p w14:paraId="6A57996F" w14:textId="11C5D5CF" w:rsidR="00E33E88" w:rsidRPr="00780E96" w:rsidRDefault="00666638">
      <w:pPr>
        <w:pStyle w:val="SDMPara"/>
      </w:pPr>
      <w:r w:rsidRPr="00780E96">
        <w:fldChar w:fldCharType="begin"/>
      </w:r>
      <w:r w:rsidRPr="00780E96">
        <w:instrText xml:space="preserve"> REF _Ref220950238 \h </w:instrText>
      </w:r>
      <w:r w:rsidR="00780E96">
        <w:instrText xml:space="preserve"> \* MERGEFORMAT </w:instrText>
      </w:r>
      <w:r w:rsidRPr="00780E96">
        <w:fldChar w:fldCharType="separate"/>
      </w:r>
      <w:r w:rsidR="003B0135" w:rsidRPr="00780E96">
        <w:t>Table </w:t>
      </w:r>
      <w:r w:rsidR="003B0135" w:rsidRPr="00780E96">
        <w:rPr>
          <w:noProof/>
        </w:rPr>
        <w:t>4</w:t>
      </w:r>
      <w:r w:rsidRPr="00780E96">
        <w:fldChar w:fldCharType="end"/>
      </w:r>
      <w:r w:rsidR="323F7E56" w:rsidRPr="00780E96">
        <w:t xml:space="preserve"> </w:t>
      </w:r>
      <w:r w:rsidR="0AF341F1" w:rsidRPr="00780E96">
        <w:t xml:space="preserve">summarizes </w:t>
      </w:r>
      <w:r w:rsidR="0E2E20E2" w:rsidRPr="00780E96">
        <w:t>the applicability conditions for the different methods</w:t>
      </w:r>
      <w:r w:rsidR="0258C528" w:rsidRPr="00780E96">
        <w:t xml:space="preserve"> </w:t>
      </w:r>
      <w:r w:rsidR="55076259" w:rsidRPr="00780E96">
        <w:t xml:space="preserve">to determine the OM emission factor </w:t>
      </w:r>
      <w:r w:rsidR="0258C528" w:rsidRPr="00780E96">
        <w:t>and</w:t>
      </w:r>
      <w:r w:rsidR="0AF341F1" w:rsidRPr="00780E96">
        <w:t xml:space="preserve"> specifies the uncertainty deemed to be associated with each method</w:t>
      </w:r>
      <w:r w:rsidR="699A9632" w:rsidRPr="00780E96">
        <w:t xml:space="preserve">. This uncertainty </w:t>
      </w:r>
      <w:r w:rsidR="61ABD75E" w:rsidRPr="00780E96">
        <w:t xml:space="preserve">shall be used </w:t>
      </w:r>
      <w:r w:rsidR="18EAC7CA" w:rsidRPr="00780E96">
        <w:t>when</w:t>
      </w:r>
      <w:r w:rsidR="772C10BD" w:rsidRPr="00780E96">
        <w:t xml:space="preserve"> </w:t>
      </w:r>
      <w:r w:rsidR="0933D854" w:rsidRPr="00780E96">
        <w:t>determining</w:t>
      </w:r>
      <w:r w:rsidR="772C10BD" w:rsidRPr="00780E96">
        <w:t xml:space="preserve"> the </w:t>
      </w:r>
      <w:r w:rsidR="0933D854" w:rsidRPr="00780E96">
        <w:t xml:space="preserve">overall </w:t>
      </w:r>
      <w:r w:rsidR="772C10BD" w:rsidRPr="00780E96">
        <w:t>uncertainty of the emission factor for the electricity system.</w:t>
      </w:r>
      <w:r w:rsidR="75E639CD" w:rsidRPr="00780E96">
        <w:t xml:space="preserve"> For all methods, the </w:t>
      </w:r>
      <w:r w:rsidR="007E7481" w:rsidRPr="00780E96">
        <w:t xml:space="preserve">data </w:t>
      </w:r>
      <w:r w:rsidR="75E639CD" w:rsidRPr="00780E96">
        <w:t xml:space="preserve">necessary </w:t>
      </w:r>
      <w:r w:rsidR="5674C9B3" w:rsidRPr="00780E96">
        <w:t xml:space="preserve">to apply the method </w:t>
      </w:r>
      <w:r w:rsidR="75E639CD" w:rsidRPr="00780E96">
        <w:t>must be available.</w:t>
      </w:r>
      <w:bookmarkEnd w:id="620"/>
    </w:p>
    <w:p w14:paraId="680E5EA2" w14:textId="190A72B3" w:rsidR="00B70E27" w:rsidRPr="00BF0A6D" w:rsidRDefault="00AF3B71" w:rsidP="00AF3B71">
      <w:pPr>
        <w:pStyle w:val="Caption"/>
        <w:rPr>
          <w:lang w:val="en-US"/>
        </w:rPr>
      </w:pPr>
      <w:bookmarkStart w:id="621" w:name="_Ref220950238"/>
      <w:bookmarkStart w:id="622" w:name="_Ref215683777"/>
      <w:r>
        <w:t>Table</w:t>
      </w:r>
      <w:r w:rsidR="005A04B7">
        <w:t> </w:t>
      </w:r>
      <w:r>
        <w:fldChar w:fldCharType="begin"/>
      </w:r>
      <w:r>
        <w:instrText>SEQ Table \* ARABIC</w:instrText>
      </w:r>
      <w:r>
        <w:fldChar w:fldCharType="separate"/>
      </w:r>
      <w:r w:rsidR="003B0135">
        <w:rPr>
          <w:noProof/>
        </w:rPr>
        <w:t>4</w:t>
      </w:r>
      <w:r>
        <w:fldChar w:fldCharType="end"/>
      </w:r>
      <w:bookmarkEnd w:id="621"/>
      <w:r w:rsidR="00BA5CE0">
        <w:rPr>
          <w:noProof/>
        </w:rPr>
        <w:t>.</w:t>
      </w:r>
      <w:r w:rsidR="00BA5CE0">
        <w:tab/>
      </w:r>
      <w:bookmarkEnd w:id="622"/>
      <w:r w:rsidR="00BA5CE0" w:rsidRPr="00E45B07">
        <w:rPr>
          <w:lang w:val="en-US"/>
        </w:rPr>
        <w:t xml:space="preserve">Applicability conditions </w:t>
      </w:r>
      <w:r w:rsidR="00BA5CE0" w:rsidRPr="00BF0A6D">
        <w:rPr>
          <w:lang w:val="en-US"/>
        </w:rPr>
        <w:t>(other than data availability)</w:t>
      </w:r>
      <w:r w:rsidR="00BA5CE0" w:rsidRPr="00E45B07">
        <w:rPr>
          <w:lang w:val="en-US"/>
        </w:rPr>
        <w:t xml:space="preserve"> and associated uncertainty for different methods to determine the OM emission factor</w:t>
      </w:r>
      <w:r w:rsidR="00511431">
        <w:rPr>
          <w:rStyle w:val="FootnoteReference"/>
          <w:lang w:val="en-US"/>
        </w:rPr>
        <w:footnoteReference w:id="14"/>
      </w:r>
    </w:p>
    <w:tbl>
      <w:tblPr>
        <w:tblStyle w:val="SDMTable"/>
        <w:tblW w:w="8529" w:type="dxa"/>
        <w:tblLook w:val="04A0" w:firstRow="1" w:lastRow="0" w:firstColumn="1" w:lastColumn="0" w:noHBand="0" w:noVBand="1"/>
      </w:tblPr>
      <w:tblGrid>
        <w:gridCol w:w="1314"/>
        <w:gridCol w:w="4583"/>
        <w:gridCol w:w="2632"/>
      </w:tblGrid>
      <w:tr w:rsidR="00A36478" w14:paraId="2F2BA5FB" w14:textId="77777777" w:rsidTr="00410D9D">
        <w:trPr>
          <w:cnfStyle w:val="100000000000" w:firstRow="1" w:lastRow="0" w:firstColumn="0" w:lastColumn="0" w:oddVBand="0" w:evenVBand="0" w:oddHBand="0" w:evenHBand="0" w:firstRowFirstColumn="0" w:firstRowLastColumn="0" w:lastRowFirstColumn="0" w:lastRowLastColumn="0"/>
          <w:trHeight w:val="471"/>
        </w:trPr>
        <w:tc>
          <w:tcPr>
            <w:cnfStyle w:val="001000000000" w:firstRow="0" w:lastRow="0" w:firstColumn="1" w:lastColumn="0" w:oddVBand="0" w:evenVBand="0" w:oddHBand="0" w:evenHBand="0" w:firstRowFirstColumn="0" w:firstRowLastColumn="0" w:lastRowFirstColumn="0" w:lastRowLastColumn="0"/>
            <w:tcW w:w="1314" w:type="dxa"/>
          </w:tcPr>
          <w:p w14:paraId="0A5152D5" w14:textId="77777777" w:rsidR="00A36478" w:rsidRDefault="00A36478" w:rsidP="00807A84">
            <w:pPr>
              <w:pStyle w:val="SDMTableBoxParaNotNumbered"/>
            </w:pPr>
            <w:r>
              <w:t>Method</w:t>
            </w:r>
          </w:p>
        </w:tc>
        <w:tc>
          <w:tcPr>
            <w:tcW w:w="4583" w:type="dxa"/>
          </w:tcPr>
          <w:p w14:paraId="6CE37105" w14:textId="77777777" w:rsidR="00A36478" w:rsidRDefault="00A36478" w:rsidP="00807A84">
            <w:pPr>
              <w:pStyle w:val="SDMTableBoxParaNotNumbered"/>
              <w:cnfStyle w:val="100000000000" w:firstRow="1" w:lastRow="0" w:firstColumn="0" w:lastColumn="0" w:oddVBand="0" w:evenVBand="0" w:oddHBand="0" w:evenHBand="0" w:firstRowFirstColumn="0" w:firstRowLastColumn="0" w:lastRowFirstColumn="0" w:lastRowLastColumn="0"/>
            </w:pPr>
            <w:r>
              <w:t>Applicability conditions</w:t>
            </w:r>
          </w:p>
        </w:tc>
        <w:tc>
          <w:tcPr>
            <w:tcW w:w="2632" w:type="dxa"/>
          </w:tcPr>
          <w:p w14:paraId="6C73BD22" w14:textId="2FFEB8C0" w:rsidR="00086E24" w:rsidRPr="00FA4F1C" w:rsidRDefault="00A36478" w:rsidP="00807A84">
            <w:pPr>
              <w:pStyle w:val="SDMTableBoxParaNotNumbered"/>
              <w:cnfStyle w:val="100000000000" w:firstRow="1" w:lastRow="0" w:firstColumn="0" w:lastColumn="0" w:oddVBand="0" w:evenVBand="0" w:oddHBand="0" w:evenHBand="0" w:firstRowFirstColumn="0" w:firstRowLastColumn="0" w:lastRowFirstColumn="0" w:lastRowLastColumn="0"/>
              <w:rPr>
                <w:b w:val="0"/>
              </w:rPr>
            </w:pPr>
            <w:r>
              <w:t xml:space="preserve">Associated </w:t>
            </w:r>
            <w:r w:rsidR="00E42151">
              <w:t xml:space="preserve">method </w:t>
            </w:r>
            <w:r>
              <w:t>uncertainty</w:t>
            </w:r>
            <w:r w:rsidR="00CC70D1">
              <w:t xml:space="preserve"> at </w:t>
            </w:r>
            <w:r w:rsidR="00835495">
              <w:t xml:space="preserve">a </w:t>
            </w:r>
            <w:r w:rsidR="00CC70D1">
              <w:t>95</w:t>
            </w:r>
            <w:r w:rsidR="00FA4F1C">
              <w:t> </w:t>
            </w:r>
            <w:r w:rsidR="00CC70D1">
              <w:t>per</w:t>
            </w:r>
            <w:r w:rsidR="00446FC3">
              <w:t xml:space="preserve"> </w:t>
            </w:r>
            <w:r w:rsidR="00CC70D1">
              <w:t xml:space="preserve">cent confidence </w:t>
            </w:r>
            <w:r w:rsidR="00FA09D8">
              <w:t>level</w:t>
            </w:r>
            <w:r w:rsidR="00FA4F1C">
              <w:t xml:space="preserve"> </w:t>
            </w:r>
            <w:r w:rsidR="00086E24">
              <w:t>(</w:t>
            </w:r>
            <w:r w:rsidR="00807A84">
              <w:t>per cent</w:t>
            </w:r>
            <w:r w:rsidR="00086E24">
              <w:t>)</w:t>
            </w:r>
          </w:p>
        </w:tc>
      </w:tr>
      <w:tr w:rsidR="00A36478" w14:paraId="02C42E0B" w14:textId="77777777" w:rsidTr="00410D9D">
        <w:trPr>
          <w:trHeight w:val="300"/>
        </w:trPr>
        <w:tc>
          <w:tcPr>
            <w:cnfStyle w:val="001000000000" w:firstRow="0" w:lastRow="0" w:firstColumn="1" w:lastColumn="0" w:oddVBand="0" w:evenVBand="0" w:oddHBand="0" w:evenHBand="0" w:firstRowFirstColumn="0" w:firstRowLastColumn="0" w:lastRowFirstColumn="0" w:lastRowLastColumn="0"/>
            <w:tcW w:w="1314" w:type="dxa"/>
          </w:tcPr>
          <w:p w14:paraId="388B65ED" w14:textId="77777777" w:rsidR="00A36478" w:rsidRDefault="00A36478" w:rsidP="00807A84">
            <w:pPr>
              <w:pStyle w:val="SDMTableBoxParaNotNumbered"/>
              <w:rPr>
                <w:b w:val="0"/>
              </w:rPr>
            </w:pPr>
            <w:r>
              <w:rPr>
                <w:b w:val="0"/>
              </w:rPr>
              <w:t>Dispatch data OM</w:t>
            </w:r>
          </w:p>
        </w:tc>
        <w:tc>
          <w:tcPr>
            <w:tcW w:w="4583" w:type="dxa"/>
          </w:tcPr>
          <w:p w14:paraId="56D20379" w14:textId="717F1BEA" w:rsidR="00A36478" w:rsidRPr="00D42187" w:rsidRDefault="0020254E" w:rsidP="00807A84">
            <w:pPr>
              <w:pStyle w:val="SDMTableBoxParaNotNumbered"/>
              <w:cnfStyle w:val="000000000000" w:firstRow="0" w:lastRow="0" w:firstColumn="0" w:lastColumn="0" w:oddVBand="0" w:evenVBand="0" w:oddHBand="0" w:evenHBand="0" w:firstRowFirstColumn="0" w:firstRowLastColumn="0" w:lastRowFirstColumn="0" w:lastRowLastColumn="0"/>
            </w:pPr>
            <w:r w:rsidRPr="00BF0A6D">
              <w:t xml:space="preserve">Power units in the electricity system are dispatched in a </w:t>
            </w:r>
            <w:r w:rsidR="00B7129C">
              <w:t>defined</w:t>
            </w:r>
            <w:r w:rsidR="00B7129C" w:rsidRPr="00BF0A6D">
              <w:t xml:space="preserve"> </w:t>
            </w:r>
            <w:r w:rsidRPr="00BF0A6D">
              <w:t>order</w:t>
            </w:r>
            <w:r w:rsidR="00B024F8">
              <w:t xml:space="preserve"> </w:t>
            </w:r>
            <w:r w:rsidR="00B024F8" w:rsidRPr="00B024F8">
              <w:t>subject to technical, spatial, temporal, and security constraints</w:t>
            </w:r>
          </w:p>
        </w:tc>
        <w:tc>
          <w:tcPr>
            <w:tcW w:w="2632" w:type="dxa"/>
          </w:tcPr>
          <w:p w14:paraId="51DC12A5" w14:textId="5A025785" w:rsidR="00A36478" w:rsidRPr="005D7662" w:rsidRDefault="00152390" w:rsidP="00807A84">
            <w:pPr>
              <w:pStyle w:val="SDMTableBoxParaNotNumbered"/>
              <w:cnfStyle w:val="000000000000" w:firstRow="0" w:lastRow="0" w:firstColumn="0" w:lastColumn="0" w:oddVBand="0" w:evenVBand="0" w:oddHBand="0" w:evenHBand="0" w:firstRowFirstColumn="0" w:firstRowLastColumn="0" w:lastRowFirstColumn="0" w:lastRowLastColumn="0"/>
              <w:rPr>
                <w:highlight w:val="yellow"/>
              </w:rPr>
            </w:pPr>
            <w:r w:rsidRPr="000F68AF">
              <w:rPr>
                <w:rFonts w:cs="Arial"/>
              </w:rPr>
              <w:t>±</w:t>
            </w:r>
            <w:r w:rsidR="004C4CED">
              <w:t>5</w:t>
            </w:r>
          </w:p>
        </w:tc>
      </w:tr>
      <w:tr w:rsidR="00086E24" w14:paraId="15DA1A4C" w14:textId="77777777" w:rsidTr="00410D9D">
        <w:trPr>
          <w:trHeight w:val="300"/>
        </w:trPr>
        <w:tc>
          <w:tcPr>
            <w:cnfStyle w:val="001000000000" w:firstRow="0" w:lastRow="0" w:firstColumn="1" w:lastColumn="0" w:oddVBand="0" w:evenVBand="0" w:oddHBand="0" w:evenHBand="0" w:firstRowFirstColumn="0" w:firstRowLastColumn="0" w:lastRowFirstColumn="0" w:lastRowLastColumn="0"/>
            <w:tcW w:w="1314" w:type="dxa"/>
          </w:tcPr>
          <w:p w14:paraId="3B271744" w14:textId="77777777" w:rsidR="00086E24" w:rsidRDefault="00086E24" w:rsidP="00807A84">
            <w:pPr>
              <w:pStyle w:val="SDMTableBoxParaNotNumbered"/>
              <w:rPr>
                <w:b w:val="0"/>
              </w:rPr>
            </w:pPr>
            <w:r>
              <w:rPr>
                <w:b w:val="0"/>
              </w:rPr>
              <w:t>Simple OM</w:t>
            </w:r>
          </w:p>
        </w:tc>
        <w:tc>
          <w:tcPr>
            <w:tcW w:w="4583" w:type="dxa"/>
          </w:tcPr>
          <w:p w14:paraId="65B4592E" w14:textId="2CA270FF" w:rsidR="00086E24" w:rsidRDefault="00086E24" w:rsidP="00807A84">
            <w:pPr>
              <w:pStyle w:val="SDMTableBoxParaNotNumbered"/>
              <w:cnfStyle w:val="000000000000" w:firstRow="0" w:lastRow="0" w:firstColumn="0" w:lastColumn="0" w:oddVBand="0" w:evenVBand="0" w:oddHBand="0" w:evenHBand="0" w:firstRowFirstColumn="0" w:firstRowLastColumn="0" w:lastRowFirstColumn="0" w:lastRowLastColumn="0"/>
            </w:pPr>
            <w:r>
              <w:t xml:space="preserve">For </w:t>
            </w:r>
            <w:r w:rsidR="00176273">
              <w:t>case</w:t>
            </w:r>
            <w:r w:rsidR="000E2B98">
              <w:t> </w:t>
            </w:r>
            <w:r>
              <w:t xml:space="preserve">1: </w:t>
            </w:r>
            <w:r w:rsidR="0012378C">
              <w:t>n</w:t>
            </w:r>
            <w:r>
              <w:t>o conditions</w:t>
            </w:r>
          </w:p>
          <w:p w14:paraId="298F4BCC" w14:textId="16E47569" w:rsidR="008602AE" w:rsidRDefault="00086E24" w:rsidP="00807A84">
            <w:pPr>
              <w:pStyle w:val="SDMTableBoxParaNotNumbered"/>
              <w:keepNext/>
              <w:cnfStyle w:val="000000000000" w:firstRow="0" w:lastRow="0" w:firstColumn="0" w:lastColumn="0" w:oddVBand="0" w:evenVBand="0" w:oddHBand="0" w:evenHBand="0" w:firstRowFirstColumn="0" w:firstRowLastColumn="0" w:lastRowFirstColumn="0" w:lastRowLastColumn="0"/>
            </w:pPr>
            <w:r>
              <w:t xml:space="preserve">For </w:t>
            </w:r>
            <w:r w:rsidR="00176273">
              <w:t>case</w:t>
            </w:r>
            <w:r w:rsidR="000E2B98">
              <w:t> </w:t>
            </w:r>
            <w:r>
              <w:t xml:space="preserve">2: </w:t>
            </w:r>
            <w:r w:rsidR="00410CE3">
              <w:t>o</w:t>
            </w:r>
            <w:r w:rsidR="007F4FA3">
              <w:t xml:space="preserve">ne of the </w:t>
            </w:r>
            <w:r w:rsidR="00410CE3" w:rsidRPr="00410CE3">
              <w:t xml:space="preserve">following conditions is </w:t>
            </w:r>
            <w:r w:rsidR="4FEA7382">
              <w:t>met</w:t>
            </w:r>
            <w:r w:rsidR="008602AE">
              <w:t>:</w:t>
            </w:r>
          </w:p>
          <w:p w14:paraId="3AF47CF8" w14:textId="77777777" w:rsidR="00924518" w:rsidRDefault="00C84E7F" w:rsidP="00807A84">
            <w:pPr>
              <w:pStyle w:val="SDMTableBoxParaNotNumbered"/>
              <w:keepNext/>
              <w:numPr>
                <w:ilvl w:val="1"/>
                <w:numId w:val="11"/>
              </w:numPr>
              <w:ind w:left="284" w:hanging="284"/>
              <w:cnfStyle w:val="000000000000" w:firstRow="0" w:lastRow="0" w:firstColumn="0" w:lastColumn="0" w:oddVBand="0" w:evenVBand="0" w:oddHBand="0" w:evenHBand="0" w:firstRowFirstColumn="0" w:firstRowLastColumn="0" w:lastRowFirstColumn="0" w:lastRowLastColumn="0"/>
            </w:pPr>
            <w:r>
              <w:t>T</w:t>
            </w:r>
            <w:r w:rsidR="006C2F7F" w:rsidRPr="006C2F7F">
              <w:t>he number of hours in a calendar year in which at least one of the following two conditions apply is smaller than 100</w:t>
            </w:r>
            <w:r w:rsidR="00924518">
              <w:t>:</w:t>
            </w:r>
          </w:p>
          <w:p w14:paraId="47DCADED" w14:textId="4B8EA8F4" w:rsidR="00EF0EF8" w:rsidRDefault="00EF0EF8" w:rsidP="00807A84">
            <w:pPr>
              <w:pStyle w:val="SDMTableBoxParaNotNumbered"/>
              <w:numPr>
                <w:ilvl w:val="2"/>
                <w:numId w:val="11"/>
              </w:numPr>
              <w:ind w:left="749" w:hanging="352"/>
              <w:cnfStyle w:val="000000000000" w:firstRow="0" w:lastRow="0" w:firstColumn="0" w:lastColumn="0" w:oddVBand="0" w:evenVBand="0" w:oddHBand="0" w:evenHBand="0" w:firstRowFirstColumn="0" w:firstRowLastColumn="0" w:lastRowFirstColumn="0" w:lastRowLastColumn="0"/>
            </w:pPr>
            <w:r>
              <w:t>Renewable</w:t>
            </w:r>
            <w:r w:rsidR="000621E5">
              <w:t xml:space="preserve"> electricity generation is curtailed because available output exceeds what the electricity system could absorb</w:t>
            </w:r>
            <w:r>
              <w:t>;</w:t>
            </w:r>
            <w:r w:rsidR="000621E5">
              <w:t xml:space="preserve"> or</w:t>
            </w:r>
          </w:p>
          <w:p w14:paraId="7ECBF6FF" w14:textId="467EA58B" w:rsidR="00EF0EF8" w:rsidRDefault="00EF0EF8" w:rsidP="00807A84">
            <w:pPr>
              <w:pStyle w:val="SDMTableBoxParaNotNumbered"/>
              <w:numPr>
                <w:ilvl w:val="2"/>
                <w:numId w:val="11"/>
              </w:numPr>
              <w:ind w:left="749" w:hanging="352"/>
              <w:cnfStyle w:val="000000000000" w:firstRow="0" w:lastRow="0" w:firstColumn="0" w:lastColumn="0" w:oddVBand="0" w:evenVBand="0" w:oddHBand="0" w:evenHBand="0" w:firstRowFirstColumn="0" w:firstRowLastColumn="0" w:lastRowFirstColumn="0" w:lastRowLastColumn="0"/>
            </w:pPr>
            <w:r>
              <w:t>The</w:t>
            </w:r>
            <w:r w:rsidR="000621E5">
              <w:t xml:space="preserve"> electricity system operates solely based on renewable, nuclear, and/or storage power units</w:t>
            </w:r>
            <w:r>
              <w:t>;</w:t>
            </w:r>
            <w:r w:rsidR="00086E24" w:rsidRPr="007A22D5">
              <w:t xml:space="preserve"> or</w:t>
            </w:r>
          </w:p>
          <w:p w14:paraId="52CE2382" w14:textId="201AA2BD" w:rsidR="00086E24" w:rsidRDefault="00EF0EF8" w:rsidP="00807A84">
            <w:pPr>
              <w:pStyle w:val="SDMTableBoxParaNotNumbered"/>
              <w:numPr>
                <w:ilvl w:val="1"/>
                <w:numId w:val="11"/>
              </w:numPr>
              <w:ind w:left="284" w:hanging="284"/>
              <w:cnfStyle w:val="000000000000" w:firstRow="0" w:lastRow="0" w:firstColumn="0" w:lastColumn="0" w:oddVBand="0" w:evenVBand="0" w:oddHBand="0" w:evenHBand="0" w:firstRowFirstColumn="0" w:firstRowLastColumn="0" w:lastRowFirstColumn="0" w:lastRowLastColumn="0"/>
            </w:pPr>
            <w:r w:rsidRPr="00EF0EF8">
              <w:t>The</w:t>
            </w:r>
            <w:r w:rsidR="00086E24" w:rsidRPr="007A22D5">
              <w:t xml:space="preserve"> share of electricity generation from renewable and nuclear power units </w:t>
            </w:r>
            <w:r w:rsidRPr="00EF0EF8">
              <w:t>in the relevant period</w:t>
            </w:r>
            <w:r w:rsidR="001C72AE">
              <w:t> </w:t>
            </w:r>
            <w:r w:rsidRPr="004A0131">
              <w:rPr>
                <w:i/>
                <w:iCs/>
              </w:rPr>
              <w:t>t</w:t>
            </w:r>
            <w:r w:rsidRPr="00EF0EF8">
              <w:t xml:space="preserve"> </w:t>
            </w:r>
            <w:r w:rsidR="00827305" w:rsidRPr="007A22D5">
              <w:t xml:space="preserve">does not exceed </w:t>
            </w:r>
            <w:r w:rsidRPr="00EF0EF8">
              <w:t>30</w:t>
            </w:r>
            <w:r w:rsidR="000E2B98">
              <w:t> </w:t>
            </w:r>
            <w:r w:rsidR="00086E24">
              <w:t>per cent</w:t>
            </w:r>
          </w:p>
        </w:tc>
        <w:tc>
          <w:tcPr>
            <w:tcW w:w="2632" w:type="dxa"/>
          </w:tcPr>
          <w:p w14:paraId="49351E59" w14:textId="26E464E1" w:rsidR="00086E24" w:rsidRPr="00A860A0" w:rsidRDefault="00086E24" w:rsidP="00807A84">
            <w:pPr>
              <w:pStyle w:val="SDMTableBoxParaNotNumbered"/>
              <w:cnfStyle w:val="000000000000" w:firstRow="0" w:lastRow="0" w:firstColumn="0" w:lastColumn="0" w:oddVBand="0" w:evenVBand="0" w:oddHBand="0" w:evenHBand="0" w:firstRowFirstColumn="0" w:firstRowLastColumn="0" w:lastRowFirstColumn="0" w:lastRowLastColumn="0"/>
            </w:pPr>
            <w:r w:rsidRPr="00A860A0">
              <w:rPr>
                <w:rFonts w:cs="Arial"/>
              </w:rPr>
              <w:t>±</w:t>
            </w:r>
            <w:r w:rsidR="00123747">
              <w:rPr>
                <w:rFonts w:cs="Arial"/>
              </w:rPr>
              <w:t>20</w:t>
            </w:r>
          </w:p>
        </w:tc>
      </w:tr>
      <w:tr w:rsidR="00086E24" w14:paraId="06743B0B" w14:textId="77777777" w:rsidTr="00410D9D">
        <w:trPr>
          <w:trHeight w:val="300"/>
        </w:trPr>
        <w:tc>
          <w:tcPr>
            <w:cnfStyle w:val="001000000000" w:firstRow="0" w:lastRow="0" w:firstColumn="1" w:lastColumn="0" w:oddVBand="0" w:evenVBand="0" w:oddHBand="0" w:evenHBand="0" w:firstRowFirstColumn="0" w:firstRowLastColumn="0" w:lastRowFirstColumn="0" w:lastRowLastColumn="0"/>
            <w:tcW w:w="1314" w:type="dxa"/>
          </w:tcPr>
          <w:p w14:paraId="6B2F808A" w14:textId="77777777" w:rsidR="00086E24" w:rsidRDefault="00086E24" w:rsidP="00807A84">
            <w:pPr>
              <w:pStyle w:val="SDMTableBoxParaNotNumbered"/>
              <w:rPr>
                <w:b w:val="0"/>
              </w:rPr>
            </w:pPr>
            <w:r>
              <w:rPr>
                <w:b w:val="0"/>
              </w:rPr>
              <w:t>Simple adjusted OM</w:t>
            </w:r>
          </w:p>
        </w:tc>
        <w:tc>
          <w:tcPr>
            <w:tcW w:w="4583" w:type="dxa"/>
          </w:tcPr>
          <w:p w14:paraId="18633169" w14:textId="77777777" w:rsidR="00086E24" w:rsidRDefault="00086E24" w:rsidP="00807A84">
            <w:pPr>
              <w:pStyle w:val="SDMTableBoxParaNotNumbered"/>
              <w:keepNext/>
              <w:cnfStyle w:val="000000000000" w:firstRow="0" w:lastRow="0" w:firstColumn="0" w:lastColumn="0" w:oddVBand="0" w:evenVBand="0" w:oddHBand="0" w:evenHBand="0" w:firstRowFirstColumn="0" w:firstRowLastColumn="0" w:lastRowFirstColumn="0" w:lastRowLastColumn="0"/>
            </w:pPr>
            <w:r>
              <w:t>This method includes two options:</w:t>
            </w:r>
          </w:p>
          <w:p w14:paraId="306B459D" w14:textId="516DF630" w:rsidR="00086E24" w:rsidRDefault="00086E24" w:rsidP="00807A84">
            <w:pPr>
              <w:pStyle w:val="SDMTableBoxParaNotNumbered"/>
              <w:numPr>
                <w:ilvl w:val="0"/>
                <w:numId w:val="7"/>
              </w:numPr>
              <w:cnfStyle w:val="000000000000" w:firstRow="0" w:lastRow="0" w:firstColumn="0" w:lastColumn="0" w:oddVBand="0" w:evenVBand="0" w:oddHBand="0" w:evenHBand="0" w:firstRowFirstColumn="0" w:firstRowLastColumn="0" w:lastRowFirstColumn="0" w:lastRowLastColumn="0"/>
            </w:pPr>
            <w:r>
              <w:t>Option</w:t>
            </w:r>
            <w:r w:rsidR="000E2B98">
              <w:t> </w:t>
            </w:r>
            <w:r>
              <w:t xml:space="preserve">1: </w:t>
            </w:r>
            <w:r w:rsidR="0012378C">
              <w:t xml:space="preserve">no </w:t>
            </w:r>
            <w:r>
              <w:t>conditions</w:t>
            </w:r>
          </w:p>
          <w:p w14:paraId="1E5A61EB" w14:textId="16AFEF88" w:rsidR="00086E24" w:rsidRPr="00BF0A6D" w:rsidRDefault="00086E24" w:rsidP="00807A84">
            <w:pPr>
              <w:pStyle w:val="SDMTableBoxParaNotNumbered"/>
              <w:numPr>
                <w:ilvl w:val="0"/>
                <w:numId w:val="7"/>
              </w:numPr>
              <w:cnfStyle w:val="000000000000" w:firstRow="0" w:lastRow="0" w:firstColumn="0" w:lastColumn="0" w:oddVBand="0" w:evenVBand="0" w:oddHBand="0" w:evenHBand="0" w:firstRowFirstColumn="0" w:firstRowLastColumn="0" w:lastRowFirstColumn="0" w:lastRowLastColumn="0"/>
              <w:rPr>
                <w:lang w:val="en-US"/>
              </w:rPr>
            </w:pPr>
            <w:r>
              <w:t>Option</w:t>
            </w:r>
            <w:r w:rsidR="000E2B98">
              <w:t> </w:t>
            </w:r>
            <w:r>
              <w:t>2:</w:t>
            </w:r>
            <w:r w:rsidDel="00827305">
              <w:t xml:space="preserve"> </w:t>
            </w:r>
            <w:r w:rsidR="0012378C">
              <w:t>a</w:t>
            </w:r>
            <w:r>
              <w:t xml:space="preserve">pplicable </w:t>
            </w:r>
            <w:r w:rsidR="00827305">
              <w:t xml:space="preserve">only </w:t>
            </w:r>
            <w:r>
              <w:t>to non-intermittent electricity generation sources and e</w:t>
            </w:r>
            <w:r w:rsidRPr="00B679D2">
              <w:t>lectricity consumption source</w:t>
            </w:r>
            <w:r>
              <w:t>s not</w:t>
            </w:r>
            <w:r w:rsidRPr="00B679D2">
              <w:t xml:space="preserve"> depending on intermittent generation</w:t>
            </w:r>
          </w:p>
        </w:tc>
        <w:tc>
          <w:tcPr>
            <w:tcW w:w="2632" w:type="dxa"/>
          </w:tcPr>
          <w:p w14:paraId="0C6B2B99" w14:textId="22FEE43B" w:rsidR="00086E24" w:rsidRPr="00A860A0" w:rsidRDefault="00086E24" w:rsidP="00807A84">
            <w:pPr>
              <w:pStyle w:val="SDMTableBoxParaNotNumbered"/>
              <w:cnfStyle w:val="000000000000" w:firstRow="0" w:lastRow="0" w:firstColumn="0" w:lastColumn="0" w:oddVBand="0" w:evenVBand="0" w:oddHBand="0" w:evenHBand="0" w:firstRowFirstColumn="0" w:firstRowLastColumn="0" w:lastRowFirstColumn="0" w:lastRowLastColumn="0"/>
            </w:pPr>
            <w:r w:rsidRPr="00A860A0">
              <w:rPr>
                <w:rFonts w:cs="Arial"/>
              </w:rPr>
              <w:t>±</w:t>
            </w:r>
            <w:r w:rsidR="00123747">
              <w:rPr>
                <w:rFonts w:cs="Arial"/>
              </w:rPr>
              <w:t>20</w:t>
            </w:r>
          </w:p>
        </w:tc>
      </w:tr>
      <w:tr w:rsidR="00086E24" w14:paraId="604A464B" w14:textId="77777777" w:rsidTr="00410D9D">
        <w:trPr>
          <w:trHeight w:val="300"/>
        </w:trPr>
        <w:tc>
          <w:tcPr>
            <w:cnfStyle w:val="001000000000" w:firstRow="0" w:lastRow="0" w:firstColumn="1" w:lastColumn="0" w:oddVBand="0" w:evenVBand="0" w:oddHBand="0" w:evenHBand="0" w:firstRowFirstColumn="0" w:firstRowLastColumn="0" w:lastRowFirstColumn="0" w:lastRowLastColumn="0"/>
            <w:tcW w:w="1314" w:type="dxa"/>
          </w:tcPr>
          <w:p w14:paraId="3409B9C9" w14:textId="77777777" w:rsidR="00086E24" w:rsidRDefault="00086E24" w:rsidP="00807A84">
            <w:pPr>
              <w:pStyle w:val="SDMTableBoxParaNotNumbered"/>
              <w:rPr>
                <w:b w:val="0"/>
              </w:rPr>
            </w:pPr>
            <w:r>
              <w:rPr>
                <w:b w:val="0"/>
              </w:rPr>
              <w:t>Average OM</w:t>
            </w:r>
          </w:p>
        </w:tc>
        <w:tc>
          <w:tcPr>
            <w:tcW w:w="4583" w:type="dxa"/>
          </w:tcPr>
          <w:p w14:paraId="742934F9" w14:textId="659DDC4E" w:rsidR="00086E24" w:rsidRPr="00654D2E" w:rsidRDefault="00086E24" w:rsidP="00807A84">
            <w:pPr>
              <w:pStyle w:val="SDMTableBoxParaNotNumbered"/>
              <w:cnfStyle w:val="000000000000" w:firstRow="0" w:lastRow="0" w:firstColumn="0" w:lastColumn="0" w:oddVBand="0" w:evenVBand="0" w:oddHBand="0" w:evenHBand="0" w:firstRowFirstColumn="0" w:firstRowLastColumn="0" w:lastRowFirstColumn="0" w:lastRowLastColumn="0"/>
            </w:pPr>
            <w:r>
              <w:t xml:space="preserve">Only applicable to </w:t>
            </w:r>
            <w:r w:rsidR="000460C2" w:rsidRPr="000460C2">
              <w:rPr>
                <w:b/>
                <w:bCs/>
              </w:rPr>
              <w:t>case</w:t>
            </w:r>
            <w:r w:rsidR="000E2B98">
              <w:rPr>
                <w:b/>
                <w:bCs/>
              </w:rPr>
              <w:t> </w:t>
            </w:r>
            <w:r w:rsidRPr="000460C2">
              <w:rPr>
                <w:b/>
                <w:bCs/>
              </w:rPr>
              <w:t>2</w:t>
            </w:r>
            <w:r>
              <w:t xml:space="preserve"> and to non-intermittent electricity generation sources and e</w:t>
            </w:r>
            <w:r w:rsidRPr="00B679D2">
              <w:t>lectricity consumption source</w:t>
            </w:r>
            <w:r>
              <w:t>s not</w:t>
            </w:r>
            <w:r w:rsidRPr="00B679D2">
              <w:t xml:space="preserve"> depending on intermittent generation</w:t>
            </w:r>
          </w:p>
        </w:tc>
        <w:tc>
          <w:tcPr>
            <w:tcW w:w="2632" w:type="dxa"/>
          </w:tcPr>
          <w:p w14:paraId="6BE2364E" w14:textId="278672C4" w:rsidR="00086E24" w:rsidRPr="00A860A0" w:rsidRDefault="00D15A14" w:rsidP="00807A84">
            <w:pPr>
              <w:pStyle w:val="SDMTableBoxParaNotNumbered"/>
              <w:cnfStyle w:val="000000000000" w:firstRow="0" w:lastRow="0" w:firstColumn="0" w:lastColumn="0" w:oddVBand="0" w:evenVBand="0" w:oddHBand="0" w:evenHBand="0" w:firstRowFirstColumn="0" w:firstRowLastColumn="0" w:lastRowFirstColumn="0" w:lastRowLastColumn="0"/>
            </w:pPr>
            <w:r>
              <w:rPr>
                <w:rFonts w:cs="Arial"/>
              </w:rPr>
              <w:t>0</w:t>
            </w:r>
          </w:p>
        </w:tc>
      </w:tr>
    </w:tbl>
    <w:p w14:paraId="1C77A41C" w14:textId="20C7E1BF" w:rsidR="00243B17" w:rsidRPr="00780E96" w:rsidRDefault="00243B17">
      <w:pPr>
        <w:pStyle w:val="SDMPara"/>
        <w:rPr>
          <w:rFonts w:eastAsia="Segoe UI"/>
        </w:rPr>
      </w:pPr>
      <w:r w:rsidRPr="6E64D397">
        <w:rPr>
          <w:rFonts w:eastAsia="Segoe UI"/>
        </w:rPr>
        <w:t xml:space="preserve">Where activity participants choose the simple OM </w:t>
      </w:r>
      <w:r w:rsidR="00483B76" w:rsidRPr="6E64D397">
        <w:rPr>
          <w:rFonts w:eastAsia="Segoe UI"/>
        </w:rPr>
        <w:t xml:space="preserve">method </w:t>
      </w:r>
      <w:r w:rsidRPr="6E64D397">
        <w:rPr>
          <w:rFonts w:eastAsia="Segoe UI"/>
        </w:rPr>
        <w:t>or the simple adjusted OM</w:t>
      </w:r>
      <w:r w:rsidR="00BC6A41" w:rsidRPr="6E64D397">
        <w:rPr>
          <w:rFonts w:eastAsia="Segoe UI"/>
        </w:rPr>
        <w:t xml:space="preserve"> method</w:t>
      </w:r>
      <w:r w:rsidR="00EE6C86" w:rsidRPr="6E64D397">
        <w:rPr>
          <w:rFonts w:eastAsia="Segoe UI"/>
        </w:rPr>
        <w:t xml:space="preserve">, they </w:t>
      </w:r>
      <w:r w:rsidR="00EE6C86" w:rsidRPr="6E64D397">
        <w:rPr>
          <w:lang w:eastAsia="zh-CN"/>
        </w:rPr>
        <w:t>shall determine</w:t>
      </w:r>
      <w:r w:rsidR="00BC6A41" w:rsidRPr="6E64D397">
        <w:rPr>
          <w:lang w:eastAsia="zh-CN"/>
        </w:rPr>
        <w:t>,</w:t>
      </w:r>
      <w:r w:rsidR="00EE6C86" w:rsidRPr="6E64D397">
        <w:rPr>
          <w:lang w:eastAsia="zh-CN"/>
        </w:rPr>
        <w:t xml:space="preserve"> for each power unit in the electricity system</w:t>
      </w:r>
      <w:r w:rsidR="00BC6A41" w:rsidRPr="6E64D397">
        <w:rPr>
          <w:lang w:eastAsia="zh-CN"/>
        </w:rPr>
        <w:t>,</w:t>
      </w:r>
      <w:r w:rsidR="00EE6C86" w:rsidRPr="6E64D397">
        <w:rPr>
          <w:lang w:eastAsia="zh-CN"/>
        </w:rPr>
        <w:t xml:space="preserve"> whether it is a must-run power unit</w:t>
      </w:r>
      <w:r w:rsidR="00AF1D22" w:rsidRPr="6E64D397">
        <w:rPr>
          <w:lang w:eastAsia="zh-CN"/>
        </w:rPr>
        <w:t>.</w:t>
      </w:r>
      <w:r w:rsidR="00B7253E" w:rsidRPr="6E64D397">
        <w:rPr>
          <w:lang w:eastAsia="zh-CN"/>
        </w:rPr>
        <w:t xml:space="preserve"> Activity participants </w:t>
      </w:r>
      <w:r w:rsidR="00A3548C" w:rsidRPr="6E64D397">
        <w:rPr>
          <w:lang w:eastAsia="zh-CN"/>
        </w:rPr>
        <w:t xml:space="preserve">shall document the </w:t>
      </w:r>
      <w:r w:rsidR="04273017" w:rsidRPr="6E64D397">
        <w:rPr>
          <w:lang w:eastAsia="zh-CN"/>
        </w:rPr>
        <w:t>designation</w:t>
      </w:r>
      <w:r w:rsidR="00A3548C" w:rsidRPr="6E64D397">
        <w:rPr>
          <w:lang w:eastAsia="zh-CN"/>
        </w:rPr>
        <w:t xml:space="preserve"> for each power </w:t>
      </w:r>
      <w:r w:rsidR="00A3548C" w:rsidRPr="0022533A">
        <w:rPr>
          <w:lang w:eastAsia="zh-CN"/>
        </w:rPr>
        <w:t xml:space="preserve">unit </w:t>
      </w:r>
      <w:r w:rsidR="00E81202" w:rsidRPr="0022533A">
        <w:rPr>
          <w:lang w:eastAsia="zh-CN"/>
        </w:rPr>
        <w:t xml:space="preserve">in </w:t>
      </w:r>
      <w:r w:rsidR="00A3548C" w:rsidRPr="0022533A">
        <w:rPr>
          <w:lang w:eastAsia="zh-CN"/>
        </w:rPr>
        <w:t xml:space="preserve">the </w:t>
      </w:r>
      <w:r w:rsidR="00A3548C" w:rsidRPr="00780E96">
        <w:rPr>
          <w:lang w:eastAsia="zh-CN"/>
        </w:rPr>
        <w:t>PDD</w:t>
      </w:r>
      <w:r w:rsidR="00166499" w:rsidRPr="00780E96">
        <w:t>, CP-DD,</w:t>
      </w:r>
      <w:r w:rsidR="0063287F" w:rsidRPr="00780E96">
        <w:rPr>
          <w:lang w:eastAsia="zh-CN"/>
        </w:rPr>
        <w:t xml:space="preserve"> </w:t>
      </w:r>
      <w:r w:rsidR="00A3548C" w:rsidRPr="00780E96">
        <w:rPr>
          <w:lang w:eastAsia="zh-CN"/>
        </w:rPr>
        <w:t>or monitoring report</w:t>
      </w:r>
      <w:r w:rsidR="11E714CE" w:rsidRPr="00780E96">
        <w:rPr>
          <w:lang w:eastAsia="zh-CN"/>
        </w:rPr>
        <w:t>s</w:t>
      </w:r>
      <w:r w:rsidR="00A3548C" w:rsidRPr="00780E96">
        <w:rPr>
          <w:lang w:eastAsia="zh-CN"/>
        </w:rPr>
        <w:t>, as applicable, specify the data source</w:t>
      </w:r>
      <w:r w:rsidR="00383446" w:rsidRPr="00780E96">
        <w:rPr>
          <w:lang w:eastAsia="zh-CN"/>
        </w:rPr>
        <w:t>s</w:t>
      </w:r>
      <w:r w:rsidR="00A3548C" w:rsidRPr="00780E96">
        <w:rPr>
          <w:lang w:eastAsia="zh-CN"/>
        </w:rPr>
        <w:t xml:space="preserve"> used, and provide an appropriate justification.</w:t>
      </w:r>
    </w:p>
    <w:p w14:paraId="34DF7920" w14:textId="4097D58F" w:rsidR="0020084D" w:rsidRPr="00780E96" w:rsidRDefault="32B11487" w:rsidP="00F62D64">
      <w:pPr>
        <w:pStyle w:val="SDMPara"/>
        <w:keepNext/>
        <w:rPr>
          <w:rFonts w:eastAsia="Segoe UI"/>
        </w:rPr>
      </w:pPr>
      <w:bookmarkStart w:id="623" w:name="_Ref220951549"/>
      <w:r w:rsidRPr="00780E96">
        <w:rPr>
          <w:rFonts w:eastAsia="Segoe UI"/>
          <w:lang w:eastAsia="zh-CN"/>
        </w:rPr>
        <w:t xml:space="preserve">A power generation unit </w:t>
      </w:r>
      <w:r w:rsidR="0020084D" w:rsidRPr="00780E96">
        <w:rPr>
          <w:rFonts w:eastAsia="Segoe UI"/>
          <w:lang w:eastAsia="zh-CN"/>
        </w:rPr>
        <w:t>shall</w:t>
      </w:r>
      <w:r w:rsidRPr="00780E96">
        <w:rPr>
          <w:rFonts w:eastAsia="Segoe UI"/>
          <w:lang w:eastAsia="zh-CN"/>
        </w:rPr>
        <w:t xml:space="preserve"> be designated as a must-run </w:t>
      </w:r>
      <w:r w:rsidR="00F05D82" w:rsidRPr="00780E96">
        <w:rPr>
          <w:rFonts w:eastAsia="Segoe UI"/>
          <w:lang w:eastAsia="zh-CN"/>
        </w:rPr>
        <w:t xml:space="preserve">power unit </w:t>
      </w:r>
      <w:r w:rsidRPr="00780E96">
        <w:rPr>
          <w:rFonts w:eastAsia="Segoe UI"/>
          <w:lang w:eastAsia="zh-CN"/>
        </w:rPr>
        <w:t>if it meets one or more of the following conditions:</w:t>
      </w:r>
      <w:bookmarkEnd w:id="623"/>
    </w:p>
    <w:p w14:paraId="7C3687E1" w14:textId="3FE85F93" w:rsidR="0020084D" w:rsidRPr="00780E96" w:rsidRDefault="66423C20" w:rsidP="00A704C1">
      <w:pPr>
        <w:pStyle w:val="SDMSubPara1"/>
        <w:rPr>
          <w:lang w:eastAsia="zh-CN"/>
        </w:rPr>
      </w:pPr>
      <w:r w:rsidRPr="00780E96">
        <w:rPr>
          <w:b/>
          <w:bCs/>
          <w:lang w:eastAsia="zh-CN"/>
        </w:rPr>
        <w:t xml:space="preserve">Fulfilment of </w:t>
      </w:r>
      <w:r w:rsidR="003B4ACE" w:rsidRPr="00780E96">
        <w:rPr>
          <w:b/>
          <w:bCs/>
          <w:lang w:eastAsia="zh-CN"/>
        </w:rPr>
        <w:t>n</w:t>
      </w:r>
      <w:r w:rsidRPr="00780E96">
        <w:rPr>
          <w:b/>
          <w:bCs/>
          <w:lang w:eastAsia="zh-CN"/>
        </w:rPr>
        <w:t>on-</w:t>
      </w:r>
      <w:r w:rsidR="003B4ACE" w:rsidRPr="00780E96">
        <w:rPr>
          <w:b/>
          <w:bCs/>
          <w:lang w:eastAsia="zh-CN"/>
        </w:rPr>
        <w:t>p</w:t>
      </w:r>
      <w:r w:rsidRPr="00780E96">
        <w:rPr>
          <w:b/>
          <w:bCs/>
          <w:lang w:eastAsia="zh-CN"/>
        </w:rPr>
        <w:t xml:space="preserve">ower </w:t>
      </w:r>
      <w:r w:rsidR="003B4ACE" w:rsidRPr="00780E96">
        <w:rPr>
          <w:b/>
          <w:bCs/>
          <w:lang w:eastAsia="zh-CN"/>
        </w:rPr>
        <w:t>g</w:t>
      </w:r>
      <w:r w:rsidRPr="00780E96">
        <w:rPr>
          <w:b/>
          <w:bCs/>
          <w:lang w:eastAsia="zh-CN"/>
        </w:rPr>
        <w:t xml:space="preserve">eneration </w:t>
      </w:r>
      <w:r w:rsidR="003B4ACE" w:rsidRPr="00780E96">
        <w:rPr>
          <w:b/>
          <w:bCs/>
          <w:lang w:eastAsia="zh-CN"/>
        </w:rPr>
        <w:t>o</w:t>
      </w:r>
      <w:r w:rsidRPr="00780E96">
        <w:rPr>
          <w:b/>
          <w:bCs/>
          <w:lang w:eastAsia="zh-CN"/>
        </w:rPr>
        <w:t>bligations</w:t>
      </w:r>
      <w:r w:rsidRPr="00780E96">
        <w:rPr>
          <w:lang w:eastAsia="zh-CN"/>
        </w:rPr>
        <w:t xml:space="preserve">: </w:t>
      </w:r>
      <w:r w:rsidR="002F7159" w:rsidRPr="00780E96">
        <w:rPr>
          <w:lang w:eastAsia="zh-CN"/>
        </w:rPr>
        <w:t xml:space="preserve">the </w:t>
      </w:r>
      <w:r w:rsidRPr="00780E96">
        <w:rPr>
          <w:lang w:eastAsia="zh-CN"/>
        </w:rPr>
        <w:t xml:space="preserve">operation of the </w:t>
      </w:r>
      <w:r w:rsidR="00E55925" w:rsidRPr="00780E96">
        <w:rPr>
          <w:lang w:eastAsia="zh-CN"/>
        </w:rPr>
        <w:t xml:space="preserve">power generation </w:t>
      </w:r>
      <w:r w:rsidRPr="00780E96">
        <w:rPr>
          <w:lang w:eastAsia="zh-CN"/>
        </w:rPr>
        <w:t xml:space="preserve">unit is </w:t>
      </w:r>
      <w:r w:rsidR="00C408BD" w:rsidRPr="00780E96">
        <w:rPr>
          <w:lang w:eastAsia="zh-CN"/>
        </w:rPr>
        <w:t>determined by</w:t>
      </w:r>
      <w:r w:rsidRPr="00780E96">
        <w:rPr>
          <w:lang w:eastAsia="zh-CN"/>
        </w:rPr>
        <w:t xml:space="preserve"> obligations not related to electricity production (e.g.</w:t>
      </w:r>
      <w:r w:rsidR="5119E856" w:rsidRPr="00780E96">
        <w:rPr>
          <w:lang w:eastAsia="zh-CN"/>
        </w:rPr>
        <w:t>,</w:t>
      </w:r>
      <w:r w:rsidRPr="00780E96">
        <w:rPr>
          <w:lang w:eastAsia="zh-CN"/>
        </w:rPr>
        <w:t xml:space="preserve"> </w:t>
      </w:r>
      <w:r w:rsidR="001D43B4" w:rsidRPr="00780E96">
        <w:rPr>
          <w:lang w:eastAsia="zh-CN"/>
        </w:rPr>
        <w:t xml:space="preserve">the provision of </w:t>
      </w:r>
      <w:r w:rsidRPr="00780E96">
        <w:rPr>
          <w:lang w:eastAsia="zh-CN"/>
        </w:rPr>
        <w:t>essential heat</w:t>
      </w:r>
      <w:r w:rsidR="001D43B4" w:rsidRPr="00780E96">
        <w:rPr>
          <w:lang w:eastAsia="zh-CN"/>
        </w:rPr>
        <w:t xml:space="preserve"> or </w:t>
      </w:r>
      <w:r w:rsidRPr="00780E96">
        <w:rPr>
          <w:lang w:eastAsia="zh-CN"/>
        </w:rPr>
        <w:t xml:space="preserve">steam </w:t>
      </w:r>
      <w:r w:rsidR="00CD4E4D" w:rsidRPr="00780E96">
        <w:rPr>
          <w:lang w:eastAsia="zh-CN"/>
        </w:rPr>
        <w:t>from a cogeneration power unit</w:t>
      </w:r>
      <w:r w:rsidRPr="00780E96">
        <w:rPr>
          <w:lang w:eastAsia="zh-CN"/>
        </w:rPr>
        <w:t>)</w:t>
      </w:r>
      <w:r w:rsidR="6004CBC7" w:rsidRPr="00780E96">
        <w:rPr>
          <w:lang w:eastAsia="zh-CN"/>
        </w:rPr>
        <w:t>;</w:t>
      </w:r>
    </w:p>
    <w:p w14:paraId="5307B8F9" w14:textId="1CDAA24B" w:rsidR="0020084D" w:rsidRPr="00780E96" w:rsidRDefault="00174A51" w:rsidP="00A704C1">
      <w:pPr>
        <w:pStyle w:val="SDMSubPara1"/>
        <w:rPr>
          <w:lang w:eastAsia="zh-CN"/>
        </w:rPr>
      </w:pPr>
      <w:r w:rsidRPr="00780E96">
        <w:rPr>
          <w:b/>
          <w:bCs/>
          <w:lang w:eastAsia="zh-CN"/>
        </w:rPr>
        <w:t>Low marginal electricity generation costs</w:t>
      </w:r>
      <w:r w:rsidRPr="00780E96">
        <w:rPr>
          <w:lang w:eastAsia="zh-CN"/>
        </w:rPr>
        <w:t xml:space="preserve">: </w:t>
      </w:r>
      <w:r w:rsidR="002F7159" w:rsidRPr="00780E96">
        <w:rPr>
          <w:lang w:eastAsia="zh-CN"/>
        </w:rPr>
        <w:t xml:space="preserve">the </w:t>
      </w:r>
      <w:r w:rsidRPr="00780E96">
        <w:rPr>
          <w:lang w:eastAsia="zh-CN"/>
        </w:rPr>
        <w:t xml:space="preserve">power </w:t>
      </w:r>
      <w:r w:rsidR="00934DFC" w:rsidRPr="00780E96">
        <w:rPr>
          <w:lang w:eastAsia="zh-CN"/>
        </w:rPr>
        <w:t xml:space="preserve">unit </w:t>
      </w:r>
      <w:r w:rsidR="00B31018" w:rsidRPr="00780E96">
        <w:rPr>
          <w:lang w:eastAsia="zh-CN"/>
        </w:rPr>
        <w:t xml:space="preserve">is a </w:t>
      </w:r>
      <w:r w:rsidR="00B31018" w:rsidRPr="00780E96">
        <w:rPr>
          <w:lang w:val="en-US" w:eastAsia="zh-CN"/>
        </w:rPr>
        <w:t>hydro</w:t>
      </w:r>
      <w:r w:rsidR="00E55925" w:rsidRPr="00780E96">
        <w:rPr>
          <w:lang w:val="en-US" w:eastAsia="zh-CN"/>
        </w:rPr>
        <w:t xml:space="preserve">, wind, solar, tidal, </w:t>
      </w:r>
      <w:r w:rsidR="0080144E" w:rsidRPr="00780E96">
        <w:rPr>
          <w:lang w:val="en-US" w:eastAsia="zh-CN"/>
        </w:rPr>
        <w:t>or</w:t>
      </w:r>
      <w:r w:rsidR="00E55925" w:rsidRPr="00780E96">
        <w:rPr>
          <w:lang w:val="en-US" w:eastAsia="zh-CN"/>
        </w:rPr>
        <w:t xml:space="preserve"> geothermal power generation unit, </w:t>
      </w:r>
      <w:r w:rsidR="00B31018" w:rsidRPr="00780E96">
        <w:rPr>
          <w:lang w:val="en-US" w:eastAsia="zh-CN"/>
        </w:rPr>
        <w:t>noting</w:t>
      </w:r>
      <w:r w:rsidR="00E55925" w:rsidRPr="00780E96">
        <w:rPr>
          <w:lang w:val="en-US" w:eastAsia="zh-CN"/>
        </w:rPr>
        <w:t xml:space="preserve"> that </w:t>
      </w:r>
      <w:r w:rsidR="00E962EF" w:rsidRPr="00780E96">
        <w:rPr>
          <w:lang w:val="en-US" w:eastAsia="zh-CN"/>
        </w:rPr>
        <w:t xml:space="preserve">such </w:t>
      </w:r>
      <w:r w:rsidR="00E55925" w:rsidRPr="00780E96">
        <w:rPr>
          <w:lang w:val="en-US" w:eastAsia="zh-CN"/>
        </w:rPr>
        <w:t xml:space="preserve">units </w:t>
      </w:r>
      <w:r w:rsidR="003B4ACE" w:rsidRPr="00780E96">
        <w:rPr>
          <w:lang w:val="en-US" w:eastAsia="zh-CN"/>
        </w:rPr>
        <w:t>usually</w:t>
      </w:r>
      <w:r w:rsidR="00E55925" w:rsidRPr="00780E96">
        <w:rPr>
          <w:lang w:val="en-US" w:eastAsia="zh-CN"/>
        </w:rPr>
        <w:t xml:space="preserve"> have low marginal electricity generation costs;</w:t>
      </w:r>
      <w:r w:rsidR="0076477A" w:rsidRPr="00780E96">
        <w:rPr>
          <w:lang w:val="en-US" w:eastAsia="zh-CN"/>
        </w:rPr>
        <w:t xml:space="preserve"> or</w:t>
      </w:r>
    </w:p>
    <w:p w14:paraId="6A501A92" w14:textId="52683CBE" w:rsidR="00FC7FB3" w:rsidRPr="00780E96" w:rsidRDefault="0076477A" w:rsidP="00A704C1">
      <w:pPr>
        <w:pStyle w:val="SDMSubPara1"/>
        <w:rPr>
          <w:lang w:eastAsia="zh-CN"/>
        </w:rPr>
      </w:pPr>
      <w:r w:rsidRPr="00780E96">
        <w:rPr>
          <w:b/>
          <w:bCs/>
          <w:lang w:eastAsia="zh-CN"/>
        </w:rPr>
        <w:t>S</w:t>
      </w:r>
      <w:r w:rsidR="007B614D" w:rsidRPr="00780E96">
        <w:rPr>
          <w:b/>
          <w:bCs/>
          <w:lang w:eastAsia="zh-CN"/>
        </w:rPr>
        <w:t xml:space="preserve">teady operation </w:t>
      </w:r>
      <w:r w:rsidR="00BB53B1" w:rsidRPr="00780E96">
        <w:rPr>
          <w:b/>
          <w:bCs/>
          <w:lang w:eastAsia="zh-CN"/>
        </w:rPr>
        <w:t>and constant load</w:t>
      </w:r>
      <w:r w:rsidR="00BB53B1" w:rsidRPr="00780E96">
        <w:rPr>
          <w:lang w:eastAsia="zh-CN"/>
        </w:rPr>
        <w:t>:</w:t>
      </w:r>
      <w:r w:rsidR="00A4036F" w:rsidRPr="00780E96">
        <w:rPr>
          <w:lang w:eastAsia="zh-CN"/>
        </w:rPr>
        <w:t xml:space="preserve"> </w:t>
      </w:r>
      <w:r w:rsidR="002F7159" w:rsidRPr="00780E96">
        <w:rPr>
          <w:lang w:eastAsia="zh-CN"/>
        </w:rPr>
        <w:t xml:space="preserve">the </w:t>
      </w:r>
      <w:r w:rsidR="00FE00C4" w:rsidRPr="00780E96">
        <w:rPr>
          <w:lang w:eastAsia="zh-CN"/>
        </w:rPr>
        <w:t xml:space="preserve">power unit has </w:t>
      </w:r>
      <w:r w:rsidRPr="00780E96">
        <w:rPr>
          <w:lang w:eastAsia="zh-CN"/>
        </w:rPr>
        <w:t>operated</w:t>
      </w:r>
      <w:r w:rsidR="00FE00C4" w:rsidRPr="00780E96">
        <w:rPr>
          <w:lang w:eastAsia="zh-CN"/>
        </w:rPr>
        <w:t xml:space="preserve"> </w:t>
      </w:r>
      <w:r w:rsidRPr="00780E96">
        <w:rPr>
          <w:lang w:eastAsia="zh-CN"/>
        </w:rPr>
        <w:t xml:space="preserve">during </w:t>
      </w:r>
      <w:r w:rsidR="00FE00C4" w:rsidRPr="00780E96">
        <w:rPr>
          <w:lang w:eastAsia="zh-CN"/>
        </w:rPr>
        <w:t xml:space="preserve">the </w:t>
      </w:r>
      <w:r w:rsidR="001A3DBB" w:rsidRPr="00780E96">
        <w:rPr>
          <w:lang w:eastAsia="zh-CN"/>
        </w:rPr>
        <w:t>most recent</w:t>
      </w:r>
      <w:r w:rsidR="00FE00C4" w:rsidRPr="00780E96">
        <w:rPr>
          <w:lang w:eastAsia="zh-CN"/>
        </w:rPr>
        <w:t xml:space="preserve"> three years for </w:t>
      </w:r>
      <w:r w:rsidR="00FC7FB3" w:rsidRPr="00780E96">
        <w:rPr>
          <w:lang w:eastAsia="zh-CN"/>
        </w:rPr>
        <w:t xml:space="preserve">more than </w:t>
      </w:r>
      <w:r w:rsidR="00BB0A0E" w:rsidRPr="00780E96">
        <w:rPr>
          <w:lang w:eastAsia="zh-CN"/>
        </w:rPr>
        <w:t>7</w:t>
      </w:r>
      <w:r w:rsidR="00F62D64" w:rsidRPr="00780E96">
        <w:rPr>
          <w:lang w:eastAsia="zh-CN"/>
        </w:rPr>
        <w:t>,</w:t>
      </w:r>
      <w:r w:rsidR="00BB0A0E" w:rsidRPr="00780E96">
        <w:rPr>
          <w:lang w:eastAsia="zh-CN"/>
        </w:rPr>
        <w:t xml:space="preserve">500 </w:t>
      </w:r>
      <w:r w:rsidR="00BC2348" w:rsidRPr="00780E96">
        <w:rPr>
          <w:lang w:eastAsia="zh-CN"/>
        </w:rPr>
        <w:t>full load</w:t>
      </w:r>
      <w:r w:rsidR="00BB0A0E" w:rsidRPr="00780E96">
        <w:rPr>
          <w:lang w:eastAsia="zh-CN"/>
        </w:rPr>
        <w:t xml:space="preserve"> hours per year</w:t>
      </w:r>
      <w:r w:rsidR="00D5077E" w:rsidRPr="00780E96">
        <w:rPr>
          <w:lang w:eastAsia="zh-CN"/>
        </w:rPr>
        <w:t>.</w:t>
      </w:r>
      <w:r w:rsidR="006F41B3" w:rsidRPr="00780E96">
        <w:rPr>
          <w:lang w:eastAsia="zh-CN"/>
        </w:rPr>
        <w:t xml:space="preserve"> </w:t>
      </w:r>
      <w:r w:rsidR="00F30A73" w:rsidRPr="00780E96">
        <w:rPr>
          <w:lang w:eastAsia="zh-CN"/>
        </w:rPr>
        <w:t>F</w:t>
      </w:r>
      <w:r w:rsidR="006F41B3" w:rsidRPr="00780E96">
        <w:rPr>
          <w:lang w:eastAsia="zh-CN"/>
        </w:rPr>
        <w:t xml:space="preserve">ull load hours </w:t>
      </w:r>
      <w:r w:rsidR="00F30A73" w:rsidRPr="00780E96">
        <w:rPr>
          <w:lang w:eastAsia="zh-CN"/>
        </w:rPr>
        <w:t>shall be</w:t>
      </w:r>
      <w:r w:rsidR="006F41B3" w:rsidRPr="00780E96">
        <w:rPr>
          <w:lang w:eastAsia="zh-CN"/>
        </w:rPr>
        <w:t xml:space="preserve"> calculated by dividing net electricity generation by </w:t>
      </w:r>
      <w:r w:rsidR="0072304C" w:rsidRPr="00780E96">
        <w:rPr>
          <w:lang w:eastAsia="zh-CN"/>
        </w:rPr>
        <w:t xml:space="preserve">the </w:t>
      </w:r>
      <w:r w:rsidR="00BE132E" w:rsidRPr="00780E96">
        <w:rPr>
          <w:lang w:eastAsia="zh-CN"/>
        </w:rPr>
        <w:t>installed</w:t>
      </w:r>
      <w:r w:rsidR="006F41B3" w:rsidRPr="00780E96">
        <w:rPr>
          <w:lang w:eastAsia="zh-CN"/>
        </w:rPr>
        <w:t xml:space="preserve"> capacity.</w:t>
      </w:r>
    </w:p>
    <w:p w14:paraId="022FC062" w14:textId="4035EFEF" w:rsidR="00216780" w:rsidRPr="00780E96" w:rsidRDefault="00D87064" w:rsidP="00F62D64">
      <w:pPr>
        <w:pStyle w:val="SDMPara"/>
        <w:keepNext/>
      </w:pPr>
      <w:bookmarkStart w:id="624" w:name="_Ref240300045"/>
      <w:bookmarkStart w:id="625" w:name="_Ref242432033"/>
      <w:r w:rsidRPr="00780E96">
        <w:t>Activity participants shall include</w:t>
      </w:r>
      <w:r w:rsidR="00B10829" w:rsidRPr="00780E96">
        <w:t>,</w:t>
      </w:r>
      <w:r w:rsidRPr="00780E96">
        <w:t xml:space="preserve"> in the cohort of power units used to calculate the </w:t>
      </w:r>
      <w:r w:rsidR="00AE0F52" w:rsidRPr="00780E96">
        <w:t xml:space="preserve">OM </w:t>
      </w:r>
      <w:r w:rsidRPr="00780E96">
        <w:t>under the applicable method</w:t>
      </w:r>
      <w:r w:rsidR="00B10829" w:rsidRPr="00780E96">
        <w:t>,</w:t>
      </w:r>
      <w:r w:rsidRPr="00780E96">
        <w:t xml:space="preserve"> all power units that </w:t>
      </w:r>
      <w:r w:rsidR="00752DB5" w:rsidRPr="00780E96">
        <w:t>are</w:t>
      </w:r>
      <w:bookmarkEnd w:id="624"/>
      <w:r w:rsidR="00216780" w:rsidRPr="00780E96">
        <w:t>:</w:t>
      </w:r>
      <w:bookmarkEnd w:id="625"/>
    </w:p>
    <w:p w14:paraId="7BB9FFEA" w14:textId="77777777" w:rsidR="00216780" w:rsidRPr="00780E96" w:rsidRDefault="00D87064" w:rsidP="00D87064">
      <w:pPr>
        <w:pStyle w:val="SDMSubPara1"/>
      </w:pPr>
      <w:r w:rsidRPr="00780E96">
        <w:t>Registered as Article 6.4 projects;</w:t>
      </w:r>
    </w:p>
    <w:p w14:paraId="4F228B22" w14:textId="77777777" w:rsidR="00216780" w:rsidRPr="00780E96" w:rsidRDefault="00DF52FE" w:rsidP="00D87064">
      <w:pPr>
        <w:pStyle w:val="SDMSubPara1"/>
      </w:pPr>
      <w:r w:rsidRPr="00780E96">
        <w:t xml:space="preserve">Included as CPs in an Article 6.4 PoA; </w:t>
      </w:r>
      <w:r w:rsidR="00752DB5" w:rsidRPr="00780E96">
        <w:t>or</w:t>
      </w:r>
    </w:p>
    <w:p w14:paraId="63FE0661" w14:textId="3A865974" w:rsidR="00DF52FE" w:rsidRPr="00780E96" w:rsidRDefault="00DF52FE" w:rsidP="00AD2370">
      <w:pPr>
        <w:pStyle w:val="SDMSubPara1"/>
      </w:pPr>
      <w:r w:rsidRPr="00780E96">
        <w:t>Registered under other carbon crediting programs.</w:t>
      </w:r>
    </w:p>
    <w:p w14:paraId="27B7A3E0" w14:textId="00D07A90" w:rsidR="002A48DA" w:rsidRPr="00780E96" w:rsidRDefault="002E3C77">
      <w:pPr>
        <w:pStyle w:val="SDMPara"/>
      </w:pPr>
      <w:r w:rsidRPr="00780E96">
        <w:t>Where activity participants</w:t>
      </w:r>
      <w:r w:rsidR="00C738C7" w:rsidRPr="00780E96">
        <w:t xml:space="preserve"> </w:t>
      </w:r>
      <w:r w:rsidR="000D1AA1" w:rsidRPr="00780E96">
        <w:t xml:space="preserve">can demonstrate </w:t>
      </w:r>
      <w:r w:rsidR="00707A22" w:rsidRPr="00780E96">
        <w:t>that</w:t>
      </w:r>
      <w:r w:rsidR="00151DFB" w:rsidRPr="00780E96">
        <w:t xml:space="preserve"> the simple OM emission factor </w:t>
      </w:r>
      <w:r w:rsidR="003A01DE" w:rsidRPr="00780E96">
        <w:t xml:space="preserve">is consistently </w:t>
      </w:r>
      <w:r w:rsidR="007A589B" w:rsidRPr="00780E96">
        <w:t xml:space="preserve">higher (for case 1) or consistently lower (for case 2) than the dispatch </w:t>
      </w:r>
      <w:r w:rsidR="00335C1C" w:rsidRPr="00780E96">
        <w:t xml:space="preserve">data OM </w:t>
      </w:r>
      <w:r w:rsidR="00A52CE9" w:rsidRPr="00780E96">
        <w:t xml:space="preserve">emission factor </w:t>
      </w:r>
      <w:r w:rsidR="00335C1C" w:rsidRPr="00780E96">
        <w:t xml:space="preserve">for the relevant period, then </w:t>
      </w:r>
      <w:r w:rsidR="00EE6C93" w:rsidRPr="00780E96">
        <w:t>activity participants may</w:t>
      </w:r>
      <w:r w:rsidR="00B830DF" w:rsidRPr="00780E96">
        <w:t xml:space="preserve">, instead of the uncertainty values for </w:t>
      </w:r>
      <w:r w:rsidR="00D300B8" w:rsidRPr="00780E96">
        <w:t xml:space="preserve">the </w:t>
      </w:r>
      <w:r w:rsidR="00B830DF" w:rsidRPr="00780E96">
        <w:t>simple OM or simple adjusted OM</w:t>
      </w:r>
      <w:r w:rsidR="001B31FB" w:rsidRPr="00780E96">
        <w:t xml:space="preserve"> method, use the uncertainty </w:t>
      </w:r>
      <w:r w:rsidR="00A52CE9" w:rsidRPr="00780E96">
        <w:t>value for</w:t>
      </w:r>
      <w:r w:rsidR="001B31FB" w:rsidRPr="00780E96">
        <w:t xml:space="preserve"> the </w:t>
      </w:r>
      <w:r w:rsidR="006632B8" w:rsidRPr="00780E96">
        <w:t xml:space="preserve">dispatch data OM </w:t>
      </w:r>
      <w:r w:rsidR="000D18DD" w:rsidRPr="00780E96">
        <w:t>method</w:t>
      </w:r>
      <w:r w:rsidR="006632B8" w:rsidRPr="00780E96">
        <w:t xml:space="preserve"> </w:t>
      </w:r>
      <w:r w:rsidR="00766291" w:rsidRPr="00780E96">
        <w:t>in Table</w:t>
      </w:r>
      <w:r w:rsidR="00592D9E" w:rsidRPr="00780E96">
        <w:t> </w:t>
      </w:r>
      <w:r w:rsidR="00BC4BFB" w:rsidRPr="00780E96">
        <w:t>4 above</w:t>
      </w:r>
      <w:r w:rsidR="00030E72" w:rsidRPr="00780E96">
        <w:t xml:space="preserve"> for the </w:t>
      </w:r>
      <w:r w:rsidR="00FE3F63" w:rsidRPr="00780E96">
        <w:t xml:space="preserve">calculation of the overall uncertainty, given that in these instances the use of simple OM or simple adjusted OM </w:t>
      </w:r>
      <w:r w:rsidR="00223E49" w:rsidRPr="00780E96">
        <w:t xml:space="preserve">is </w:t>
      </w:r>
      <w:r w:rsidR="00E149A5" w:rsidRPr="00780E96">
        <w:t>a</w:t>
      </w:r>
      <w:r w:rsidR="00223E49" w:rsidRPr="00780E96">
        <w:t xml:space="preserve"> conservative</w:t>
      </w:r>
      <w:r w:rsidR="00E149A5" w:rsidRPr="00780E96">
        <w:t xml:space="preserve"> method</w:t>
      </w:r>
      <w:r w:rsidR="00223E49" w:rsidRPr="00780E96">
        <w:t xml:space="preserve">. In other instances, the uncertainties </w:t>
      </w:r>
      <w:r w:rsidR="00197192" w:rsidRPr="00780E96">
        <w:t xml:space="preserve">method </w:t>
      </w:r>
      <w:r w:rsidR="00223E49" w:rsidRPr="00780E96">
        <w:t>indicated in Table</w:t>
      </w:r>
      <w:r w:rsidR="00592D9E" w:rsidRPr="00780E96">
        <w:t> </w:t>
      </w:r>
      <w:r w:rsidR="00904256" w:rsidRPr="00780E96">
        <w:t>4 above</w:t>
      </w:r>
      <w:r w:rsidR="00223E49" w:rsidRPr="00780E96">
        <w:t xml:space="preserve"> shall</w:t>
      </w:r>
      <w:r w:rsidR="00FE3F63" w:rsidRPr="00780E96">
        <w:t xml:space="preserve"> be </w:t>
      </w:r>
      <w:r w:rsidR="00E149A5" w:rsidRPr="00780E96">
        <w:t>used</w:t>
      </w:r>
      <w:r w:rsidR="00223E49" w:rsidRPr="00780E96">
        <w:t>.</w:t>
      </w:r>
      <w:r w:rsidR="00511431" w:rsidRPr="00780E96">
        <w:rPr>
          <w:rStyle w:val="FootnoteReference"/>
        </w:rPr>
        <w:footnoteReference w:id="15"/>
      </w:r>
    </w:p>
    <w:p w14:paraId="242A7B1F" w14:textId="1BE8954F" w:rsidR="0020084D" w:rsidRPr="00780E96" w:rsidRDefault="0020084D">
      <w:pPr>
        <w:pStyle w:val="SDMHead5"/>
      </w:pPr>
      <w:bookmarkStart w:id="626" w:name="_Ref215683635"/>
      <w:r w:rsidRPr="00780E96">
        <w:rPr>
          <w:lang w:eastAsia="zh-CN"/>
        </w:rPr>
        <w:t>Method</w:t>
      </w:r>
      <w:r w:rsidRPr="00780E96">
        <w:t xml:space="preserve"> </w:t>
      </w:r>
      <w:r w:rsidR="00A07847" w:rsidRPr="00780E96">
        <w:t>(</w:t>
      </w:r>
      <w:r w:rsidRPr="00780E96">
        <w:t>a): Dispatch data OM</w:t>
      </w:r>
      <w:bookmarkEnd w:id="626"/>
    </w:p>
    <w:p w14:paraId="0CC228C9" w14:textId="46236563" w:rsidR="003871B0" w:rsidRPr="00780E96" w:rsidRDefault="253AE129">
      <w:pPr>
        <w:pStyle w:val="SDMPara"/>
      </w:pPr>
      <w:bookmarkStart w:id="627" w:name="_Ref215571483"/>
      <w:r w:rsidRPr="00780E96">
        <w:t>The dispatch data</w:t>
      </w:r>
      <w:r w:rsidR="60716780" w:rsidRPr="00780E96">
        <w:t xml:space="preserve"> </w:t>
      </w:r>
      <w:r w:rsidRPr="00780E96">
        <w:t>OM emission factor (</w:t>
      </w:r>
      <w:r w:rsidRPr="00780E96">
        <w:rPr>
          <w:i/>
          <w:iCs/>
        </w:rPr>
        <w:t>EF</w:t>
      </w:r>
      <w:r w:rsidRPr="00780E96">
        <w:rPr>
          <w:i/>
          <w:iCs/>
          <w:vertAlign w:val="subscript"/>
        </w:rPr>
        <w:t>OM</w:t>
      </w:r>
      <w:r w:rsidR="02938086" w:rsidRPr="00780E96">
        <w:rPr>
          <w:i/>
          <w:iCs/>
          <w:vertAlign w:val="subscript"/>
        </w:rPr>
        <w:t>,</w:t>
      </w:r>
      <w:r w:rsidRPr="00780E96">
        <w:rPr>
          <w:i/>
          <w:iCs/>
          <w:vertAlign w:val="subscript"/>
        </w:rPr>
        <w:t>DD,t</w:t>
      </w:r>
      <w:r w:rsidRPr="00780E96">
        <w:t xml:space="preserve">) </w:t>
      </w:r>
      <w:r w:rsidR="2EBCB7D1" w:rsidRPr="00780E96">
        <w:t xml:space="preserve">shall be </w:t>
      </w:r>
      <w:r w:rsidRPr="00780E96">
        <w:t>determined based on the power units in the electricity system that are actually dispatched at the margin during each hour</w:t>
      </w:r>
      <w:r w:rsidR="26DAC6BA" w:rsidRPr="00780E96">
        <w:t> </w:t>
      </w:r>
      <w:r w:rsidRPr="00780E96">
        <w:rPr>
          <w:i/>
          <w:iCs/>
        </w:rPr>
        <w:t>h</w:t>
      </w:r>
      <w:r w:rsidRPr="00780E96">
        <w:t xml:space="preserve"> </w:t>
      </w:r>
      <w:r w:rsidR="4625C77D" w:rsidRPr="00780E96">
        <w:t xml:space="preserve">in which </w:t>
      </w:r>
      <w:r w:rsidRPr="00780E96">
        <w:t xml:space="preserve">the </w:t>
      </w:r>
      <w:r w:rsidR="00AE0F52" w:rsidRPr="00780E96">
        <w:t xml:space="preserve">Article 6.4 </w:t>
      </w:r>
      <w:r w:rsidR="00EF3D9A" w:rsidRPr="00780E96">
        <w:t>project</w:t>
      </w:r>
      <w:r w:rsidR="00D41690" w:rsidRPr="00780E96">
        <w:t xml:space="preserve"> or CP</w:t>
      </w:r>
      <w:r w:rsidRPr="00780E96">
        <w:t xml:space="preserve"> is displacing electricity in, or consuming electricity from, the electricity system. </w:t>
      </w:r>
      <w:r w:rsidR="3FAAC51E" w:rsidRPr="00780E96">
        <w:t xml:space="preserve">Accordingly, </w:t>
      </w:r>
      <w:r w:rsidRPr="00780E96">
        <w:t>the dispatch data OM emission factor shall always be determined ex</w:t>
      </w:r>
      <w:r w:rsidR="300D8E11" w:rsidRPr="00780E96">
        <w:t>-</w:t>
      </w:r>
      <w:r w:rsidRPr="00780E96">
        <w:t xml:space="preserve">post for the </w:t>
      </w:r>
      <w:r w:rsidR="3FAAC51E" w:rsidRPr="00780E96">
        <w:t xml:space="preserve">relevant </w:t>
      </w:r>
      <w:r w:rsidRPr="00780E96">
        <w:t>monitoring period.</w:t>
      </w:r>
    </w:p>
    <w:p w14:paraId="0FA3564D" w14:textId="6D7D5779" w:rsidR="001D4F38" w:rsidRPr="005A4836" w:rsidRDefault="00643E57" w:rsidP="00F62D64">
      <w:pPr>
        <w:pStyle w:val="SDMPara"/>
        <w:keepNext/>
      </w:pPr>
      <w:bookmarkStart w:id="628" w:name="_Ref219690110"/>
      <w:r w:rsidRPr="00780E96">
        <w:t xml:space="preserve">The </w:t>
      </w:r>
      <w:r w:rsidR="00DB37FB" w:rsidRPr="00780E96">
        <w:t>emission factor</w:t>
      </w:r>
      <w:r w:rsidR="000B1932" w:rsidRPr="00780E96">
        <w:t xml:space="preserve"> may be applied for both </w:t>
      </w:r>
      <w:r w:rsidR="002667AC" w:rsidRPr="00780E96">
        <w:rPr>
          <w:b/>
          <w:bCs/>
        </w:rPr>
        <w:t>case</w:t>
      </w:r>
      <w:r w:rsidR="0032799C" w:rsidRPr="00780E96">
        <w:rPr>
          <w:b/>
          <w:bCs/>
        </w:rPr>
        <w:t> </w:t>
      </w:r>
      <w:r w:rsidR="000B1932" w:rsidRPr="00780E96">
        <w:rPr>
          <w:b/>
          <w:bCs/>
        </w:rPr>
        <w:t>1</w:t>
      </w:r>
      <w:r w:rsidR="000B1932" w:rsidRPr="00780E96">
        <w:t xml:space="preserve"> and </w:t>
      </w:r>
      <w:r w:rsidR="002667AC" w:rsidRPr="00780E96">
        <w:rPr>
          <w:b/>
          <w:bCs/>
        </w:rPr>
        <w:t>case</w:t>
      </w:r>
      <w:r w:rsidR="0032799C" w:rsidRPr="00780E96">
        <w:rPr>
          <w:b/>
          <w:bCs/>
        </w:rPr>
        <w:t> </w:t>
      </w:r>
      <w:r w:rsidR="000B1932" w:rsidRPr="00780E96">
        <w:rPr>
          <w:b/>
          <w:bCs/>
        </w:rPr>
        <w:t>2</w:t>
      </w:r>
      <w:r w:rsidR="000546BC" w:rsidRPr="00780E96">
        <w:t>. It may also be applied to any type of electricity generation or consumption source</w:t>
      </w:r>
      <w:r w:rsidR="002262FF" w:rsidRPr="00780E96">
        <w:t>,</w:t>
      </w:r>
      <w:r w:rsidR="000546BC" w:rsidRPr="00780E96">
        <w:t xml:space="preserve"> including</w:t>
      </w:r>
      <w:r w:rsidR="000546BC" w:rsidRPr="00780E96" w:rsidDel="00A23520">
        <w:t xml:space="preserve"> </w:t>
      </w:r>
      <w:r w:rsidR="000546BC" w:rsidRPr="00780E96">
        <w:t xml:space="preserve">intermittent and non-intermittent electricity generation sources and electricity consumption sources depending </w:t>
      </w:r>
      <w:r w:rsidR="00A010D4" w:rsidRPr="00780E96">
        <w:t xml:space="preserve">on, </w:t>
      </w:r>
      <w:r w:rsidR="000546BC" w:rsidRPr="00780E96">
        <w:t>or not depending on</w:t>
      </w:r>
      <w:r w:rsidR="00A010D4" w:rsidRPr="00780E96">
        <w:t>,</w:t>
      </w:r>
      <w:r w:rsidR="000546BC" w:rsidRPr="00780E96">
        <w:t xml:space="preserve"> intermittent generation.</w:t>
      </w:r>
      <w:r w:rsidR="000B1932" w:rsidRPr="00780E96">
        <w:t xml:space="preserve"> However, it </w:t>
      </w:r>
      <w:r w:rsidR="00A010D4" w:rsidRPr="00780E96">
        <w:t>shall</w:t>
      </w:r>
      <w:r w:rsidR="008A26DE" w:rsidRPr="00780E96" w:rsidDel="00A010D4">
        <w:t xml:space="preserve"> </w:t>
      </w:r>
      <w:r w:rsidR="001D4F38" w:rsidRPr="00780E96">
        <w:t xml:space="preserve">be applied </w:t>
      </w:r>
      <w:r w:rsidR="00A010D4" w:rsidRPr="00780E96">
        <w:t xml:space="preserve">only </w:t>
      </w:r>
      <w:r w:rsidR="00650CFC" w:rsidRPr="00780E96">
        <w:t xml:space="preserve">where </w:t>
      </w:r>
      <w:r w:rsidR="009851C3" w:rsidRPr="00780E96">
        <w:t>power units in the electricity system are dispat</w:t>
      </w:r>
      <w:r w:rsidR="009851C3" w:rsidRPr="005A4836">
        <w:t xml:space="preserve">ched in a </w:t>
      </w:r>
      <w:r w:rsidR="00650CFC">
        <w:t xml:space="preserve">defined </w:t>
      </w:r>
      <w:r w:rsidR="009851C3" w:rsidRPr="005A4836">
        <w:t>order</w:t>
      </w:r>
      <w:r w:rsidR="0089209E" w:rsidRPr="0089209E">
        <w:t xml:space="preserve"> </w:t>
      </w:r>
      <w:r w:rsidR="0089209E" w:rsidRPr="00B024F8">
        <w:t>subject to technical, spatial, temporal,</w:t>
      </w:r>
      <w:r w:rsidR="003508B3" w:rsidRPr="005A4836">
        <w:t xml:space="preserve"> and </w:t>
      </w:r>
      <w:r w:rsidR="0089209E" w:rsidRPr="00B024F8">
        <w:t>security constraints</w:t>
      </w:r>
      <w:r w:rsidR="0089209E" w:rsidRPr="005A4836">
        <w:rPr>
          <w:rStyle w:val="FootnoteReference"/>
        </w:rPr>
        <w:t xml:space="preserve"> </w:t>
      </w:r>
      <w:r w:rsidR="00EE5896" w:rsidRPr="005A4836">
        <w:rPr>
          <w:rStyle w:val="FootnoteReference"/>
        </w:rPr>
        <w:footnoteReference w:id="16"/>
      </w:r>
      <w:r w:rsidR="003508B3" w:rsidRPr="005A4836">
        <w:t xml:space="preserve"> and</w:t>
      </w:r>
      <w:r w:rsidR="003508B3" w:rsidRPr="005A4836" w:rsidDel="00426A30">
        <w:t xml:space="preserve"> </w:t>
      </w:r>
      <w:r w:rsidR="003508B3" w:rsidRPr="005A4836">
        <w:t>data</w:t>
      </w:r>
      <w:r w:rsidR="00EE5896" w:rsidRPr="005A4836">
        <w:t xml:space="preserve"> on the dispatch order </w:t>
      </w:r>
      <w:r w:rsidR="00426A30">
        <w:t>are</w:t>
      </w:r>
      <w:r w:rsidR="00426A30" w:rsidRPr="005A4836">
        <w:t xml:space="preserve"> </w:t>
      </w:r>
      <w:r w:rsidR="00EE5896" w:rsidRPr="005A4836">
        <w:t>available</w:t>
      </w:r>
      <w:r w:rsidR="009851C3" w:rsidRPr="005A4836">
        <w:t xml:space="preserve">. </w:t>
      </w:r>
      <w:r w:rsidR="00497D95" w:rsidRPr="005A4836">
        <w:t xml:space="preserve">This </w:t>
      </w:r>
      <w:r w:rsidR="00C42CAE" w:rsidRPr="005A4836">
        <w:t>usually</w:t>
      </w:r>
      <w:r w:rsidR="00497D95" w:rsidRPr="005A4836">
        <w:t xml:space="preserve"> applies where:</w:t>
      </w:r>
      <w:bookmarkEnd w:id="627"/>
      <w:bookmarkEnd w:id="628"/>
    </w:p>
    <w:p w14:paraId="0832930E" w14:textId="4E116ED2" w:rsidR="001D4F38" w:rsidRDefault="001D4F38" w:rsidP="00A704C1">
      <w:pPr>
        <w:pStyle w:val="SDMSubPara1"/>
      </w:pPr>
      <w:r w:rsidRPr="008A26DE">
        <w:t>The electricity system has an established spot market;</w:t>
      </w:r>
      <w:r w:rsidR="00497D95">
        <w:t xml:space="preserve"> or</w:t>
      </w:r>
    </w:p>
    <w:p w14:paraId="174033B7" w14:textId="77777777" w:rsidR="00497D95" w:rsidRPr="00EB49F7" w:rsidRDefault="00D45A2D" w:rsidP="00A704C1">
      <w:pPr>
        <w:pStyle w:val="SDMSubPara1"/>
      </w:pPr>
      <w:r w:rsidRPr="00EB49F7">
        <w:t>Power units are centrally dispatched by a dispatch centre.</w:t>
      </w:r>
    </w:p>
    <w:p w14:paraId="150CACBB" w14:textId="6CF71AAE" w:rsidR="00D85375" w:rsidRPr="00780E96" w:rsidRDefault="00164643" w:rsidP="00953907">
      <w:pPr>
        <w:pStyle w:val="SDMPara"/>
      </w:pPr>
      <w:r>
        <w:t xml:space="preserve">Activity participants shall document </w:t>
      </w:r>
      <w:r w:rsidR="00A25D88">
        <w:t>and justify</w:t>
      </w:r>
      <w:r w:rsidR="00426A30">
        <w:t>,</w:t>
      </w:r>
      <w:r w:rsidR="00A25D88">
        <w:t xml:space="preserve"> </w:t>
      </w:r>
      <w:r>
        <w:t xml:space="preserve">in the </w:t>
      </w:r>
      <w:r w:rsidRPr="00780E96">
        <w:t>PDD</w:t>
      </w:r>
      <w:r w:rsidR="00E748BB" w:rsidRPr="00780E96">
        <w:t xml:space="preserve"> or CP-DD, </w:t>
      </w:r>
      <w:r w:rsidRPr="00780E96">
        <w:t>or monitoring report</w:t>
      </w:r>
      <w:r w:rsidR="4FCE0069" w:rsidRPr="00780E96">
        <w:t>s</w:t>
      </w:r>
      <w:r w:rsidRPr="00780E96">
        <w:t>, as applicabl</w:t>
      </w:r>
      <w:r w:rsidR="00F20A10" w:rsidRPr="00780E96">
        <w:t>e, that the conditions in paragraph</w:t>
      </w:r>
      <w:r w:rsidR="00C61237" w:rsidRPr="00780E96">
        <w:t> </w:t>
      </w:r>
      <w:r w:rsidR="00930818" w:rsidRPr="00780E96">
        <w:fldChar w:fldCharType="begin"/>
      </w:r>
      <w:r w:rsidR="00930818" w:rsidRPr="00780E96">
        <w:instrText xml:space="preserve"> REF _Ref219690110 \w \p \h  \* MERGEFORMAT </w:instrText>
      </w:r>
      <w:r w:rsidR="00930818" w:rsidRPr="00780E96">
        <w:fldChar w:fldCharType="separate"/>
      </w:r>
      <w:r w:rsidR="003B0135" w:rsidRPr="00780E96">
        <w:rPr>
          <w:cs/>
        </w:rPr>
        <w:t>‎</w:t>
      </w:r>
      <w:r w:rsidR="003B0135" w:rsidRPr="00780E96">
        <w:t>66 above</w:t>
      </w:r>
      <w:r w:rsidR="00930818" w:rsidRPr="00780E96">
        <w:fldChar w:fldCharType="end"/>
      </w:r>
      <w:r w:rsidR="00930818" w:rsidRPr="00780E96">
        <w:t xml:space="preserve"> </w:t>
      </w:r>
      <w:r w:rsidR="00F20A10" w:rsidRPr="00780E96">
        <w:t>are fulfilled</w:t>
      </w:r>
      <w:r w:rsidR="00A12E6B" w:rsidRPr="00780E96">
        <w:t xml:space="preserve"> and </w:t>
      </w:r>
      <w:r w:rsidR="0059477C" w:rsidRPr="00780E96">
        <w:t xml:space="preserve">shall specify the </w:t>
      </w:r>
      <w:r w:rsidR="00A12E6B" w:rsidRPr="00780E96">
        <w:t>data source</w:t>
      </w:r>
      <w:r w:rsidR="0040077C" w:rsidRPr="00780E96">
        <w:t>s</w:t>
      </w:r>
      <w:r w:rsidR="00A12E6B" w:rsidRPr="00780E96">
        <w:t xml:space="preserve"> used to </w:t>
      </w:r>
      <w:r w:rsidR="00D85375" w:rsidRPr="00780E96">
        <w:t>demonstrate this.</w:t>
      </w:r>
    </w:p>
    <w:p w14:paraId="224B2CB8" w14:textId="77777777" w:rsidR="0075500F" w:rsidRPr="00780E96" w:rsidRDefault="00590536" w:rsidP="00F62D64">
      <w:pPr>
        <w:pStyle w:val="SDMPara"/>
        <w:keepNext/>
      </w:pPr>
      <w:r w:rsidRPr="00780E96">
        <w:t>The dispatch data OM emission factor (</w:t>
      </w:r>
      <w:r w:rsidRPr="00780E96">
        <w:rPr>
          <w:i/>
          <w:iCs/>
        </w:rPr>
        <w:t>EF</w:t>
      </w:r>
      <w:r w:rsidRPr="00780E96">
        <w:rPr>
          <w:i/>
          <w:iCs/>
          <w:vertAlign w:val="subscript"/>
        </w:rPr>
        <w:t>OM</w:t>
      </w:r>
      <w:r w:rsidR="00B04625" w:rsidRPr="00780E96">
        <w:rPr>
          <w:i/>
          <w:iCs/>
          <w:vertAlign w:val="subscript"/>
        </w:rPr>
        <w:t>,</w:t>
      </w:r>
      <w:r w:rsidRPr="00780E96">
        <w:rPr>
          <w:i/>
          <w:iCs/>
          <w:vertAlign w:val="subscript"/>
        </w:rPr>
        <w:t>DD,</w:t>
      </w:r>
      <w:r w:rsidR="00D20EC0" w:rsidRPr="00780E96">
        <w:rPr>
          <w:i/>
          <w:iCs/>
          <w:vertAlign w:val="subscript"/>
        </w:rPr>
        <w:t>h</w:t>
      </w:r>
      <w:r w:rsidRPr="00780E96">
        <w:t xml:space="preserve">) </w:t>
      </w:r>
      <w:r w:rsidR="0075500F" w:rsidRPr="00780E96">
        <w:t>shall</w:t>
      </w:r>
      <w:r w:rsidRPr="00780E96">
        <w:t xml:space="preserve"> be calculated </w:t>
      </w:r>
      <w:r w:rsidR="00D20EC0" w:rsidRPr="00780E96">
        <w:t>for each hour </w:t>
      </w:r>
      <w:r w:rsidR="00D20EC0" w:rsidRPr="00780E96">
        <w:rPr>
          <w:i/>
          <w:iCs/>
        </w:rPr>
        <w:t>h</w:t>
      </w:r>
      <w:r w:rsidR="00D20EC0" w:rsidRPr="00780E96">
        <w:t xml:space="preserve"> </w:t>
      </w:r>
      <w:r w:rsidR="00047700" w:rsidRPr="00780E96">
        <w:t>of a period </w:t>
      </w:r>
      <w:r w:rsidR="00047700" w:rsidRPr="00780E96">
        <w:rPr>
          <w:i/>
          <w:iCs/>
        </w:rPr>
        <w:t>t</w:t>
      </w:r>
      <w:r w:rsidR="00047700" w:rsidRPr="00780E96">
        <w:t xml:space="preserve"> (e.g.</w:t>
      </w:r>
      <w:r w:rsidR="6DAF506D" w:rsidRPr="00780E96">
        <w:t>,</w:t>
      </w:r>
      <w:r w:rsidR="00047700" w:rsidRPr="00780E96">
        <w:t xml:space="preserve"> the monitoring period), </w:t>
      </w:r>
      <w:r w:rsidR="005B3B97" w:rsidRPr="00780E96">
        <w:t>using one of the following approaches</w:t>
      </w:r>
      <w:r w:rsidR="0075500F" w:rsidRPr="00780E96">
        <w:t>:</w:t>
      </w:r>
    </w:p>
    <w:p w14:paraId="38FF5DD2" w14:textId="3E94212D" w:rsidR="0020084D" w:rsidRPr="00780E96" w:rsidRDefault="0075500F" w:rsidP="00F62D64">
      <w:pPr>
        <w:pStyle w:val="SDMSubPara1"/>
        <w:keepNext/>
      </w:pPr>
      <w:r w:rsidRPr="00780E96">
        <w:t xml:space="preserve">Based on </w:t>
      </w:r>
      <w:r w:rsidR="0020084D" w:rsidRPr="00780E96">
        <w:t>hourly fuel consumption data</w:t>
      </w:r>
      <w:r w:rsidR="00917A4F" w:rsidRPr="00780E96">
        <w:t>,</w:t>
      </w:r>
      <w:r w:rsidR="0020084D" w:rsidRPr="00780E96">
        <w:t xml:space="preserve"> </w:t>
      </w:r>
      <w:r w:rsidR="00742746" w:rsidRPr="00780E96">
        <w:t>where</w:t>
      </w:r>
      <w:r w:rsidR="0020084D" w:rsidRPr="00780E96">
        <w:t xml:space="preserve"> available</w:t>
      </w:r>
      <w:r w:rsidR="000A2EB7" w:rsidRPr="00780E96">
        <w:t>, as follows</w:t>
      </w:r>
      <w:r w:rsidR="0020084D" w:rsidRPr="00780E96">
        <w:t>:</w:t>
      </w:r>
    </w:p>
    <w:tbl>
      <w:tblPr>
        <w:tblStyle w:val="SDMMethTableEquation"/>
        <w:tblW w:w="8137" w:type="dxa"/>
        <w:tblInd w:w="1310" w:type="dxa"/>
        <w:tblLook w:val="0600" w:firstRow="0" w:lastRow="0" w:firstColumn="0" w:lastColumn="0" w:noHBand="1" w:noVBand="1"/>
      </w:tblPr>
      <w:tblGrid>
        <w:gridCol w:w="6912"/>
        <w:gridCol w:w="1225"/>
      </w:tblGrid>
      <w:tr w:rsidR="00E5252C" w:rsidRPr="00780E96" w14:paraId="1B15D837" w14:textId="77777777" w:rsidTr="00031117">
        <w:tc>
          <w:tcPr>
            <w:tcW w:w="6912" w:type="dxa"/>
          </w:tcPr>
          <w:p w14:paraId="47D1564A" w14:textId="6EB70950" w:rsidR="00E5252C" w:rsidRPr="00780E96" w:rsidRDefault="003F6646" w:rsidP="002F0365">
            <w:pPr>
              <w:pStyle w:val="SDMMethEquation"/>
            </w:pPr>
            <m:oMathPara>
              <m:oMathParaPr>
                <m:jc m:val="left"/>
              </m:oMathParaPr>
              <m:oMath>
                <m:sSub>
                  <m:sSubPr>
                    <m:ctrlPr>
                      <w:rPr>
                        <w:rFonts w:ascii="Cambria Math" w:hAnsi="Cambria Math"/>
                        <w:i/>
                      </w:rPr>
                    </m:ctrlPr>
                  </m:sSubPr>
                  <m:e>
                    <m:r>
                      <w:rPr>
                        <w:rFonts w:ascii="Cambria Math" w:hAnsi="Cambria Math"/>
                      </w:rPr>
                      <m:t>EF</m:t>
                    </m:r>
                  </m:e>
                  <m:sub>
                    <m:r>
                      <w:rPr>
                        <w:rFonts w:ascii="Cambria Math" w:hAnsi="Cambria Math"/>
                      </w:rPr>
                      <m:t>OM,DD,h</m:t>
                    </m:r>
                  </m:sub>
                </m:sSub>
                <m:r>
                  <w:rPr>
                    <w:rFonts w:ascii="Cambria Math" w:hAnsi="Cambria Math"/>
                  </w:rPr>
                  <m:t>=</m:t>
                </m:r>
                <m:f>
                  <m:fPr>
                    <m:ctrlPr>
                      <w:rPr>
                        <w:rFonts w:ascii="Cambria Math" w:hAnsi="Cambria Math"/>
                        <w:i/>
                      </w:rPr>
                    </m:ctrlPr>
                  </m:fPr>
                  <m:num>
                    <m:nary>
                      <m:naryPr>
                        <m:chr m:val="∑"/>
                        <m:limLoc m:val="undOvr"/>
                        <m:supHide m:val="1"/>
                        <m:ctrlPr>
                          <w:rPr>
                            <w:rFonts w:ascii="Cambria Math" w:hAnsi="Cambria Math"/>
                            <w:i/>
                          </w:rPr>
                        </m:ctrlPr>
                      </m:naryPr>
                      <m:sub>
                        <m:r>
                          <w:rPr>
                            <w:rFonts w:ascii="Cambria Math" w:hAnsi="Cambria Math"/>
                          </w:rPr>
                          <m:t>i,p</m:t>
                        </m:r>
                      </m:sub>
                      <m:sup/>
                      <m:e>
                        <m:sSub>
                          <m:sSubPr>
                            <m:ctrlPr>
                              <w:rPr>
                                <w:rFonts w:ascii="Cambria Math" w:hAnsi="Cambria Math"/>
                                <w:i/>
                              </w:rPr>
                            </m:ctrlPr>
                          </m:sSubPr>
                          <m:e>
                            <m:r>
                              <w:rPr>
                                <w:rFonts w:ascii="Cambria Math" w:hAnsi="Cambria Math"/>
                              </w:rPr>
                              <m:t>FC</m:t>
                            </m:r>
                          </m:e>
                          <m:sub>
                            <m:r>
                              <w:rPr>
                                <w:rFonts w:ascii="Cambria Math" w:hAnsi="Cambria Math"/>
                              </w:rPr>
                              <m:t>i,p,h</m:t>
                            </m:r>
                          </m:sub>
                        </m:sSub>
                        <m:r>
                          <w:rPr>
                            <w:rFonts w:ascii="Cambria Math" w:hAnsi="Cambria Math"/>
                          </w:rPr>
                          <m:t>×</m:t>
                        </m:r>
                        <m:sSub>
                          <m:sSubPr>
                            <m:ctrlPr>
                              <w:rPr>
                                <w:rFonts w:ascii="Cambria Math" w:hAnsi="Cambria Math"/>
                                <w:i/>
                              </w:rPr>
                            </m:ctrlPr>
                          </m:sSubPr>
                          <m:e>
                            <m:r>
                              <w:rPr>
                                <w:rFonts w:ascii="Cambria Math" w:hAnsi="Cambria Math"/>
                              </w:rPr>
                              <m:t>NCV</m:t>
                            </m:r>
                          </m:e>
                          <m:sub>
                            <m:r>
                              <w:rPr>
                                <w:rFonts w:ascii="Cambria Math" w:hAnsi="Cambria Math"/>
                              </w:rPr>
                              <m:t>i,t</m:t>
                            </m:r>
                          </m:sub>
                        </m:sSub>
                        <m:r>
                          <w:rPr>
                            <w:rFonts w:ascii="Cambria Math" w:hAnsi="Cambria Math"/>
                          </w:rPr>
                          <m:t>×</m:t>
                        </m:r>
                        <m:sSub>
                          <m:sSubPr>
                            <m:ctrlPr>
                              <w:rPr>
                                <w:rFonts w:ascii="Cambria Math" w:hAnsi="Cambria Math"/>
                                <w:i/>
                              </w:rPr>
                            </m:ctrlPr>
                          </m:sSubPr>
                          <m:e>
                            <m:r>
                              <w:rPr>
                                <w:rFonts w:ascii="Cambria Math" w:hAnsi="Cambria Math"/>
                              </w:rPr>
                              <m:t>EF</m:t>
                            </m:r>
                          </m:e>
                          <m:sub>
                            <m:r>
                              <w:rPr>
                                <w:rFonts w:ascii="Cambria Math" w:hAnsi="Cambria Math"/>
                              </w:rPr>
                              <m:t>CO2,i,t</m:t>
                            </m:r>
                          </m:sub>
                        </m:sSub>
                      </m:e>
                    </m:nary>
                  </m:num>
                  <m:den>
                    <m:nary>
                      <m:naryPr>
                        <m:chr m:val="∑"/>
                        <m:limLoc m:val="undOvr"/>
                        <m:supHide m:val="1"/>
                        <m:ctrlPr>
                          <w:rPr>
                            <w:rFonts w:ascii="Cambria Math" w:hAnsi="Cambria Math"/>
                            <w:i/>
                          </w:rPr>
                        </m:ctrlPr>
                      </m:naryPr>
                      <m:sub>
                        <m:r>
                          <w:rPr>
                            <w:rFonts w:ascii="Cambria Math" w:hAnsi="Cambria Math"/>
                          </w:rPr>
                          <m:t>p</m:t>
                        </m:r>
                      </m:sub>
                      <m:sup/>
                      <m:e>
                        <m:sSub>
                          <m:sSubPr>
                            <m:ctrlPr>
                              <w:rPr>
                                <w:rFonts w:ascii="Cambria Math" w:hAnsi="Cambria Math"/>
                                <w:i/>
                              </w:rPr>
                            </m:ctrlPr>
                          </m:sSubPr>
                          <m:e>
                            <m:r>
                              <w:rPr>
                                <w:rFonts w:ascii="Cambria Math" w:hAnsi="Cambria Math"/>
                              </w:rPr>
                              <m:t>EG</m:t>
                            </m:r>
                          </m:e>
                          <m:sub>
                            <m:r>
                              <w:rPr>
                                <w:rFonts w:ascii="Cambria Math" w:hAnsi="Cambria Math"/>
                              </w:rPr>
                              <m:t>p,h</m:t>
                            </m:r>
                          </m:sub>
                        </m:sSub>
                      </m:e>
                    </m:nary>
                  </m:den>
                </m:f>
              </m:oMath>
            </m:oMathPara>
          </w:p>
        </w:tc>
        <w:tc>
          <w:tcPr>
            <w:tcW w:w="1225" w:type="dxa"/>
          </w:tcPr>
          <w:p w14:paraId="44E833BE" w14:textId="77777777" w:rsidR="00E5252C" w:rsidRPr="00780E96" w:rsidRDefault="00E5252C">
            <w:pPr>
              <w:pStyle w:val="SDMMethEquationNr"/>
              <w:numPr>
                <w:ilvl w:val="0"/>
                <w:numId w:val="6"/>
              </w:numPr>
            </w:pPr>
          </w:p>
        </w:tc>
      </w:tr>
    </w:tbl>
    <w:p w14:paraId="301487CE" w14:textId="77777777" w:rsidR="00E5252C" w:rsidRPr="00780E96" w:rsidRDefault="00E5252C" w:rsidP="00F62D64">
      <w:pPr>
        <w:pStyle w:val="SDMMethCaptionEquationParametersTable"/>
      </w:pPr>
      <w:r w:rsidRPr="00780E96">
        <w:t>Where:</w:t>
      </w:r>
    </w:p>
    <w:tbl>
      <w:tblPr>
        <w:tblStyle w:val="SDMMethTableEquationParameters"/>
        <w:tblW w:w="8760" w:type="dxa"/>
        <w:tblLook w:val="04A0" w:firstRow="1" w:lastRow="0" w:firstColumn="1" w:lastColumn="0" w:noHBand="0" w:noVBand="1"/>
      </w:tblPr>
      <w:tblGrid>
        <w:gridCol w:w="1701"/>
        <w:gridCol w:w="345"/>
        <w:gridCol w:w="6714"/>
      </w:tblGrid>
      <w:tr w:rsidR="0056157B" w:rsidRPr="00780E96" w14:paraId="750132A8" w14:textId="77777777" w:rsidTr="00AA7E37">
        <w:tc>
          <w:tcPr>
            <w:tcW w:w="1701" w:type="dxa"/>
            <w:vAlign w:val="top"/>
          </w:tcPr>
          <w:p w14:paraId="1EAAAACD" w14:textId="0B86B860" w:rsidR="0056157B" w:rsidRPr="00780E96" w:rsidRDefault="003F6646" w:rsidP="009C00E7">
            <w:pPr>
              <w:pStyle w:val="SDMTableBoxParaNotNumbered"/>
            </w:pPr>
            <m:oMathPara>
              <m:oMathParaPr>
                <m:jc m:val="left"/>
              </m:oMathParaPr>
              <m:oMath>
                <m:sSub>
                  <m:sSubPr>
                    <m:ctrlPr>
                      <w:rPr>
                        <w:rFonts w:ascii="Cambria Math" w:hAnsi="Cambria Math"/>
                        <w:i/>
                      </w:rPr>
                    </m:ctrlPr>
                  </m:sSubPr>
                  <m:e>
                    <m:r>
                      <w:rPr>
                        <w:rFonts w:ascii="Cambria Math" w:hAnsi="Cambria Math"/>
                      </w:rPr>
                      <m:t>EF</m:t>
                    </m:r>
                  </m:e>
                  <m:sub>
                    <m:r>
                      <w:rPr>
                        <w:rFonts w:ascii="Cambria Math" w:hAnsi="Cambria Math"/>
                      </w:rPr>
                      <m:t>OM,DD,h</m:t>
                    </m:r>
                  </m:sub>
                </m:sSub>
              </m:oMath>
            </m:oMathPara>
          </w:p>
        </w:tc>
        <w:tc>
          <w:tcPr>
            <w:tcW w:w="345" w:type="dxa"/>
            <w:vAlign w:val="top"/>
          </w:tcPr>
          <w:p w14:paraId="14674075" w14:textId="77777777" w:rsidR="0056157B" w:rsidRPr="00780E96" w:rsidRDefault="0056157B" w:rsidP="009C00E7">
            <w:pPr>
              <w:pStyle w:val="SDMTableBoxParaNotNumbered"/>
            </w:pPr>
            <w:r w:rsidRPr="00780E96">
              <w:t>=</w:t>
            </w:r>
          </w:p>
        </w:tc>
        <w:tc>
          <w:tcPr>
            <w:tcW w:w="0" w:type="auto"/>
            <w:vAlign w:val="top"/>
          </w:tcPr>
          <w:p w14:paraId="58209501" w14:textId="7B15DE63" w:rsidR="0056157B" w:rsidRPr="00780E96" w:rsidRDefault="0056157B" w:rsidP="009C00E7">
            <w:pPr>
              <w:pStyle w:val="SDMTableBoxParaNotNumbered"/>
            </w:pPr>
            <w:r w:rsidRPr="00780E96">
              <w:t>Dispatch data OM emission factor during hour </w:t>
            </w:r>
            <w:r w:rsidRPr="00780E96">
              <w:rPr>
                <w:i/>
              </w:rPr>
              <w:t>h</w:t>
            </w:r>
            <w:r w:rsidRPr="00780E96">
              <w:t xml:space="preserve"> within period </w:t>
            </w:r>
            <w:r w:rsidRPr="00780E96">
              <w:rPr>
                <w:i/>
              </w:rPr>
              <w:t xml:space="preserve">t </w:t>
            </w:r>
            <w:r w:rsidRPr="00780E96">
              <w:t>(t</w:t>
            </w:r>
            <w:r w:rsidR="006F7A0B" w:rsidRPr="00780E96">
              <w:t> </w:t>
            </w:r>
            <w:r w:rsidRPr="00780E96">
              <w:t>CO</w:t>
            </w:r>
            <w:r w:rsidRPr="00780E96">
              <w:rPr>
                <w:vertAlign w:val="subscript"/>
              </w:rPr>
              <w:t>2</w:t>
            </w:r>
            <w:r w:rsidR="00F97C56" w:rsidRPr="00780E96">
              <w:t> / </w:t>
            </w:r>
            <w:r w:rsidRPr="00780E96">
              <w:t>MWh)</w:t>
            </w:r>
          </w:p>
        </w:tc>
      </w:tr>
      <w:tr w:rsidR="0056157B" w:rsidRPr="00780E96" w14:paraId="31C6C505" w14:textId="77777777" w:rsidTr="00AA7E37">
        <w:tc>
          <w:tcPr>
            <w:tcW w:w="1701" w:type="dxa"/>
            <w:vAlign w:val="top"/>
          </w:tcPr>
          <w:p w14:paraId="4A015B6E" w14:textId="0CB707CE" w:rsidR="0056157B" w:rsidRPr="00780E96" w:rsidRDefault="003F6646" w:rsidP="009C00E7">
            <w:pPr>
              <w:pStyle w:val="SDMTableBoxParaNotNumbered"/>
            </w:pPr>
            <m:oMathPara>
              <m:oMathParaPr>
                <m:jc m:val="left"/>
              </m:oMathParaPr>
              <m:oMath>
                <m:sSub>
                  <m:sSubPr>
                    <m:ctrlPr>
                      <w:rPr>
                        <w:rFonts w:ascii="Cambria Math" w:hAnsi="Cambria Math"/>
                        <w:i/>
                      </w:rPr>
                    </m:ctrlPr>
                  </m:sSubPr>
                  <m:e>
                    <m:r>
                      <w:rPr>
                        <w:rFonts w:ascii="Cambria Math" w:hAnsi="Cambria Math"/>
                      </w:rPr>
                      <m:t>FC</m:t>
                    </m:r>
                  </m:e>
                  <m:sub>
                    <m:r>
                      <w:rPr>
                        <w:rFonts w:ascii="Cambria Math" w:hAnsi="Cambria Math"/>
                      </w:rPr>
                      <m:t>i,p,h</m:t>
                    </m:r>
                  </m:sub>
                </m:sSub>
              </m:oMath>
            </m:oMathPara>
          </w:p>
        </w:tc>
        <w:tc>
          <w:tcPr>
            <w:tcW w:w="345" w:type="dxa"/>
            <w:vAlign w:val="top"/>
          </w:tcPr>
          <w:p w14:paraId="311D634D" w14:textId="77777777" w:rsidR="0056157B" w:rsidRPr="00780E96" w:rsidRDefault="0056157B" w:rsidP="009C00E7">
            <w:pPr>
              <w:pStyle w:val="SDMTableBoxParaNotNumbered"/>
            </w:pPr>
            <w:r w:rsidRPr="00780E96">
              <w:t>=</w:t>
            </w:r>
          </w:p>
        </w:tc>
        <w:tc>
          <w:tcPr>
            <w:tcW w:w="0" w:type="auto"/>
            <w:vAlign w:val="top"/>
          </w:tcPr>
          <w:p w14:paraId="2F0DF762" w14:textId="77777777" w:rsidR="009C0775" w:rsidRPr="00780E96" w:rsidRDefault="0056157B" w:rsidP="009C00E7">
            <w:pPr>
              <w:pStyle w:val="SDMTableBoxParaNotNumbered"/>
              <w:rPr>
                <w:i/>
              </w:rPr>
            </w:pPr>
            <w:r w:rsidRPr="00780E96">
              <w:t>Amount of fuel type </w:t>
            </w:r>
            <w:r w:rsidRPr="00780E96">
              <w:rPr>
                <w:i/>
              </w:rPr>
              <w:t xml:space="preserve">i </w:t>
            </w:r>
            <w:r w:rsidRPr="00780E96">
              <w:t>consumed by power unit </w:t>
            </w:r>
            <w:r w:rsidRPr="00780E96">
              <w:rPr>
                <w:i/>
              </w:rPr>
              <w:t xml:space="preserve">p </w:t>
            </w:r>
            <w:r w:rsidRPr="00780E96">
              <w:t>in hour </w:t>
            </w:r>
            <w:r w:rsidRPr="00780E96">
              <w:rPr>
                <w:i/>
              </w:rPr>
              <w:t>h</w:t>
            </w:r>
          </w:p>
          <w:p w14:paraId="4F7760BB" w14:textId="306508C3" w:rsidR="0056157B" w:rsidRPr="00780E96" w:rsidRDefault="0056157B" w:rsidP="009C00E7">
            <w:pPr>
              <w:pStyle w:val="SDMTableBoxParaNotNumbered"/>
            </w:pPr>
            <w:r w:rsidRPr="00780E96">
              <w:t>(Mass or volume unit)</w:t>
            </w:r>
          </w:p>
        </w:tc>
      </w:tr>
      <w:tr w:rsidR="0056157B" w:rsidRPr="00780E96" w14:paraId="767A6D2C" w14:textId="77777777" w:rsidTr="00AA7E37">
        <w:tc>
          <w:tcPr>
            <w:tcW w:w="1701" w:type="dxa"/>
            <w:vAlign w:val="top"/>
          </w:tcPr>
          <w:p w14:paraId="3181178D" w14:textId="3B80DAF8" w:rsidR="0056157B" w:rsidRPr="00780E96" w:rsidRDefault="003F6646" w:rsidP="009C00E7">
            <w:pPr>
              <w:pStyle w:val="SDMTableBoxParaNotNumbered"/>
            </w:pPr>
            <m:oMathPara>
              <m:oMathParaPr>
                <m:jc m:val="left"/>
              </m:oMathParaPr>
              <m:oMath>
                <m:sSub>
                  <m:sSubPr>
                    <m:ctrlPr>
                      <w:rPr>
                        <w:rFonts w:ascii="Cambria Math" w:hAnsi="Cambria Math"/>
                        <w:i/>
                      </w:rPr>
                    </m:ctrlPr>
                  </m:sSubPr>
                  <m:e>
                    <m:r>
                      <w:rPr>
                        <w:rFonts w:ascii="Cambria Math" w:hAnsi="Cambria Math"/>
                      </w:rPr>
                      <m:t>NCV</m:t>
                    </m:r>
                  </m:e>
                  <m:sub>
                    <m:r>
                      <w:rPr>
                        <w:rFonts w:ascii="Cambria Math" w:hAnsi="Cambria Math"/>
                      </w:rPr>
                      <m:t>i,t</m:t>
                    </m:r>
                  </m:sub>
                </m:sSub>
              </m:oMath>
            </m:oMathPara>
          </w:p>
        </w:tc>
        <w:tc>
          <w:tcPr>
            <w:tcW w:w="345" w:type="dxa"/>
            <w:vAlign w:val="top"/>
          </w:tcPr>
          <w:p w14:paraId="407141AE" w14:textId="77777777" w:rsidR="0056157B" w:rsidRPr="00780E96" w:rsidRDefault="0056157B" w:rsidP="009C00E7">
            <w:pPr>
              <w:pStyle w:val="SDMTableBoxParaNotNumbered"/>
            </w:pPr>
            <w:r w:rsidRPr="00780E96">
              <w:t>=</w:t>
            </w:r>
          </w:p>
        </w:tc>
        <w:tc>
          <w:tcPr>
            <w:tcW w:w="0" w:type="auto"/>
            <w:vAlign w:val="top"/>
          </w:tcPr>
          <w:p w14:paraId="61974813" w14:textId="77777777" w:rsidR="009C0775" w:rsidRPr="00780E96" w:rsidRDefault="0056157B" w:rsidP="009C00E7">
            <w:pPr>
              <w:pStyle w:val="SDMTableBoxParaNotNumbered"/>
              <w:rPr>
                <w:i/>
              </w:rPr>
            </w:pPr>
            <w:r w:rsidRPr="00780E96">
              <w:t>Net calorific value (energy content) of fuel type </w:t>
            </w:r>
            <w:r w:rsidRPr="00780E96">
              <w:rPr>
                <w:i/>
              </w:rPr>
              <w:t>i</w:t>
            </w:r>
            <w:r w:rsidRPr="00780E96">
              <w:t xml:space="preserve"> in period </w:t>
            </w:r>
            <w:r w:rsidRPr="00780E96">
              <w:rPr>
                <w:i/>
              </w:rPr>
              <w:t>t</w:t>
            </w:r>
          </w:p>
          <w:p w14:paraId="53F198A9" w14:textId="74C9C042" w:rsidR="0056157B" w:rsidRPr="00780E96" w:rsidRDefault="0056157B" w:rsidP="009C00E7">
            <w:pPr>
              <w:pStyle w:val="SDMTableBoxParaNotNumbered"/>
            </w:pPr>
            <w:r w:rsidRPr="00780E96">
              <w:t>(GJ</w:t>
            </w:r>
            <w:r w:rsidR="00F97C56" w:rsidRPr="00780E96">
              <w:t> / </w:t>
            </w:r>
            <w:r w:rsidRPr="00780E96">
              <w:t>mass or volume unit)</w:t>
            </w:r>
          </w:p>
        </w:tc>
      </w:tr>
      <w:tr w:rsidR="0056157B" w:rsidRPr="00780E96" w14:paraId="73DD5DD1" w14:textId="77777777" w:rsidTr="00AA7E37">
        <w:tc>
          <w:tcPr>
            <w:tcW w:w="1701" w:type="dxa"/>
            <w:vAlign w:val="top"/>
          </w:tcPr>
          <w:p w14:paraId="678BEEB2" w14:textId="51B6A6A0" w:rsidR="0056157B" w:rsidRPr="00780E96" w:rsidRDefault="003F6646" w:rsidP="009C00E7">
            <w:pPr>
              <w:pStyle w:val="SDMTableBoxParaNotNumbered"/>
            </w:pPr>
            <m:oMathPara>
              <m:oMathParaPr>
                <m:jc m:val="left"/>
              </m:oMathParaPr>
              <m:oMath>
                <m:sSub>
                  <m:sSubPr>
                    <m:ctrlPr>
                      <w:rPr>
                        <w:rFonts w:ascii="Cambria Math" w:hAnsi="Cambria Math"/>
                        <w:i/>
                      </w:rPr>
                    </m:ctrlPr>
                  </m:sSubPr>
                  <m:e>
                    <m:r>
                      <w:rPr>
                        <w:rFonts w:ascii="Cambria Math" w:hAnsi="Cambria Math"/>
                      </w:rPr>
                      <m:t>EF</m:t>
                    </m:r>
                  </m:e>
                  <m:sub>
                    <m:r>
                      <w:rPr>
                        <w:rFonts w:ascii="Cambria Math" w:hAnsi="Cambria Math"/>
                      </w:rPr>
                      <m:t>CO2,i,t</m:t>
                    </m:r>
                  </m:sub>
                </m:sSub>
              </m:oMath>
            </m:oMathPara>
          </w:p>
        </w:tc>
        <w:tc>
          <w:tcPr>
            <w:tcW w:w="345" w:type="dxa"/>
            <w:vAlign w:val="top"/>
          </w:tcPr>
          <w:p w14:paraId="7E510711" w14:textId="5822584B" w:rsidR="0056157B" w:rsidRPr="00780E96" w:rsidRDefault="0056157B" w:rsidP="009C00E7">
            <w:pPr>
              <w:pStyle w:val="SDMTableBoxParaNotNumbered"/>
            </w:pPr>
            <w:r w:rsidRPr="00780E96">
              <w:t>=</w:t>
            </w:r>
          </w:p>
        </w:tc>
        <w:tc>
          <w:tcPr>
            <w:tcW w:w="0" w:type="auto"/>
            <w:vAlign w:val="top"/>
          </w:tcPr>
          <w:p w14:paraId="0589004E" w14:textId="28D8A16A" w:rsidR="0056157B" w:rsidRPr="00780E96" w:rsidRDefault="0056157B" w:rsidP="009C00E7">
            <w:pPr>
              <w:pStyle w:val="SDMTableBoxParaNotNumbered"/>
            </w:pPr>
            <w:r w:rsidRPr="00780E96">
              <w:t>CO</w:t>
            </w:r>
            <w:r w:rsidRPr="00780E96">
              <w:rPr>
                <w:vertAlign w:val="subscript"/>
              </w:rPr>
              <w:t>2</w:t>
            </w:r>
            <w:r w:rsidRPr="00780E96">
              <w:t xml:space="preserve"> emission factor of fuel type </w:t>
            </w:r>
            <w:r w:rsidRPr="00780E96">
              <w:rPr>
                <w:i/>
              </w:rPr>
              <w:t>i</w:t>
            </w:r>
            <w:r w:rsidRPr="00780E96">
              <w:t xml:space="preserve"> in period </w:t>
            </w:r>
            <w:r w:rsidRPr="00780E96">
              <w:rPr>
                <w:i/>
              </w:rPr>
              <w:t>t</w:t>
            </w:r>
            <w:r w:rsidRPr="00780E96">
              <w:t xml:space="preserve"> (t</w:t>
            </w:r>
            <w:r w:rsidR="0033417D" w:rsidRPr="00780E96">
              <w:t> </w:t>
            </w:r>
            <w:r w:rsidRPr="00780E96">
              <w:t>CO</w:t>
            </w:r>
            <w:r w:rsidRPr="00780E96">
              <w:rPr>
                <w:vertAlign w:val="subscript"/>
              </w:rPr>
              <w:t>2</w:t>
            </w:r>
            <w:r w:rsidR="00F97C56" w:rsidRPr="00780E96">
              <w:t> / </w:t>
            </w:r>
            <w:r w:rsidRPr="00780E96">
              <w:t>GJ)</w:t>
            </w:r>
          </w:p>
        </w:tc>
      </w:tr>
      <w:tr w:rsidR="0056157B" w:rsidRPr="00780E96" w14:paraId="3C8EFF74" w14:textId="77777777" w:rsidTr="00AA7E37">
        <w:tc>
          <w:tcPr>
            <w:tcW w:w="1701" w:type="dxa"/>
            <w:vAlign w:val="top"/>
          </w:tcPr>
          <w:p w14:paraId="1FD1335B" w14:textId="286017CA" w:rsidR="0056157B" w:rsidRPr="00780E96" w:rsidRDefault="003F6646" w:rsidP="009C00E7">
            <w:pPr>
              <w:pStyle w:val="SDMTableBoxParaNotNumbered"/>
            </w:pPr>
            <m:oMathPara>
              <m:oMathParaPr>
                <m:jc m:val="left"/>
              </m:oMathParaPr>
              <m:oMath>
                <m:sSub>
                  <m:sSubPr>
                    <m:ctrlPr>
                      <w:rPr>
                        <w:rFonts w:ascii="Cambria Math" w:hAnsi="Cambria Math"/>
                        <w:i/>
                      </w:rPr>
                    </m:ctrlPr>
                  </m:sSubPr>
                  <m:e>
                    <m:r>
                      <w:rPr>
                        <w:rFonts w:ascii="Cambria Math" w:hAnsi="Cambria Math"/>
                      </w:rPr>
                      <m:t>EG</m:t>
                    </m:r>
                  </m:e>
                  <m:sub>
                    <m:r>
                      <w:rPr>
                        <w:rFonts w:ascii="Cambria Math" w:hAnsi="Cambria Math"/>
                      </w:rPr>
                      <m:t>p,h</m:t>
                    </m:r>
                  </m:sub>
                </m:sSub>
              </m:oMath>
            </m:oMathPara>
          </w:p>
        </w:tc>
        <w:tc>
          <w:tcPr>
            <w:tcW w:w="345" w:type="dxa"/>
            <w:vAlign w:val="top"/>
          </w:tcPr>
          <w:p w14:paraId="37ABF583" w14:textId="38A21B4D" w:rsidR="0056157B" w:rsidRPr="00780E96" w:rsidRDefault="0056157B" w:rsidP="009C00E7">
            <w:pPr>
              <w:pStyle w:val="SDMTableBoxParaNotNumbered"/>
            </w:pPr>
            <w:r w:rsidRPr="00780E96">
              <w:t>=</w:t>
            </w:r>
          </w:p>
        </w:tc>
        <w:tc>
          <w:tcPr>
            <w:tcW w:w="0" w:type="auto"/>
            <w:vAlign w:val="top"/>
          </w:tcPr>
          <w:p w14:paraId="5AF6790E" w14:textId="73AC96F9" w:rsidR="0056157B" w:rsidRPr="00780E96" w:rsidRDefault="0056157B" w:rsidP="009C00E7">
            <w:pPr>
              <w:pStyle w:val="SDMTableBoxParaNotNumbered"/>
            </w:pPr>
            <w:r w:rsidRPr="00780E96">
              <w:t>Net electricity generated and delivered by power unit </w:t>
            </w:r>
            <w:r w:rsidRPr="00780E96">
              <w:rPr>
                <w:i/>
              </w:rPr>
              <w:t xml:space="preserve">p </w:t>
            </w:r>
            <w:r w:rsidRPr="00780E96">
              <w:t>to the electricity system in hour </w:t>
            </w:r>
            <w:r w:rsidRPr="00780E96">
              <w:rPr>
                <w:i/>
              </w:rPr>
              <w:t xml:space="preserve">h </w:t>
            </w:r>
            <w:r w:rsidRPr="00780E96">
              <w:t>(MWh)</w:t>
            </w:r>
          </w:p>
        </w:tc>
      </w:tr>
      <w:tr w:rsidR="0056157B" w:rsidRPr="00780E96" w14:paraId="563BDA97" w14:textId="77777777" w:rsidTr="00AA7E37">
        <w:tc>
          <w:tcPr>
            <w:tcW w:w="1701" w:type="dxa"/>
            <w:vAlign w:val="top"/>
          </w:tcPr>
          <w:p w14:paraId="5DB82C0D" w14:textId="46D3280F" w:rsidR="0056157B" w:rsidRPr="00780E96" w:rsidRDefault="0056157B" w:rsidP="009C00E7">
            <w:pPr>
              <w:pStyle w:val="SDMTableBoxParaNotNumbered"/>
            </w:pPr>
            <m:oMathPara>
              <m:oMathParaPr>
                <m:jc m:val="left"/>
              </m:oMathParaPr>
              <m:oMath>
                <m:r>
                  <w:rPr>
                    <w:rFonts w:ascii="Cambria Math" w:hAnsi="Cambria Math"/>
                  </w:rPr>
                  <m:t>p</m:t>
                </m:r>
              </m:oMath>
            </m:oMathPara>
          </w:p>
        </w:tc>
        <w:tc>
          <w:tcPr>
            <w:tcW w:w="345" w:type="dxa"/>
            <w:vAlign w:val="top"/>
          </w:tcPr>
          <w:p w14:paraId="7D7EC81C" w14:textId="3DFE1B96" w:rsidR="0056157B" w:rsidRPr="00780E96" w:rsidRDefault="0056157B" w:rsidP="009C00E7">
            <w:pPr>
              <w:pStyle w:val="SDMTableBoxParaNotNumbered"/>
            </w:pPr>
            <w:r w:rsidRPr="00780E96">
              <w:t>=</w:t>
            </w:r>
          </w:p>
        </w:tc>
        <w:tc>
          <w:tcPr>
            <w:tcW w:w="0" w:type="auto"/>
            <w:vAlign w:val="top"/>
          </w:tcPr>
          <w:p w14:paraId="03CFCEC4" w14:textId="3F28CCB6" w:rsidR="0056157B" w:rsidRPr="00780E96" w:rsidRDefault="0056157B" w:rsidP="009C00E7">
            <w:pPr>
              <w:pStyle w:val="SDMTableBoxParaNotNumbered"/>
            </w:pPr>
            <w:r w:rsidRPr="00780E96">
              <w:t>Power units in the electricity system that operate within the top of the dispatch order in hour </w:t>
            </w:r>
            <w:r w:rsidRPr="00780E96">
              <w:rPr>
                <w:i/>
              </w:rPr>
              <w:t>h</w:t>
            </w:r>
            <w:r w:rsidRPr="00780E96">
              <w:t xml:space="preserve"> (as defined below)</w:t>
            </w:r>
          </w:p>
        </w:tc>
      </w:tr>
      <w:tr w:rsidR="0056157B" w:rsidRPr="00780E96" w14:paraId="7F250399" w14:textId="77777777" w:rsidTr="00AA7E37">
        <w:tc>
          <w:tcPr>
            <w:tcW w:w="1701" w:type="dxa"/>
            <w:vAlign w:val="top"/>
          </w:tcPr>
          <w:p w14:paraId="007D1D63" w14:textId="4B649339" w:rsidR="0056157B" w:rsidRPr="00780E96" w:rsidRDefault="0056157B" w:rsidP="009C00E7">
            <w:pPr>
              <w:pStyle w:val="SDMTableBoxParaNotNumbered"/>
            </w:pPr>
            <m:oMathPara>
              <m:oMathParaPr>
                <m:jc m:val="left"/>
              </m:oMathParaPr>
              <m:oMath>
                <m:r>
                  <w:rPr>
                    <w:rFonts w:ascii="Cambria Math" w:hAnsi="Cambria Math"/>
                  </w:rPr>
                  <m:t>i</m:t>
                </m:r>
              </m:oMath>
            </m:oMathPara>
          </w:p>
        </w:tc>
        <w:tc>
          <w:tcPr>
            <w:tcW w:w="345" w:type="dxa"/>
            <w:vAlign w:val="top"/>
          </w:tcPr>
          <w:p w14:paraId="5ADD03AE" w14:textId="58750F53" w:rsidR="0056157B" w:rsidRPr="00780E96" w:rsidRDefault="0056157B" w:rsidP="009C00E7">
            <w:pPr>
              <w:pStyle w:val="SDMTableBoxParaNotNumbered"/>
            </w:pPr>
            <w:r w:rsidRPr="00780E96">
              <w:t>=</w:t>
            </w:r>
          </w:p>
        </w:tc>
        <w:tc>
          <w:tcPr>
            <w:tcW w:w="0" w:type="auto"/>
            <w:vAlign w:val="top"/>
          </w:tcPr>
          <w:p w14:paraId="6BE30433" w14:textId="1B423E82" w:rsidR="0056157B" w:rsidRPr="00780E96" w:rsidRDefault="0056157B" w:rsidP="009C00E7">
            <w:pPr>
              <w:pStyle w:val="SDMTableBoxParaNotNumbered"/>
            </w:pPr>
            <w:r w:rsidRPr="00780E96">
              <w:t>Fuel types combusted in power unit </w:t>
            </w:r>
            <w:r w:rsidRPr="00780E96">
              <w:rPr>
                <w:i/>
              </w:rPr>
              <w:t>p</w:t>
            </w:r>
            <w:r w:rsidRPr="00780E96">
              <w:t xml:space="preserve"> in period </w:t>
            </w:r>
            <w:r w:rsidRPr="00780E96">
              <w:rPr>
                <w:i/>
              </w:rPr>
              <w:t>t</w:t>
            </w:r>
          </w:p>
        </w:tc>
      </w:tr>
      <w:tr w:rsidR="0056157B" w:rsidRPr="00780E96" w14:paraId="1F59303C" w14:textId="77777777" w:rsidTr="00AA7E37">
        <w:tc>
          <w:tcPr>
            <w:tcW w:w="1701" w:type="dxa"/>
            <w:vAlign w:val="top"/>
          </w:tcPr>
          <w:p w14:paraId="7BD63866" w14:textId="453E51E8" w:rsidR="0056157B" w:rsidRPr="00780E96" w:rsidRDefault="0056157B" w:rsidP="009C00E7">
            <w:pPr>
              <w:pStyle w:val="SDMTableBoxParaNotNumbered"/>
            </w:pPr>
            <m:oMathPara>
              <m:oMathParaPr>
                <m:jc m:val="left"/>
              </m:oMathParaPr>
              <m:oMath>
                <m:r>
                  <w:rPr>
                    <w:rFonts w:ascii="Cambria Math" w:hAnsi="Cambria Math"/>
                  </w:rPr>
                  <m:t>h</m:t>
                </m:r>
              </m:oMath>
            </m:oMathPara>
          </w:p>
        </w:tc>
        <w:tc>
          <w:tcPr>
            <w:tcW w:w="345" w:type="dxa"/>
            <w:vAlign w:val="top"/>
          </w:tcPr>
          <w:p w14:paraId="643EA214" w14:textId="1DD9C815" w:rsidR="0056157B" w:rsidRPr="00780E96" w:rsidRDefault="0056157B" w:rsidP="009C00E7">
            <w:pPr>
              <w:pStyle w:val="SDMTableBoxParaNotNumbered"/>
            </w:pPr>
            <w:r w:rsidRPr="00780E96">
              <w:t>=</w:t>
            </w:r>
          </w:p>
        </w:tc>
        <w:tc>
          <w:tcPr>
            <w:tcW w:w="0" w:type="auto"/>
            <w:vAlign w:val="top"/>
          </w:tcPr>
          <w:p w14:paraId="51DCD160" w14:textId="7042751E" w:rsidR="0056157B" w:rsidRPr="00780E96" w:rsidRDefault="0056157B" w:rsidP="009C00E7">
            <w:pPr>
              <w:pStyle w:val="SDMTableBoxParaNotNumbered"/>
            </w:pPr>
            <w:r w:rsidRPr="00780E96">
              <w:t>Hours in period </w:t>
            </w:r>
            <w:r w:rsidRPr="00780E96">
              <w:rPr>
                <w:i/>
              </w:rPr>
              <w:t>t</w:t>
            </w:r>
            <w:r w:rsidRPr="00780E96">
              <w:t xml:space="preserve"> in which the Article 6.4 </w:t>
            </w:r>
            <w:r w:rsidR="00A22F29" w:rsidRPr="00780E96">
              <w:t xml:space="preserve">project or CP </w:t>
            </w:r>
            <w:r w:rsidRPr="00780E96">
              <w:t>is displacing electricity in, or consuming electricity from, the electricity system</w:t>
            </w:r>
          </w:p>
        </w:tc>
      </w:tr>
      <w:tr w:rsidR="0056157B" w:rsidRPr="00780E96" w14:paraId="204026EF" w14:textId="77777777" w:rsidTr="00AA7E37">
        <w:tc>
          <w:tcPr>
            <w:tcW w:w="1701" w:type="dxa"/>
            <w:vAlign w:val="top"/>
          </w:tcPr>
          <w:p w14:paraId="12F12F48" w14:textId="472C55A3" w:rsidR="0056157B" w:rsidRPr="00780E96" w:rsidRDefault="0056157B" w:rsidP="009C00E7">
            <w:pPr>
              <w:pStyle w:val="SDMTableBoxParaNotNumbered"/>
            </w:pPr>
            <m:oMathPara>
              <m:oMathParaPr>
                <m:jc m:val="left"/>
              </m:oMathParaPr>
              <m:oMath>
                <m:r>
                  <w:rPr>
                    <w:rFonts w:ascii="Cambria Math" w:hAnsi="Cambria Math"/>
                  </w:rPr>
                  <m:t>t</m:t>
                </m:r>
              </m:oMath>
            </m:oMathPara>
          </w:p>
        </w:tc>
        <w:tc>
          <w:tcPr>
            <w:tcW w:w="345" w:type="dxa"/>
            <w:vAlign w:val="top"/>
          </w:tcPr>
          <w:p w14:paraId="49AF9427" w14:textId="46DD9ACE" w:rsidR="0056157B" w:rsidRPr="00780E96" w:rsidRDefault="0056157B" w:rsidP="009C00E7">
            <w:pPr>
              <w:pStyle w:val="SDMTableBoxParaNotNumbered"/>
            </w:pPr>
            <w:r w:rsidRPr="00780E96">
              <w:t>=</w:t>
            </w:r>
          </w:p>
        </w:tc>
        <w:tc>
          <w:tcPr>
            <w:tcW w:w="0" w:type="auto"/>
            <w:vAlign w:val="top"/>
          </w:tcPr>
          <w:p w14:paraId="6FD38271" w14:textId="21E245A5" w:rsidR="0056157B" w:rsidRPr="00780E96" w:rsidRDefault="0056157B" w:rsidP="009C00E7">
            <w:pPr>
              <w:pStyle w:val="SDMTableBoxParaNotNumbered"/>
            </w:pPr>
            <w:r w:rsidRPr="00780E96">
              <w:t>Period for which emissions from displacing electricity in, or consuming electricity from, the electricity system are quantified</w:t>
            </w:r>
          </w:p>
        </w:tc>
      </w:tr>
    </w:tbl>
    <w:p w14:paraId="030C3E0D" w14:textId="77777777" w:rsidR="0020084D" w:rsidRPr="00780E96" w:rsidRDefault="000B5223" w:rsidP="00F62D64">
      <w:pPr>
        <w:pStyle w:val="SDMSubPara1"/>
        <w:keepNext/>
      </w:pPr>
      <w:r w:rsidRPr="00780E96">
        <w:t>B</w:t>
      </w:r>
      <w:r w:rsidR="0020084D" w:rsidRPr="00780E96">
        <w:t>ased on the</w:t>
      </w:r>
      <w:r w:rsidR="00F206D8" w:rsidRPr="00780E96">
        <w:t xml:space="preserve"> </w:t>
      </w:r>
      <w:r w:rsidR="003C2BE5" w:rsidRPr="00780E96">
        <w:t>net electricity generation of each power unit</w:t>
      </w:r>
      <w:r w:rsidR="007550D0" w:rsidRPr="00780E96">
        <w:t> </w:t>
      </w:r>
      <w:r w:rsidR="003C2BE5" w:rsidRPr="00780E96">
        <w:rPr>
          <w:i/>
          <w:iCs/>
        </w:rPr>
        <w:t>p</w:t>
      </w:r>
      <w:r w:rsidR="003C2BE5" w:rsidRPr="00780E96">
        <w:t xml:space="preserve"> and a </w:t>
      </w:r>
      <w:r w:rsidR="00F206D8" w:rsidRPr="00780E96">
        <w:t>CO</w:t>
      </w:r>
      <w:r w:rsidR="00F206D8" w:rsidRPr="00780E96">
        <w:rPr>
          <w:vertAlign w:val="subscript"/>
        </w:rPr>
        <w:t>2</w:t>
      </w:r>
      <w:r w:rsidR="00F206D8" w:rsidRPr="00780E96">
        <w:t xml:space="preserve"> emission factor </w:t>
      </w:r>
      <w:r w:rsidR="003C2BE5" w:rsidRPr="00780E96">
        <w:t>for</w:t>
      </w:r>
      <w:r w:rsidR="00F206D8" w:rsidRPr="00780E96">
        <w:t xml:space="preserve"> each power unit</w:t>
      </w:r>
      <w:r w:rsidR="00B65523" w:rsidRPr="00780E96">
        <w:t> </w:t>
      </w:r>
      <w:r w:rsidR="003C2BE5" w:rsidRPr="00780E96">
        <w:rPr>
          <w:i/>
          <w:iCs/>
        </w:rPr>
        <w:t>p</w:t>
      </w:r>
      <w:r w:rsidR="0020084D" w:rsidRPr="00780E96">
        <w:t>, as follows:</w:t>
      </w:r>
    </w:p>
    <w:tbl>
      <w:tblPr>
        <w:tblStyle w:val="SDMMethTableEquation"/>
        <w:tblW w:w="8188" w:type="dxa"/>
        <w:tblInd w:w="1310" w:type="dxa"/>
        <w:tblLook w:val="0600" w:firstRow="0" w:lastRow="0" w:firstColumn="0" w:lastColumn="0" w:noHBand="1" w:noVBand="1"/>
      </w:tblPr>
      <w:tblGrid>
        <w:gridCol w:w="6770"/>
        <w:gridCol w:w="1418"/>
      </w:tblGrid>
      <w:tr w:rsidR="0020084D" w:rsidRPr="00780E96" w14:paraId="7BD95F6E" w14:textId="77777777" w:rsidTr="00C220BF">
        <w:tc>
          <w:tcPr>
            <w:tcW w:w="6770" w:type="dxa"/>
          </w:tcPr>
          <w:p w14:paraId="07B53DA9" w14:textId="2AF4A0DB" w:rsidR="0020084D" w:rsidRPr="00780E96" w:rsidRDefault="003F6646" w:rsidP="009C00E7">
            <w:pPr>
              <w:pStyle w:val="SDMMethEquation"/>
              <w:ind w:right="283"/>
            </w:pPr>
            <m:oMathPara>
              <m:oMathParaPr>
                <m:jc m:val="left"/>
              </m:oMathParaPr>
              <m:oMath>
                <m:sSub>
                  <m:sSubPr>
                    <m:ctrlPr>
                      <w:rPr>
                        <w:rFonts w:ascii="Cambria Math" w:hAnsi="Cambria Math"/>
                        <w:i/>
                      </w:rPr>
                    </m:ctrlPr>
                  </m:sSubPr>
                  <m:e>
                    <m:r>
                      <w:rPr>
                        <w:rFonts w:ascii="Cambria Math" w:hAnsi="Cambria Math"/>
                      </w:rPr>
                      <m:t>EF</m:t>
                    </m:r>
                  </m:e>
                  <m:sub>
                    <m:r>
                      <w:rPr>
                        <w:rFonts w:ascii="Cambria Math" w:hAnsi="Cambria Math"/>
                      </w:rPr>
                      <m:t>OM,DD,h</m:t>
                    </m:r>
                  </m:sub>
                </m:sSub>
                <m:r>
                  <w:rPr>
                    <w:rFonts w:ascii="Cambria Math" w:hAnsi="Cambria Math"/>
                  </w:rPr>
                  <m:t>=</m:t>
                </m:r>
                <m:f>
                  <m:fPr>
                    <m:ctrlPr>
                      <w:rPr>
                        <w:rFonts w:ascii="Cambria Math" w:hAnsi="Cambria Math"/>
                        <w:i/>
                      </w:rPr>
                    </m:ctrlPr>
                  </m:fPr>
                  <m:num>
                    <m:nary>
                      <m:naryPr>
                        <m:chr m:val="∑"/>
                        <m:limLoc m:val="undOvr"/>
                        <m:supHide m:val="1"/>
                        <m:ctrlPr>
                          <w:rPr>
                            <w:rFonts w:ascii="Cambria Math" w:hAnsi="Cambria Math"/>
                            <w:i/>
                          </w:rPr>
                        </m:ctrlPr>
                      </m:naryPr>
                      <m:sub>
                        <m:r>
                          <w:rPr>
                            <w:rFonts w:ascii="Cambria Math" w:hAnsi="Cambria Math"/>
                          </w:rPr>
                          <m:t>p</m:t>
                        </m:r>
                      </m:sub>
                      <m:sup/>
                      <m:e>
                        <m:sSub>
                          <m:sSubPr>
                            <m:ctrlPr>
                              <w:rPr>
                                <w:rFonts w:ascii="Cambria Math" w:hAnsi="Cambria Math"/>
                                <w:i/>
                              </w:rPr>
                            </m:ctrlPr>
                          </m:sSubPr>
                          <m:e>
                            <m:r>
                              <w:rPr>
                                <w:rFonts w:ascii="Cambria Math" w:hAnsi="Cambria Math"/>
                              </w:rPr>
                              <m:t>EG</m:t>
                            </m:r>
                          </m:e>
                          <m:sub>
                            <m:r>
                              <w:rPr>
                                <w:rFonts w:ascii="Cambria Math" w:hAnsi="Cambria Math"/>
                              </w:rPr>
                              <m:t>p,h</m:t>
                            </m:r>
                          </m:sub>
                        </m:sSub>
                        <m:r>
                          <w:rPr>
                            <w:rFonts w:ascii="Cambria Math" w:hAnsi="Cambria Math"/>
                          </w:rPr>
                          <m:t>×</m:t>
                        </m:r>
                        <m:sSub>
                          <m:sSubPr>
                            <m:ctrlPr>
                              <w:rPr>
                                <w:rFonts w:ascii="Cambria Math" w:hAnsi="Cambria Math"/>
                                <w:i/>
                              </w:rPr>
                            </m:ctrlPr>
                          </m:sSubPr>
                          <m:e>
                            <m:r>
                              <w:rPr>
                                <w:rFonts w:ascii="Cambria Math" w:hAnsi="Cambria Math"/>
                              </w:rPr>
                              <m:t>EF</m:t>
                            </m:r>
                          </m:e>
                          <m:sub>
                            <m:r>
                              <w:rPr>
                                <w:rFonts w:ascii="Cambria Math" w:hAnsi="Cambria Math"/>
                              </w:rPr>
                              <m:t>EL,p,t</m:t>
                            </m:r>
                          </m:sub>
                        </m:sSub>
                      </m:e>
                    </m:nary>
                  </m:num>
                  <m:den>
                    <m:nary>
                      <m:naryPr>
                        <m:chr m:val="∑"/>
                        <m:limLoc m:val="undOvr"/>
                        <m:supHide m:val="1"/>
                        <m:ctrlPr>
                          <w:rPr>
                            <w:rFonts w:ascii="Cambria Math" w:hAnsi="Cambria Math"/>
                            <w:i/>
                          </w:rPr>
                        </m:ctrlPr>
                      </m:naryPr>
                      <m:sub>
                        <m:r>
                          <w:rPr>
                            <w:rFonts w:ascii="Cambria Math" w:hAnsi="Cambria Math"/>
                          </w:rPr>
                          <m:t>p</m:t>
                        </m:r>
                      </m:sub>
                      <m:sup/>
                      <m:e>
                        <m:sSub>
                          <m:sSubPr>
                            <m:ctrlPr>
                              <w:rPr>
                                <w:rFonts w:ascii="Cambria Math" w:hAnsi="Cambria Math"/>
                                <w:i/>
                              </w:rPr>
                            </m:ctrlPr>
                          </m:sSubPr>
                          <m:e>
                            <m:r>
                              <w:rPr>
                                <w:rFonts w:ascii="Cambria Math" w:hAnsi="Cambria Math"/>
                              </w:rPr>
                              <m:t>EG</m:t>
                            </m:r>
                          </m:e>
                          <m:sub>
                            <m:r>
                              <w:rPr>
                                <w:rFonts w:ascii="Cambria Math" w:hAnsi="Cambria Math"/>
                              </w:rPr>
                              <m:t>p,h</m:t>
                            </m:r>
                          </m:sub>
                        </m:sSub>
                      </m:e>
                    </m:nary>
                  </m:den>
                </m:f>
              </m:oMath>
            </m:oMathPara>
          </w:p>
        </w:tc>
        <w:tc>
          <w:tcPr>
            <w:tcW w:w="1418" w:type="dxa"/>
          </w:tcPr>
          <w:p w14:paraId="4F0B3411" w14:textId="77777777" w:rsidR="0020084D" w:rsidRPr="00780E96" w:rsidRDefault="0020084D">
            <w:pPr>
              <w:pStyle w:val="SDMMethEquationNr"/>
              <w:numPr>
                <w:ilvl w:val="0"/>
                <w:numId w:val="6"/>
              </w:numPr>
              <w:ind w:right="283"/>
            </w:pPr>
          </w:p>
        </w:tc>
      </w:tr>
    </w:tbl>
    <w:p w14:paraId="5D2F0C20" w14:textId="77777777" w:rsidR="0020084D" w:rsidRPr="00780E96" w:rsidRDefault="0020084D" w:rsidP="00F62D64">
      <w:pPr>
        <w:pStyle w:val="SDMMethCaptionEquationParametersTable"/>
        <w:ind w:right="283"/>
        <w:jc w:val="left"/>
      </w:pPr>
      <w:r w:rsidRPr="00780E96">
        <w:t>Where:</w:t>
      </w:r>
    </w:p>
    <w:tbl>
      <w:tblPr>
        <w:tblStyle w:val="SDMMethTableEquationParameters"/>
        <w:tblW w:w="8647" w:type="dxa"/>
        <w:tblInd w:w="601" w:type="dxa"/>
        <w:tblLook w:val="04A0" w:firstRow="1" w:lastRow="0" w:firstColumn="1" w:lastColumn="0" w:noHBand="0" w:noVBand="1"/>
      </w:tblPr>
      <w:tblGrid>
        <w:gridCol w:w="1796"/>
        <w:gridCol w:w="651"/>
        <w:gridCol w:w="6200"/>
      </w:tblGrid>
      <w:tr w:rsidR="0020084D" w:rsidRPr="0038644B" w14:paraId="0153D092" w14:textId="77777777" w:rsidTr="00E70B79">
        <w:tc>
          <w:tcPr>
            <w:tcW w:w="1796" w:type="dxa"/>
            <w:vAlign w:val="top"/>
          </w:tcPr>
          <w:p w14:paraId="70F1098E" w14:textId="601447E7" w:rsidR="0020084D" w:rsidRPr="00780E96" w:rsidRDefault="003F6646" w:rsidP="00E70B79">
            <w:pPr>
              <w:pStyle w:val="SDMTableBoxParaNotNumbered"/>
              <w:ind w:right="283"/>
              <w:rPr>
                <w:i/>
                <w:vertAlign w:val="subscript"/>
              </w:rPr>
            </w:pPr>
            <m:oMathPara>
              <m:oMathParaPr>
                <m:jc m:val="left"/>
              </m:oMathParaPr>
              <m:oMath>
                <m:sSub>
                  <m:sSubPr>
                    <m:ctrlPr>
                      <w:rPr>
                        <w:rFonts w:ascii="Cambria Math" w:hAnsi="Cambria Math"/>
                        <w:i/>
                      </w:rPr>
                    </m:ctrlPr>
                  </m:sSubPr>
                  <m:e>
                    <m:r>
                      <w:rPr>
                        <w:rFonts w:ascii="Cambria Math" w:hAnsi="Cambria Math"/>
                      </w:rPr>
                      <m:t>EF</m:t>
                    </m:r>
                  </m:e>
                  <m:sub>
                    <m:r>
                      <w:rPr>
                        <w:rFonts w:ascii="Cambria Math" w:hAnsi="Cambria Math"/>
                      </w:rPr>
                      <m:t>OM,DD,h</m:t>
                    </m:r>
                  </m:sub>
                </m:sSub>
              </m:oMath>
            </m:oMathPara>
          </w:p>
        </w:tc>
        <w:tc>
          <w:tcPr>
            <w:tcW w:w="651" w:type="dxa"/>
            <w:vAlign w:val="top"/>
          </w:tcPr>
          <w:p w14:paraId="6A0875EF" w14:textId="77777777" w:rsidR="0020084D" w:rsidRPr="00780E96" w:rsidRDefault="0020084D" w:rsidP="00E70B79">
            <w:pPr>
              <w:pStyle w:val="SDMTableBoxParaNotNumbered"/>
              <w:ind w:right="283"/>
            </w:pPr>
            <w:r w:rsidRPr="00780E96">
              <w:t>=</w:t>
            </w:r>
          </w:p>
        </w:tc>
        <w:tc>
          <w:tcPr>
            <w:tcW w:w="6200" w:type="dxa"/>
            <w:vAlign w:val="top"/>
          </w:tcPr>
          <w:p w14:paraId="61A13AA6" w14:textId="46F1B82A" w:rsidR="0020084D" w:rsidRPr="0038644B" w:rsidRDefault="002376D5" w:rsidP="00E70B79">
            <w:pPr>
              <w:pStyle w:val="SDMTableBoxParaNotNumbered"/>
              <w:ind w:right="283"/>
            </w:pPr>
            <w:r w:rsidRPr="00780E96">
              <w:t xml:space="preserve">Dispatch data OM emission factor </w:t>
            </w:r>
            <w:r w:rsidR="00C22256" w:rsidRPr="00780E96">
              <w:t>during hour </w:t>
            </w:r>
            <w:r w:rsidR="00C22256" w:rsidRPr="00780E96">
              <w:rPr>
                <w:i/>
              </w:rPr>
              <w:t>h</w:t>
            </w:r>
            <w:r w:rsidR="00C22256" w:rsidRPr="00780E96">
              <w:t xml:space="preserve"> within period </w:t>
            </w:r>
            <w:r w:rsidR="00C22256" w:rsidRPr="00780E96">
              <w:rPr>
                <w:i/>
              </w:rPr>
              <w:t xml:space="preserve">t </w:t>
            </w:r>
            <w:r w:rsidR="00C22256" w:rsidRPr="00780E96">
              <w:t>(t</w:t>
            </w:r>
            <w:r w:rsidR="00B47676" w:rsidRPr="00780E96">
              <w:t> </w:t>
            </w:r>
            <w:r w:rsidR="00C22256" w:rsidRPr="00780E96">
              <w:t>CO</w:t>
            </w:r>
            <w:r w:rsidR="00C22256" w:rsidRPr="00780E96">
              <w:rPr>
                <w:vertAlign w:val="subscript"/>
              </w:rPr>
              <w:t>2</w:t>
            </w:r>
            <w:r w:rsidR="00F97C56" w:rsidRPr="00780E96">
              <w:t> / </w:t>
            </w:r>
            <w:r w:rsidR="00C22256" w:rsidRPr="00780E96">
              <w:t>MWh)</w:t>
            </w:r>
          </w:p>
        </w:tc>
      </w:tr>
      <w:tr w:rsidR="00805014" w:rsidRPr="0038644B" w14:paraId="04CBBAD4" w14:textId="77777777" w:rsidTr="00E70B79">
        <w:tc>
          <w:tcPr>
            <w:tcW w:w="1796" w:type="dxa"/>
            <w:vAlign w:val="top"/>
          </w:tcPr>
          <w:p w14:paraId="0775117D" w14:textId="0C638614" w:rsidR="00805014" w:rsidRPr="00FF26D8" w:rsidRDefault="003F6646" w:rsidP="00E70B79">
            <w:pPr>
              <w:pStyle w:val="SDMTableBoxParaNotNumbered"/>
              <w:ind w:right="283"/>
              <w:rPr>
                <w:i/>
              </w:rPr>
            </w:pPr>
            <m:oMathPara>
              <m:oMathParaPr>
                <m:jc m:val="left"/>
              </m:oMathParaPr>
              <m:oMath>
                <m:sSub>
                  <m:sSubPr>
                    <m:ctrlPr>
                      <w:rPr>
                        <w:rFonts w:ascii="Cambria Math" w:hAnsi="Cambria Math"/>
                        <w:i/>
                      </w:rPr>
                    </m:ctrlPr>
                  </m:sSubPr>
                  <m:e>
                    <m:r>
                      <w:rPr>
                        <w:rFonts w:ascii="Cambria Math" w:hAnsi="Cambria Math"/>
                      </w:rPr>
                      <m:t>EG</m:t>
                    </m:r>
                  </m:e>
                  <m:sub>
                    <m:r>
                      <w:rPr>
                        <w:rFonts w:ascii="Cambria Math" w:hAnsi="Cambria Math"/>
                      </w:rPr>
                      <m:t>p,h</m:t>
                    </m:r>
                  </m:sub>
                </m:sSub>
              </m:oMath>
            </m:oMathPara>
          </w:p>
        </w:tc>
        <w:tc>
          <w:tcPr>
            <w:tcW w:w="651" w:type="dxa"/>
            <w:vAlign w:val="top"/>
          </w:tcPr>
          <w:p w14:paraId="312C8E7A" w14:textId="77777777" w:rsidR="00805014" w:rsidRPr="0038644B" w:rsidRDefault="00805014" w:rsidP="00E70B79">
            <w:pPr>
              <w:pStyle w:val="SDMTableBoxParaNotNumbered"/>
              <w:ind w:right="283"/>
            </w:pPr>
            <w:r w:rsidRPr="0038644B">
              <w:t>=</w:t>
            </w:r>
          </w:p>
        </w:tc>
        <w:tc>
          <w:tcPr>
            <w:tcW w:w="6200" w:type="dxa"/>
            <w:vAlign w:val="top"/>
          </w:tcPr>
          <w:p w14:paraId="1562A7CA" w14:textId="77777777" w:rsidR="00805014" w:rsidRPr="0038644B" w:rsidRDefault="00805014" w:rsidP="00E70B79">
            <w:pPr>
              <w:pStyle w:val="SDMTableBoxParaNotNumbered"/>
              <w:ind w:right="283"/>
            </w:pPr>
            <w:r>
              <w:t>Net e</w:t>
            </w:r>
            <w:r w:rsidRPr="0038644B">
              <w:t>lectricity generated and delivered by power unit </w:t>
            </w:r>
            <w:r w:rsidR="00F7096D">
              <w:rPr>
                <w:i/>
              </w:rPr>
              <w:t>p</w:t>
            </w:r>
            <w:r w:rsidR="00F7096D" w:rsidRPr="0038644B">
              <w:rPr>
                <w:i/>
              </w:rPr>
              <w:t xml:space="preserve"> </w:t>
            </w:r>
            <w:r w:rsidRPr="0038644B">
              <w:t xml:space="preserve">to the </w:t>
            </w:r>
            <w:r>
              <w:t>electricity system</w:t>
            </w:r>
            <w:r w:rsidRPr="0038644B">
              <w:t xml:space="preserve"> in hour </w:t>
            </w:r>
            <w:r w:rsidRPr="0038644B">
              <w:rPr>
                <w:i/>
              </w:rPr>
              <w:t xml:space="preserve">h </w:t>
            </w:r>
            <w:r w:rsidRPr="0038644B">
              <w:t>(MWh)</w:t>
            </w:r>
          </w:p>
        </w:tc>
      </w:tr>
      <w:tr w:rsidR="0020084D" w:rsidRPr="0038644B" w14:paraId="729473E7" w14:textId="77777777" w:rsidTr="00E70B79">
        <w:tc>
          <w:tcPr>
            <w:tcW w:w="1796" w:type="dxa"/>
            <w:vAlign w:val="top"/>
          </w:tcPr>
          <w:p w14:paraId="16CB08F5" w14:textId="30FBC0B2" w:rsidR="0020084D" w:rsidRPr="00FF26D8" w:rsidRDefault="003F6646" w:rsidP="00E70B79">
            <w:pPr>
              <w:pStyle w:val="SDMTableBoxParaNotNumbered"/>
              <w:ind w:right="283"/>
              <w:rPr>
                <w:i/>
              </w:rPr>
            </w:pPr>
            <m:oMathPara>
              <m:oMathParaPr>
                <m:jc m:val="left"/>
              </m:oMathParaPr>
              <m:oMath>
                <m:sSub>
                  <m:sSubPr>
                    <m:ctrlPr>
                      <w:rPr>
                        <w:rFonts w:ascii="Cambria Math" w:hAnsi="Cambria Math" w:cs="Arial"/>
                        <w:i/>
                        <w:sz w:val="22"/>
                        <w:szCs w:val="22"/>
                      </w:rPr>
                    </m:ctrlPr>
                  </m:sSubPr>
                  <m:e>
                    <m:r>
                      <w:rPr>
                        <w:rFonts w:ascii="Cambria Math" w:hAnsi="Cambria Math"/>
                      </w:rPr>
                      <m:t>EF</m:t>
                    </m:r>
                  </m:e>
                  <m:sub>
                    <m:r>
                      <w:rPr>
                        <w:rFonts w:ascii="Cambria Math" w:hAnsi="Cambria Math"/>
                      </w:rPr>
                      <m:t>EL,p,t</m:t>
                    </m:r>
                  </m:sub>
                </m:sSub>
              </m:oMath>
            </m:oMathPara>
          </w:p>
        </w:tc>
        <w:tc>
          <w:tcPr>
            <w:tcW w:w="651" w:type="dxa"/>
            <w:vAlign w:val="top"/>
          </w:tcPr>
          <w:p w14:paraId="0623681A" w14:textId="77777777" w:rsidR="0020084D" w:rsidRPr="0038644B" w:rsidRDefault="0020084D" w:rsidP="00E70B79">
            <w:pPr>
              <w:pStyle w:val="SDMTableBoxParaNotNumbered"/>
              <w:ind w:right="283"/>
            </w:pPr>
            <w:r w:rsidRPr="0038644B">
              <w:t>=</w:t>
            </w:r>
          </w:p>
        </w:tc>
        <w:tc>
          <w:tcPr>
            <w:tcW w:w="6200" w:type="dxa"/>
            <w:vAlign w:val="top"/>
          </w:tcPr>
          <w:p w14:paraId="175D550C" w14:textId="75885726" w:rsidR="0020084D" w:rsidRPr="0038644B" w:rsidRDefault="0020084D" w:rsidP="00E70B79">
            <w:pPr>
              <w:pStyle w:val="SDMTableBoxParaNotNumbered"/>
              <w:ind w:right="283"/>
            </w:pPr>
            <w:r>
              <w:t>CO</w:t>
            </w:r>
            <w:r w:rsidRPr="00FE67D5">
              <w:rPr>
                <w:vertAlign w:val="subscript"/>
              </w:rPr>
              <w:t>2</w:t>
            </w:r>
            <w:r w:rsidRPr="0038644B">
              <w:t xml:space="preserve"> emission factor of power unit</w:t>
            </w:r>
            <w:r w:rsidR="00791CF2">
              <w:t> </w:t>
            </w:r>
            <w:r w:rsidR="00B47676">
              <w:rPr>
                <w:i/>
              </w:rPr>
              <w:t>p</w:t>
            </w:r>
            <w:r w:rsidRPr="0038644B">
              <w:t xml:space="preserve"> in </w:t>
            </w:r>
            <w:r w:rsidR="000B04F0">
              <w:t>period</w:t>
            </w:r>
            <w:r w:rsidRPr="0077016A">
              <w:t> </w:t>
            </w:r>
            <w:r w:rsidR="000B04F0">
              <w:rPr>
                <w:i/>
              </w:rPr>
              <w:t>t</w:t>
            </w:r>
            <w:r w:rsidRPr="0038644B">
              <w:t xml:space="preserve"> (t</w:t>
            </w:r>
            <w:r w:rsidR="00B47676">
              <w:t> </w:t>
            </w:r>
            <w:r>
              <w:t>CO</w:t>
            </w:r>
            <w:r w:rsidRPr="00FE67D5">
              <w:rPr>
                <w:vertAlign w:val="subscript"/>
              </w:rPr>
              <w:t>2</w:t>
            </w:r>
            <w:r w:rsidR="00F97C56">
              <w:t> / </w:t>
            </w:r>
            <w:r w:rsidRPr="0038644B">
              <w:t>MWh)</w:t>
            </w:r>
          </w:p>
        </w:tc>
      </w:tr>
      <w:tr w:rsidR="000B04F0" w:rsidRPr="0038644B" w14:paraId="307D31A8" w14:textId="77777777" w:rsidTr="00E70B79">
        <w:tc>
          <w:tcPr>
            <w:tcW w:w="1796" w:type="dxa"/>
            <w:vAlign w:val="top"/>
          </w:tcPr>
          <w:p w14:paraId="442F5280" w14:textId="77777777" w:rsidR="000B04F0" w:rsidRPr="00791CF2" w:rsidRDefault="00B47676" w:rsidP="00E70B79">
            <w:pPr>
              <w:pStyle w:val="SDMTableBoxParaNotNumbered"/>
              <w:ind w:right="283"/>
              <w:rPr>
                <w:i/>
              </w:rPr>
            </w:pPr>
            <m:oMathPara>
              <m:oMathParaPr>
                <m:jc m:val="left"/>
              </m:oMathParaPr>
              <m:oMath>
                <m:r>
                  <w:rPr>
                    <w:rFonts w:ascii="Cambria Math" w:hAnsi="Cambria Math"/>
                  </w:rPr>
                  <m:t>p</m:t>
                </m:r>
              </m:oMath>
            </m:oMathPara>
          </w:p>
        </w:tc>
        <w:tc>
          <w:tcPr>
            <w:tcW w:w="651" w:type="dxa"/>
            <w:vAlign w:val="top"/>
          </w:tcPr>
          <w:p w14:paraId="667CD82E" w14:textId="77777777" w:rsidR="000B04F0" w:rsidRPr="0038644B" w:rsidRDefault="000B04F0" w:rsidP="00E70B79">
            <w:pPr>
              <w:pStyle w:val="SDMTableBoxParaNotNumbered"/>
              <w:keepNext/>
              <w:ind w:right="283"/>
            </w:pPr>
            <w:r w:rsidRPr="0038644B">
              <w:t>=</w:t>
            </w:r>
          </w:p>
        </w:tc>
        <w:tc>
          <w:tcPr>
            <w:tcW w:w="6200" w:type="dxa"/>
            <w:vAlign w:val="top"/>
          </w:tcPr>
          <w:p w14:paraId="5E7E5B30" w14:textId="77777777" w:rsidR="000B04F0" w:rsidRPr="0038644B" w:rsidRDefault="000B04F0" w:rsidP="00E70B79">
            <w:pPr>
              <w:pStyle w:val="SDMTableBoxParaNotNumbered"/>
              <w:keepNext/>
              <w:ind w:right="283"/>
            </w:pPr>
            <w:r>
              <w:t>P</w:t>
            </w:r>
            <w:r w:rsidRPr="0038644B">
              <w:t xml:space="preserve">ower units </w:t>
            </w:r>
            <w:r>
              <w:t>in the electricity system that operate within</w:t>
            </w:r>
            <w:r w:rsidRPr="0038644B">
              <w:t xml:space="preserve"> the top of the dispatch</w:t>
            </w:r>
            <w:r>
              <w:t xml:space="preserve"> order in hour </w:t>
            </w:r>
            <w:r w:rsidRPr="00E0654F">
              <w:rPr>
                <w:i/>
              </w:rPr>
              <w:t>h</w:t>
            </w:r>
            <w:r w:rsidRPr="0038644B">
              <w:t xml:space="preserve"> (as defined below)</w:t>
            </w:r>
          </w:p>
        </w:tc>
      </w:tr>
      <w:tr w:rsidR="00B276F8" w:rsidRPr="00780E96" w14:paraId="346FCECA" w14:textId="77777777" w:rsidTr="00E70B79">
        <w:tc>
          <w:tcPr>
            <w:tcW w:w="1796" w:type="dxa"/>
            <w:vAlign w:val="top"/>
          </w:tcPr>
          <w:p w14:paraId="4DE6BF1D" w14:textId="77777777" w:rsidR="00B276F8" w:rsidRPr="00780E96" w:rsidRDefault="00B276F8" w:rsidP="00E70B79">
            <w:pPr>
              <w:pStyle w:val="SDMTableBoxParaNotNumbered"/>
              <w:ind w:right="283"/>
              <w:rPr>
                <w:i/>
              </w:rPr>
            </w:pPr>
            <m:oMathPara>
              <m:oMathParaPr>
                <m:jc m:val="left"/>
              </m:oMathParaPr>
              <m:oMath>
                <m:r>
                  <w:rPr>
                    <w:rFonts w:ascii="Cambria Math" w:hAnsi="Cambria Math"/>
                  </w:rPr>
                  <m:t>h</m:t>
                </m:r>
              </m:oMath>
            </m:oMathPara>
          </w:p>
        </w:tc>
        <w:tc>
          <w:tcPr>
            <w:tcW w:w="651" w:type="dxa"/>
            <w:vAlign w:val="top"/>
          </w:tcPr>
          <w:p w14:paraId="283EA782" w14:textId="77777777" w:rsidR="00B276F8" w:rsidRPr="00780E96" w:rsidRDefault="00B276F8" w:rsidP="00E70B79">
            <w:pPr>
              <w:pStyle w:val="SDMTableBoxParaNotNumbered"/>
              <w:ind w:right="283"/>
            </w:pPr>
            <w:r w:rsidRPr="00780E96">
              <w:t>=</w:t>
            </w:r>
          </w:p>
        </w:tc>
        <w:tc>
          <w:tcPr>
            <w:tcW w:w="6200" w:type="dxa"/>
            <w:vAlign w:val="top"/>
          </w:tcPr>
          <w:p w14:paraId="06ACF641" w14:textId="4094032C" w:rsidR="00B276F8" w:rsidRPr="00780E96" w:rsidRDefault="00B276F8" w:rsidP="00E70B79">
            <w:pPr>
              <w:pStyle w:val="SDMTableBoxParaNotNumbered"/>
              <w:ind w:right="283"/>
            </w:pPr>
            <w:r w:rsidRPr="00780E96">
              <w:t>Hours in period </w:t>
            </w:r>
            <w:r w:rsidRPr="00780E96">
              <w:rPr>
                <w:i/>
              </w:rPr>
              <w:t>t</w:t>
            </w:r>
            <w:r w:rsidRPr="00780E96">
              <w:t xml:space="preserve"> in which the Article 6.4 </w:t>
            </w:r>
            <w:r w:rsidR="00A22F29" w:rsidRPr="00780E96">
              <w:t xml:space="preserve">project or CP </w:t>
            </w:r>
            <w:r w:rsidRPr="00780E96">
              <w:t>is displacing electricity in</w:t>
            </w:r>
            <w:r w:rsidR="00B47676" w:rsidRPr="00780E96">
              <w:t>,</w:t>
            </w:r>
            <w:r w:rsidRPr="00780E96">
              <w:t xml:space="preserve"> or consuming electricity from</w:t>
            </w:r>
            <w:r w:rsidR="00B47676" w:rsidRPr="00780E96">
              <w:t>,</w:t>
            </w:r>
            <w:r w:rsidRPr="00780E96">
              <w:t xml:space="preserve"> the electricity system</w:t>
            </w:r>
          </w:p>
        </w:tc>
      </w:tr>
      <w:tr w:rsidR="00B47676" w:rsidRPr="00780E96" w14:paraId="67CB43FF" w14:textId="77777777" w:rsidTr="00E70B79">
        <w:tc>
          <w:tcPr>
            <w:tcW w:w="1796" w:type="dxa"/>
            <w:vAlign w:val="top"/>
          </w:tcPr>
          <w:p w14:paraId="405CF78B" w14:textId="77777777" w:rsidR="00B47676" w:rsidRPr="00780E96" w:rsidRDefault="00B47676" w:rsidP="00E70B79">
            <w:pPr>
              <w:pStyle w:val="SDMTableBoxParaNotNumbered"/>
              <w:ind w:right="283"/>
            </w:pPr>
            <m:oMathPara>
              <m:oMathParaPr>
                <m:jc m:val="left"/>
              </m:oMathParaPr>
              <m:oMath>
                <m:r>
                  <w:rPr>
                    <w:rFonts w:ascii="Cambria Math" w:hAnsi="Cambria Math"/>
                  </w:rPr>
                  <m:t>t</m:t>
                </m:r>
              </m:oMath>
            </m:oMathPara>
          </w:p>
        </w:tc>
        <w:tc>
          <w:tcPr>
            <w:tcW w:w="651" w:type="dxa"/>
            <w:vAlign w:val="top"/>
          </w:tcPr>
          <w:p w14:paraId="4991795F" w14:textId="77777777" w:rsidR="00B47676" w:rsidRPr="00780E96" w:rsidRDefault="00B47676" w:rsidP="00E70B79">
            <w:pPr>
              <w:pStyle w:val="SDMTableBoxParaNotNumbered"/>
              <w:ind w:right="283"/>
            </w:pPr>
            <w:r w:rsidRPr="00780E96">
              <w:t>=</w:t>
            </w:r>
          </w:p>
        </w:tc>
        <w:tc>
          <w:tcPr>
            <w:tcW w:w="6200" w:type="dxa"/>
            <w:vAlign w:val="top"/>
          </w:tcPr>
          <w:p w14:paraId="6CE9FE3C" w14:textId="07E6C726" w:rsidR="00B47676" w:rsidRPr="00780E96" w:rsidRDefault="00B47676" w:rsidP="00E70B79">
            <w:pPr>
              <w:pStyle w:val="SDMTableBoxParaNotNumbered"/>
              <w:ind w:right="283"/>
            </w:pPr>
            <w:r w:rsidRPr="00780E96">
              <w:t>Period for which emissions from displacing electricity in, or consuming electricity from, the electricity system are quantified</w:t>
            </w:r>
          </w:p>
        </w:tc>
      </w:tr>
    </w:tbl>
    <w:p w14:paraId="7BFC85BE" w14:textId="6DA819BF" w:rsidR="00D72C58" w:rsidRPr="00780E96" w:rsidRDefault="0020084D">
      <w:pPr>
        <w:pStyle w:val="SDMPara"/>
      </w:pPr>
      <w:r w:rsidRPr="00780E96">
        <w:t>The CO</w:t>
      </w:r>
      <w:r w:rsidRPr="00780E96">
        <w:rPr>
          <w:vertAlign w:val="subscript"/>
        </w:rPr>
        <w:t>2</w:t>
      </w:r>
      <w:r w:rsidRPr="00780E96">
        <w:t xml:space="preserve"> emission factor of the power units</w:t>
      </w:r>
      <w:r w:rsidR="00791CF2" w:rsidRPr="00780E96">
        <w:t> </w:t>
      </w:r>
      <w:r w:rsidR="00B47676" w:rsidRPr="00780E96">
        <w:rPr>
          <w:i/>
        </w:rPr>
        <w:t>p</w:t>
      </w:r>
      <w:r w:rsidRPr="00780E96">
        <w:t xml:space="preserve"> (</w:t>
      </w:r>
      <w:r w:rsidRPr="00780E96">
        <w:rPr>
          <w:i/>
        </w:rPr>
        <w:t>EF</w:t>
      </w:r>
      <w:r w:rsidRPr="00780E96">
        <w:rPr>
          <w:i/>
          <w:vertAlign w:val="subscript"/>
        </w:rPr>
        <w:t>EL,</w:t>
      </w:r>
      <w:r w:rsidR="00B47676" w:rsidRPr="00780E96">
        <w:rPr>
          <w:i/>
          <w:vertAlign w:val="subscript"/>
        </w:rPr>
        <w:t>p</w:t>
      </w:r>
      <w:r w:rsidRPr="00780E96">
        <w:rPr>
          <w:i/>
          <w:vertAlign w:val="subscript"/>
        </w:rPr>
        <w:t>,</w:t>
      </w:r>
      <w:r w:rsidR="00A403C4" w:rsidRPr="00780E96">
        <w:rPr>
          <w:i/>
          <w:vertAlign w:val="subscript"/>
        </w:rPr>
        <w:t>t</w:t>
      </w:r>
      <w:r w:rsidRPr="00780E96">
        <w:t xml:space="preserve">) </w:t>
      </w:r>
      <w:r w:rsidR="00A403C4" w:rsidRPr="00780E96">
        <w:t xml:space="preserve">shall </w:t>
      </w:r>
      <w:r w:rsidRPr="00780E96">
        <w:t xml:space="preserve">be determined </w:t>
      </w:r>
      <w:r w:rsidR="00917A4F" w:rsidRPr="00780E96">
        <w:t xml:space="preserve">in accordance with </w:t>
      </w:r>
      <w:r w:rsidRPr="00780E96">
        <w:t xml:space="preserve">the </w:t>
      </w:r>
      <w:r w:rsidR="00DD01EB" w:rsidRPr="00780E96">
        <w:t>provisions</w:t>
      </w:r>
      <w:r w:rsidRPr="00780E96">
        <w:t xml:space="preserve"> </w:t>
      </w:r>
      <w:r w:rsidR="003816F1" w:rsidRPr="00780E96">
        <w:t xml:space="preserve">of </w:t>
      </w:r>
      <w:r w:rsidR="00DD01EB" w:rsidRPr="00780E96">
        <w:t>section</w:t>
      </w:r>
      <w:r w:rsidR="00F71F55" w:rsidRPr="00780E96">
        <w:t xml:space="preserve"> </w:t>
      </w:r>
      <w:r w:rsidR="00BC5C1E" w:rsidRPr="00780E96">
        <w:fldChar w:fldCharType="begin"/>
      </w:r>
      <w:r w:rsidR="00BC5C1E" w:rsidRPr="00780E96">
        <w:instrText xml:space="preserve"> REF _Ref215698796 \r \h </w:instrText>
      </w:r>
      <w:r w:rsidR="00780E96">
        <w:instrText xml:space="preserve"> \* MERGEFORMAT </w:instrText>
      </w:r>
      <w:r w:rsidR="00BC5C1E" w:rsidRPr="00780E96">
        <w:fldChar w:fldCharType="separate"/>
      </w:r>
      <w:r w:rsidR="003B0135" w:rsidRPr="00780E96">
        <w:rPr>
          <w:cs/>
        </w:rPr>
        <w:t>‎</w:t>
      </w:r>
      <w:r w:rsidR="003B0135" w:rsidRPr="00780E96">
        <w:t>5.7.1.1.3</w:t>
      </w:r>
      <w:r w:rsidR="00BC5C1E" w:rsidRPr="00780E96">
        <w:fldChar w:fldCharType="end"/>
      </w:r>
      <w:r w:rsidRPr="00780E96">
        <w:t>.</w:t>
      </w:r>
    </w:p>
    <w:p w14:paraId="21A3D0BF" w14:textId="6DB01350" w:rsidR="0020084D" w:rsidRPr="00780E96" w:rsidRDefault="0020084D" w:rsidP="00F62D64">
      <w:pPr>
        <w:pStyle w:val="SDMPara"/>
        <w:keepNext/>
      </w:pPr>
      <w:r w:rsidRPr="00780E96">
        <w:t>To determine the set of power units</w:t>
      </w:r>
      <w:r w:rsidR="00791CF2" w:rsidRPr="00780E96">
        <w:t> </w:t>
      </w:r>
      <w:r w:rsidR="004B092F" w:rsidRPr="00780E96">
        <w:rPr>
          <w:i/>
        </w:rPr>
        <w:t>p</w:t>
      </w:r>
      <w:r w:rsidRPr="00780E96">
        <w:t xml:space="preserve">, </w:t>
      </w:r>
      <w:r w:rsidR="00186F24" w:rsidRPr="00780E96">
        <w:t xml:space="preserve">activity participants </w:t>
      </w:r>
      <w:r w:rsidR="00D1651C" w:rsidRPr="00780E96">
        <w:t xml:space="preserve">shall </w:t>
      </w:r>
      <w:r w:rsidRPr="00780E96">
        <w:t xml:space="preserve">obtain from </w:t>
      </w:r>
      <w:r w:rsidR="00C27BEC" w:rsidRPr="00780E96">
        <w:t xml:space="preserve">the </w:t>
      </w:r>
      <w:r w:rsidR="00D1651C" w:rsidRPr="00780E96">
        <w:t xml:space="preserve">relevant </w:t>
      </w:r>
      <w:r w:rsidRPr="00780E96">
        <w:t>dispatch centre:</w:t>
      </w:r>
    </w:p>
    <w:p w14:paraId="248BF9A5" w14:textId="16E1E5C4" w:rsidR="0020084D" w:rsidRPr="00780E96" w:rsidRDefault="0020084D" w:rsidP="00A704C1">
      <w:pPr>
        <w:pStyle w:val="SDMSubPara1"/>
      </w:pPr>
      <w:r w:rsidRPr="00780E96">
        <w:t xml:space="preserve">The </w:t>
      </w:r>
      <w:r w:rsidR="00C27BEC" w:rsidRPr="00780E96">
        <w:t xml:space="preserve">electricity </w:t>
      </w:r>
      <w:r w:rsidRPr="00780E96">
        <w:t xml:space="preserve">system dispatch order of operation for each power unit </w:t>
      </w:r>
      <w:r w:rsidR="00AA69E2" w:rsidRPr="00780E96">
        <w:t xml:space="preserve">in </w:t>
      </w:r>
      <w:r w:rsidRPr="00780E96">
        <w:t xml:space="preserve">the </w:t>
      </w:r>
      <w:r w:rsidR="00C27BEC" w:rsidRPr="00780E96">
        <w:t xml:space="preserve">electricity </w:t>
      </w:r>
      <w:r w:rsidRPr="00780E96">
        <w:t>system</w:t>
      </w:r>
      <w:r w:rsidR="00AA69E2" w:rsidRPr="00780E96">
        <w:t>,</w:t>
      </w:r>
      <w:r w:rsidRPr="00780E96">
        <w:t xml:space="preserve"> including power units from which electricity is imported; and</w:t>
      </w:r>
    </w:p>
    <w:p w14:paraId="28F4E2A5" w14:textId="7535580D" w:rsidR="0020084D" w:rsidRPr="00780E96" w:rsidRDefault="0020084D" w:rsidP="00A704C1">
      <w:pPr>
        <w:pStyle w:val="SDMSubPara1"/>
      </w:pPr>
      <w:r w:rsidRPr="00780E96">
        <w:t xml:space="preserve">The amount of </w:t>
      </w:r>
      <w:r w:rsidR="00177945" w:rsidRPr="00780E96">
        <w:t xml:space="preserve">electricity </w:t>
      </w:r>
      <w:r w:rsidRPr="00780E96">
        <w:t xml:space="preserve">(MWh) dispatched from all power units </w:t>
      </w:r>
      <w:r w:rsidR="006C5E1E" w:rsidRPr="00780E96">
        <w:t xml:space="preserve">connected to </w:t>
      </w:r>
      <w:r w:rsidRPr="00780E96">
        <w:t xml:space="preserve">the </w:t>
      </w:r>
      <w:r w:rsidR="00433ECF" w:rsidRPr="00780E96">
        <w:t xml:space="preserve">electricity </w:t>
      </w:r>
      <w:r w:rsidRPr="00780E96">
        <w:t>system during each hour</w:t>
      </w:r>
      <w:r w:rsidR="00FB78DB" w:rsidRPr="00780E96">
        <w:t> </w:t>
      </w:r>
      <w:r w:rsidRPr="00780E96">
        <w:rPr>
          <w:i/>
        </w:rPr>
        <w:t>h</w:t>
      </w:r>
      <w:r w:rsidRPr="00780E96">
        <w:t xml:space="preserve"> </w:t>
      </w:r>
      <w:r w:rsidR="00AA69E2" w:rsidRPr="00780E96">
        <w:t xml:space="preserve">in which </w:t>
      </w:r>
      <w:r w:rsidRPr="00780E96">
        <w:t xml:space="preserve">the </w:t>
      </w:r>
      <w:r w:rsidR="00C472E5" w:rsidRPr="00780E96">
        <w:t>Article 6.4 project or CP</w:t>
      </w:r>
      <w:r w:rsidRPr="00780E96">
        <w:t xml:space="preserve"> is displacing</w:t>
      </w:r>
      <w:r w:rsidR="00177945" w:rsidRPr="00780E96">
        <w:t xml:space="preserve"> or </w:t>
      </w:r>
      <w:r w:rsidRPr="00780E96">
        <w:t>consuming electricity.</w:t>
      </w:r>
    </w:p>
    <w:p w14:paraId="55A79427" w14:textId="4E7164E9" w:rsidR="00FF70B5" w:rsidRPr="00780E96" w:rsidRDefault="00177945">
      <w:pPr>
        <w:pStyle w:val="SDMPara"/>
      </w:pPr>
      <w:r w:rsidRPr="00780E96">
        <w:t xml:space="preserve">For </w:t>
      </w:r>
      <w:r w:rsidR="005A2F68" w:rsidRPr="00780E96">
        <w:t>each hour</w:t>
      </w:r>
      <w:r w:rsidR="000E2B98" w:rsidRPr="00780E96">
        <w:t> </w:t>
      </w:r>
      <w:r w:rsidR="005A2F68" w:rsidRPr="00780E96">
        <w:rPr>
          <w:i/>
          <w:iCs/>
        </w:rPr>
        <w:t>h</w:t>
      </w:r>
      <w:r w:rsidR="005A2F68" w:rsidRPr="00780E96">
        <w:t xml:space="preserve">, </w:t>
      </w:r>
      <w:r w:rsidRPr="00780E96">
        <w:t xml:space="preserve">activity participants shall </w:t>
      </w:r>
      <w:r w:rsidR="005A2F68" w:rsidRPr="00780E96">
        <w:t xml:space="preserve">stack </w:t>
      </w:r>
      <w:r w:rsidR="00F63810" w:rsidRPr="00780E96">
        <w:t xml:space="preserve">electricity generation from </w:t>
      </w:r>
      <w:r w:rsidR="005A2F68" w:rsidRPr="00780E96">
        <w:t>each power unit</w:t>
      </w:r>
      <w:r w:rsidR="00F63810" w:rsidRPr="00780E96">
        <w:t xml:space="preserve"> </w:t>
      </w:r>
      <w:r w:rsidR="00DE6EC0" w:rsidRPr="00780E96">
        <w:t xml:space="preserve">in accordance </w:t>
      </w:r>
      <w:r w:rsidR="00F63810" w:rsidRPr="00780E96">
        <w:t xml:space="preserve">with </w:t>
      </w:r>
      <w:r w:rsidR="005A2F68" w:rsidRPr="00780E96">
        <w:t xml:space="preserve">the </w:t>
      </w:r>
      <w:r w:rsidR="00EC3B32" w:rsidRPr="00780E96">
        <w:t xml:space="preserve">dispatch </w:t>
      </w:r>
      <w:r w:rsidR="005A2F68" w:rsidRPr="00780E96">
        <w:t xml:space="preserve">order. </w:t>
      </w:r>
      <w:r w:rsidR="0005471E" w:rsidRPr="00780E96">
        <w:t>T</w:t>
      </w:r>
      <w:r w:rsidR="21CE8287" w:rsidRPr="00780E96">
        <w:t>he group of power units</w:t>
      </w:r>
      <w:r w:rsidR="000E2B98" w:rsidRPr="00780E96">
        <w:t> </w:t>
      </w:r>
      <w:r w:rsidR="00670C63" w:rsidRPr="00780E96">
        <w:rPr>
          <w:i/>
          <w:iCs/>
        </w:rPr>
        <w:t>p</w:t>
      </w:r>
      <w:r w:rsidR="00670C63" w:rsidRPr="00780E96">
        <w:t xml:space="preserve"> </w:t>
      </w:r>
      <w:r w:rsidR="00DE6EC0" w:rsidRPr="00780E96">
        <w:t xml:space="preserve">at </w:t>
      </w:r>
      <w:r w:rsidR="21CE8287" w:rsidRPr="00780E96">
        <w:t xml:space="preserve">the margin </w:t>
      </w:r>
      <w:r w:rsidR="00DE6EC0" w:rsidRPr="00780E96">
        <w:t xml:space="preserve">shall </w:t>
      </w:r>
      <w:r w:rsidR="00107694" w:rsidRPr="00780E96">
        <w:t>comprise</w:t>
      </w:r>
      <w:r w:rsidR="21CE8287" w:rsidRPr="00780E96">
        <w:t xml:space="preserve"> the units </w:t>
      </w:r>
      <w:r w:rsidR="00DE6EC0" w:rsidRPr="00780E96">
        <w:t xml:space="preserve">accounting for </w:t>
      </w:r>
      <w:r w:rsidR="21CE8287" w:rsidRPr="00780E96">
        <w:t xml:space="preserve">the top </w:t>
      </w:r>
      <w:r w:rsidR="21CE8287" w:rsidRPr="00780E96">
        <w:rPr>
          <w:b/>
          <w:bCs/>
          <w:i/>
          <w:iCs/>
        </w:rPr>
        <w:t>x</w:t>
      </w:r>
      <w:r w:rsidR="000E2B98" w:rsidRPr="00780E96">
        <w:t> </w:t>
      </w:r>
      <w:r w:rsidR="21CE8287" w:rsidRPr="00780E96">
        <w:t>per cent of</w:t>
      </w:r>
      <w:r w:rsidR="008513BE" w:rsidRPr="00780E96">
        <w:t xml:space="preserve"> the</w:t>
      </w:r>
      <w:r w:rsidR="21CE8287" w:rsidRPr="00780E96">
        <w:t xml:space="preserve"> total electricity dispatched </w:t>
      </w:r>
      <w:r w:rsidR="008D00A2" w:rsidRPr="00780E96">
        <w:t>during</w:t>
      </w:r>
      <w:r w:rsidR="21CE8287" w:rsidRPr="00780E96">
        <w:t xml:space="preserve"> hour</w:t>
      </w:r>
      <w:r w:rsidR="00791CF2" w:rsidRPr="00780E96">
        <w:t> </w:t>
      </w:r>
      <w:r w:rsidR="21CE8287" w:rsidRPr="00780E96">
        <w:rPr>
          <w:i/>
          <w:iCs/>
        </w:rPr>
        <w:t>h</w:t>
      </w:r>
      <w:r w:rsidR="008D00A2" w:rsidRPr="00780E96">
        <w:rPr>
          <w:i/>
          <w:iCs/>
        </w:rPr>
        <w:t>;</w:t>
      </w:r>
      <w:r w:rsidR="007566A1" w:rsidRPr="00780E96">
        <w:t xml:space="preserve"> i.e.</w:t>
      </w:r>
      <w:r w:rsidR="67474218" w:rsidRPr="00780E96">
        <w:t>,</w:t>
      </w:r>
      <w:r w:rsidR="007566A1" w:rsidRPr="00780E96">
        <w:t xml:space="preserve"> the power units dispatched last </w:t>
      </w:r>
      <w:r w:rsidR="00D30BA5" w:rsidRPr="00780E96">
        <w:t>within the dispatch order</w:t>
      </w:r>
      <w:r w:rsidR="0020084D" w:rsidRPr="00780E96">
        <w:rPr>
          <w:i/>
          <w:iCs/>
        </w:rPr>
        <w:t>.</w:t>
      </w:r>
    </w:p>
    <w:p w14:paraId="18EB8F8F" w14:textId="4197754A" w:rsidR="0020084D" w:rsidRPr="00780E96" w:rsidRDefault="0020084D" w:rsidP="00F62D64">
      <w:pPr>
        <w:pStyle w:val="SDMPara"/>
        <w:keepNext/>
      </w:pPr>
      <w:r w:rsidRPr="00780E96">
        <w:t>The</w:t>
      </w:r>
      <w:r w:rsidRPr="00780E96" w:rsidDel="00022348">
        <w:t xml:space="preserve"> </w:t>
      </w:r>
      <w:r w:rsidR="00022348" w:rsidRPr="00780E96">
        <w:t xml:space="preserve">value </w:t>
      </w:r>
      <w:r w:rsidRPr="00780E96">
        <w:t xml:space="preserve">of </w:t>
      </w:r>
      <w:r w:rsidRPr="00780E96">
        <w:rPr>
          <w:b/>
          <w:bCs/>
        </w:rPr>
        <w:t>x</w:t>
      </w:r>
      <w:r w:rsidRPr="00780E96">
        <w:t xml:space="preserve"> shall be equal to the greater of:</w:t>
      </w:r>
    </w:p>
    <w:p w14:paraId="1FEF304D" w14:textId="658A8026" w:rsidR="0020084D" w:rsidRPr="00780E96" w:rsidRDefault="0020084D" w:rsidP="00A704C1">
      <w:pPr>
        <w:pStyle w:val="SDMSubPara1"/>
      </w:pPr>
      <w:r w:rsidRPr="00780E96">
        <w:t>10 per cent</w:t>
      </w:r>
      <w:r w:rsidR="006449B6" w:rsidRPr="00780E96">
        <w:t>, where,</w:t>
      </w:r>
      <w:r w:rsidRPr="00780E96">
        <w:t xml:space="preserve"> if 10 per cent falls on part of the generation of a </w:t>
      </w:r>
      <w:r w:rsidR="00437443" w:rsidRPr="00780E96">
        <w:t xml:space="preserve">power </w:t>
      </w:r>
      <w:r w:rsidRPr="00780E96">
        <w:t xml:space="preserve">unit, the generation of that </w:t>
      </w:r>
      <w:r w:rsidR="00437443" w:rsidRPr="00780E96">
        <w:t xml:space="preserve">power </w:t>
      </w:r>
      <w:r w:rsidRPr="00780E96">
        <w:t>unit is fully included in the calculation; or</w:t>
      </w:r>
    </w:p>
    <w:p w14:paraId="361CBB29" w14:textId="1A7FDC3E" w:rsidR="00C01CD8" w:rsidRPr="00780E96" w:rsidRDefault="0020084D" w:rsidP="00A704C1">
      <w:pPr>
        <w:pStyle w:val="SDMSubPara1"/>
      </w:pPr>
      <w:r w:rsidRPr="00780E96">
        <w:t>The quantity of electricity displaced</w:t>
      </w:r>
      <w:r w:rsidR="00437443" w:rsidRPr="00780E96">
        <w:t xml:space="preserve"> or </w:t>
      </w:r>
      <w:r w:rsidRPr="00780E96">
        <w:t xml:space="preserve">consumed by the </w:t>
      </w:r>
      <w:r w:rsidR="002F7E74" w:rsidRPr="00780E96">
        <w:t xml:space="preserve">Article 6.4 </w:t>
      </w:r>
      <w:r w:rsidR="006535C9" w:rsidRPr="00780E96">
        <w:t xml:space="preserve">project or CP </w:t>
      </w:r>
      <w:r w:rsidRPr="00780E96">
        <w:t>during hour</w:t>
      </w:r>
      <w:r w:rsidR="000E2B98" w:rsidRPr="00780E96">
        <w:t> </w:t>
      </w:r>
      <w:r w:rsidRPr="00780E96">
        <w:rPr>
          <w:i/>
          <w:iCs/>
        </w:rPr>
        <w:t>h</w:t>
      </w:r>
      <w:r w:rsidR="00E242F5" w:rsidRPr="00780E96">
        <w:rPr>
          <w:i/>
          <w:iCs/>
        </w:rPr>
        <w:t>,</w:t>
      </w:r>
      <w:r w:rsidRPr="00780E96">
        <w:t xml:space="preserve"> divided by the total electricity generation by </w:t>
      </w:r>
      <w:r w:rsidR="002F7E74" w:rsidRPr="00780E96">
        <w:t xml:space="preserve">all </w:t>
      </w:r>
      <w:r w:rsidRPr="00780E96">
        <w:t xml:space="preserve">power </w:t>
      </w:r>
      <w:r w:rsidR="00136964" w:rsidRPr="00780E96">
        <w:t>units</w:t>
      </w:r>
      <w:r w:rsidRPr="00780E96">
        <w:t xml:space="preserve"> </w:t>
      </w:r>
      <w:r w:rsidR="002F7E74" w:rsidRPr="00780E96">
        <w:t xml:space="preserve">in the electricity system </w:t>
      </w:r>
      <w:r w:rsidRPr="00780E96">
        <w:t>during that hour.</w:t>
      </w:r>
    </w:p>
    <w:p w14:paraId="0744EEC9" w14:textId="77777777" w:rsidR="00D54AE9" w:rsidRDefault="00D54AE9">
      <w:pPr>
        <w:pStyle w:val="SDMHead5"/>
        <w:rPr>
          <w:b w:val="0"/>
        </w:rPr>
      </w:pPr>
      <w:bookmarkStart w:id="629" w:name="_Ref215683293"/>
      <w:r w:rsidRPr="00791CF2">
        <w:rPr>
          <w:lang w:eastAsia="zh-CN"/>
        </w:rPr>
        <w:t>Method</w:t>
      </w:r>
      <w:r w:rsidRPr="00C43F5F">
        <w:t xml:space="preserve"> </w:t>
      </w:r>
      <w:r w:rsidR="00A07847">
        <w:t>(</w:t>
      </w:r>
      <w:r w:rsidRPr="00C43F5F">
        <w:rPr>
          <w:lang w:eastAsia="zh-CN"/>
        </w:rPr>
        <w:t>b</w:t>
      </w:r>
      <w:r w:rsidRPr="00C43F5F">
        <w:t>): Simple OM</w:t>
      </w:r>
      <w:bookmarkEnd w:id="629"/>
    </w:p>
    <w:p w14:paraId="7A895528" w14:textId="5CAB02BD" w:rsidR="00484A39" w:rsidRPr="00EB49F7" w:rsidRDefault="00630B0E">
      <w:pPr>
        <w:pStyle w:val="SDMPara"/>
      </w:pPr>
      <w:r w:rsidRPr="00EB49F7">
        <w:t>The simple OM emission factor (</w:t>
      </w:r>
      <w:r w:rsidRPr="00EB49F7">
        <w:rPr>
          <w:i/>
          <w:iCs/>
        </w:rPr>
        <w:t>EF</w:t>
      </w:r>
      <w:r w:rsidR="00EB49F7">
        <w:rPr>
          <w:i/>
          <w:iCs/>
          <w:vertAlign w:val="subscript"/>
        </w:rPr>
        <w:t>OM</w:t>
      </w:r>
      <w:r w:rsidRPr="00EB49F7">
        <w:rPr>
          <w:i/>
          <w:iCs/>
          <w:vertAlign w:val="subscript"/>
        </w:rPr>
        <w:t>,</w:t>
      </w:r>
      <w:r w:rsidR="00470A11" w:rsidRPr="00EB49F7">
        <w:rPr>
          <w:i/>
          <w:iCs/>
          <w:vertAlign w:val="subscript"/>
        </w:rPr>
        <w:t>simple</w:t>
      </w:r>
      <w:r w:rsidRPr="00EB49F7">
        <w:rPr>
          <w:i/>
          <w:iCs/>
          <w:vertAlign w:val="subscript"/>
        </w:rPr>
        <w:t>,</w:t>
      </w:r>
      <w:r w:rsidR="00217C2F">
        <w:rPr>
          <w:i/>
          <w:iCs/>
          <w:vertAlign w:val="subscript"/>
        </w:rPr>
        <w:t>y</w:t>
      </w:r>
      <w:r w:rsidRPr="00EB49F7">
        <w:t xml:space="preserve">) </w:t>
      </w:r>
      <w:r w:rsidR="006F58FC">
        <w:t>shall be</w:t>
      </w:r>
      <w:r w:rsidR="00E215B0" w:rsidRPr="00EB49F7">
        <w:t xml:space="preserve"> </w:t>
      </w:r>
      <w:r w:rsidRPr="00EB49F7">
        <w:t xml:space="preserve">determined </w:t>
      </w:r>
      <w:r w:rsidR="00200896" w:rsidRPr="00EB49F7">
        <w:t xml:space="preserve">as </w:t>
      </w:r>
      <w:r w:rsidR="00B53A2F" w:rsidRPr="00EB49F7">
        <w:t xml:space="preserve">the </w:t>
      </w:r>
      <w:r w:rsidR="00560CCC" w:rsidRPr="00EB49F7">
        <w:t>generation-</w:t>
      </w:r>
      <w:r w:rsidR="00200896" w:rsidRPr="00EB49F7">
        <w:t xml:space="preserve">weighted average </w:t>
      </w:r>
      <w:r w:rsidR="00855063" w:rsidRPr="00EB49F7">
        <w:rPr>
          <w:lang w:val="en-US"/>
        </w:rPr>
        <w:t>CO</w:t>
      </w:r>
      <w:r w:rsidR="00855063" w:rsidRPr="00EB49F7">
        <w:rPr>
          <w:vertAlign w:val="subscript"/>
          <w:lang w:val="en-US"/>
        </w:rPr>
        <w:t>2</w:t>
      </w:r>
      <w:r w:rsidR="00855063" w:rsidRPr="00EB49F7">
        <w:t xml:space="preserve"> </w:t>
      </w:r>
      <w:r w:rsidR="00200896" w:rsidRPr="00EB49F7">
        <w:t xml:space="preserve">emission factor </w:t>
      </w:r>
      <w:r w:rsidR="00BC4E58" w:rsidRPr="00EB49F7">
        <w:t>per unit of net electricity generation</w:t>
      </w:r>
      <w:r w:rsidR="00D94D39" w:rsidRPr="00EB49F7">
        <w:t xml:space="preserve"> from a</w:t>
      </w:r>
      <w:r w:rsidR="00EA1871" w:rsidRPr="00EB49F7">
        <w:t xml:space="preserve">ll </w:t>
      </w:r>
      <w:r w:rsidRPr="00EB49F7">
        <w:t xml:space="preserve">power units </w:t>
      </w:r>
      <w:r w:rsidR="00AB6DBE">
        <w:t>serving</w:t>
      </w:r>
      <w:r w:rsidR="00AB6DBE" w:rsidRPr="00EB49F7">
        <w:t xml:space="preserve"> </w:t>
      </w:r>
      <w:r w:rsidRPr="00EB49F7">
        <w:t xml:space="preserve">the electricity system that are </w:t>
      </w:r>
      <w:r w:rsidR="00200896" w:rsidRPr="00EB49F7">
        <w:t xml:space="preserve">not </w:t>
      </w:r>
      <w:r w:rsidR="00AB774F">
        <w:t>designated</w:t>
      </w:r>
      <w:r w:rsidR="00AB774F" w:rsidRPr="00EB49F7">
        <w:t xml:space="preserve"> </w:t>
      </w:r>
      <w:r w:rsidR="00200896" w:rsidRPr="00EB49F7">
        <w:t>as must-run power units.</w:t>
      </w:r>
    </w:p>
    <w:p w14:paraId="0194CBF5" w14:textId="5788D650" w:rsidR="00A00FBA" w:rsidRPr="001312D2" w:rsidRDefault="00A00FBA" w:rsidP="00F62D64">
      <w:pPr>
        <w:pStyle w:val="SDMPara"/>
        <w:keepNext/>
      </w:pPr>
      <w:bookmarkStart w:id="630" w:name="_Ref215683358"/>
      <w:bookmarkStart w:id="631" w:name="_Ref221037558"/>
      <w:r w:rsidRPr="001312D2">
        <w:t xml:space="preserve">The simple OM </w:t>
      </w:r>
      <w:r w:rsidR="002459C2">
        <w:t>emission factor</w:t>
      </w:r>
      <w:r w:rsidRPr="001312D2">
        <w:t xml:space="preserve"> </w:t>
      </w:r>
      <w:r w:rsidR="0084671B">
        <w:t>shall</w:t>
      </w:r>
      <w:r w:rsidR="0084671B" w:rsidRPr="001312D2">
        <w:t xml:space="preserve"> </w:t>
      </w:r>
      <w:r w:rsidRPr="001312D2">
        <w:t xml:space="preserve">be applied </w:t>
      </w:r>
      <w:r w:rsidR="006D185E">
        <w:t xml:space="preserve">only </w:t>
      </w:r>
      <w:r w:rsidRPr="001312D2">
        <w:t xml:space="preserve">where the </w:t>
      </w:r>
      <w:r w:rsidR="00200896" w:rsidRPr="001312D2">
        <w:t xml:space="preserve">necessary </w:t>
      </w:r>
      <w:r w:rsidRPr="001312D2">
        <w:t xml:space="preserve">data </w:t>
      </w:r>
      <w:r w:rsidR="006D185E">
        <w:t>are</w:t>
      </w:r>
      <w:r w:rsidR="006D185E" w:rsidRPr="001312D2">
        <w:t xml:space="preserve"> </w:t>
      </w:r>
      <w:r w:rsidRPr="001312D2">
        <w:t xml:space="preserve">available. </w:t>
      </w:r>
      <w:r w:rsidR="00B532D2">
        <w:t xml:space="preserve">It may be applied </w:t>
      </w:r>
      <w:r w:rsidR="00C76109">
        <w:t xml:space="preserve">to any </w:t>
      </w:r>
      <w:r w:rsidR="00444800">
        <w:t xml:space="preserve">type of </w:t>
      </w:r>
      <w:r w:rsidR="00C76109">
        <w:t>electricity generation or consumption source</w:t>
      </w:r>
      <w:r w:rsidR="006D185E">
        <w:t>,</w:t>
      </w:r>
      <w:r w:rsidR="004A38C4">
        <w:t xml:space="preserve"> including</w:t>
      </w:r>
      <w:r w:rsidR="00434D0B" w:rsidDel="00E01BDB">
        <w:t xml:space="preserve"> </w:t>
      </w:r>
      <w:r w:rsidR="00434D0B">
        <w:t xml:space="preserve">intermittent </w:t>
      </w:r>
      <w:r w:rsidR="003D08CB">
        <w:t xml:space="preserve">and non-intermittent </w:t>
      </w:r>
      <w:r w:rsidR="00434D0B">
        <w:t xml:space="preserve">electricity generation sources and electricity consumption sources depending </w:t>
      </w:r>
      <w:r w:rsidR="00E01BDB">
        <w:t xml:space="preserve">on, </w:t>
      </w:r>
      <w:r w:rsidR="003D08CB">
        <w:t xml:space="preserve">or not depending </w:t>
      </w:r>
      <w:r w:rsidR="00434D0B">
        <w:t>on</w:t>
      </w:r>
      <w:r w:rsidR="00E01BDB">
        <w:t>,</w:t>
      </w:r>
      <w:r w:rsidR="00434D0B">
        <w:t xml:space="preserve"> intermittent generation</w:t>
      </w:r>
      <w:r w:rsidR="00B532D2">
        <w:t>.</w:t>
      </w:r>
      <w:r w:rsidR="00B532D2" w:rsidRPr="001312D2">
        <w:t xml:space="preserve"> </w:t>
      </w:r>
      <w:r w:rsidRPr="001312D2">
        <w:t>In addition</w:t>
      </w:r>
      <w:r w:rsidR="00F20358" w:rsidRPr="001312D2">
        <w:t>,</w:t>
      </w:r>
      <w:r w:rsidRPr="001312D2">
        <w:t xml:space="preserve"> the </w:t>
      </w:r>
      <w:r w:rsidR="00F20358" w:rsidRPr="001312D2">
        <w:t xml:space="preserve">conditions </w:t>
      </w:r>
      <w:r w:rsidR="00541777">
        <w:t xml:space="preserve">below </w:t>
      </w:r>
      <w:r w:rsidRPr="001312D2">
        <w:t>appl</w:t>
      </w:r>
      <w:r w:rsidR="00F20358" w:rsidRPr="001312D2">
        <w:t>y</w:t>
      </w:r>
      <w:r w:rsidRPr="001312D2">
        <w:t xml:space="preserve"> for </w:t>
      </w:r>
      <w:r w:rsidR="00E01BDB" w:rsidRPr="00E01BDB">
        <w:rPr>
          <w:b/>
          <w:bCs/>
        </w:rPr>
        <w:t>case</w:t>
      </w:r>
      <w:r w:rsidR="006043FA">
        <w:rPr>
          <w:b/>
          <w:bCs/>
        </w:rPr>
        <w:t> </w:t>
      </w:r>
      <w:r w:rsidR="00C874CF" w:rsidRPr="00E01BDB">
        <w:rPr>
          <w:b/>
          <w:bCs/>
        </w:rPr>
        <w:t>1</w:t>
      </w:r>
      <w:r w:rsidR="00C874CF">
        <w:t xml:space="preserve"> and </w:t>
      </w:r>
      <w:r w:rsidR="00E01BDB" w:rsidRPr="00E01BDB">
        <w:rPr>
          <w:b/>
          <w:bCs/>
        </w:rPr>
        <w:t>case</w:t>
      </w:r>
      <w:r w:rsidR="006043FA">
        <w:rPr>
          <w:b/>
          <w:bCs/>
        </w:rPr>
        <w:t> </w:t>
      </w:r>
      <w:r w:rsidR="00C874CF" w:rsidRPr="00E01BDB">
        <w:rPr>
          <w:b/>
          <w:bCs/>
        </w:rPr>
        <w:t>2</w:t>
      </w:r>
      <w:bookmarkEnd w:id="630"/>
      <w:r w:rsidRPr="001312D2">
        <w:t>:</w:t>
      </w:r>
      <w:bookmarkEnd w:id="631"/>
    </w:p>
    <w:p w14:paraId="44612330" w14:textId="6ACCDAB4" w:rsidR="213E22FB" w:rsidRDefault="213E22FB" w:rsidP="00A704C1">
      <w:pPr>
        <w:pStyle w:val="SDMSubPara1"/>
      </w:pPr>
      <w:r>
        <w:t>For</w:t>
      </w:r>
      <w:r w:rsidDel="00E01BDB">
        <w:t xml:space="preserve"> </w:t>
      </w:r>
      <w:r w:rsidR="00E01BDB" w:rsidRPr="00B546D8">
        <w:rPr>
          <w:b/>
          <w:bCs/>
        </w:rPr>
        <w:t>case</w:t>
      </w:r>
      <w:r w:rsidR="000E2B98">
        <w:rPr>
          <w:b/>
          <w:bCs/>
        </w:rPr>
        <w:t> </w:t>
      </w:r>
      <w:r w:rsidRPr="00B546D8">
        <w:rPr>
          <w:b/>
          <w:bCs/>
        </w:rPr>
        <w:t>1</w:t>
      </w:r>
      <w:r>
        <w:t>, no further conditions apply</w:t>
      </w:r>
      <w:r w:rsidR="00E01BDB">
        <w:t>; and</w:t>
      </w:r>
    </w:p>
    <w:p w14:paraId="5D8FB038" w14:textId="2F45A1C9" w:rsidR="001916A9" w:rsidRDefault="00DB37FB" w:rsidP="00F62D64">
      <w:pPr>
        <w:pStyle w:val="SDMSubPara1"/>
        <w:keepNext/>
      </w:pPr>
      <w:r>
        <w:t xml:space="preserve">For </w:t>
      </w:r>
      <w:r w:rsidR="00E01BDB" w:rsidRPr="00B546D8">
        <w:rPr>
          <w:b/>
          <w:bCs/>
        </w:rPr>
        <w:t>case</w:t>
      </w:r>
      <w:r w:rsidR="009D679E">
        <w:rPr>
          <w:b/>
          <w:bCs/>
        </w:rPr>
        <w:t> </w:t>
      </w:r>
      <w:r w:rsidR="00C17CCC" w:rsidRPr="00B546D8">
        <w:rPr>
          <w:b/>
          <w:bCs/>
        </w:rPr>
        <w:t>2</w:t>
      </w:r>
      <w:r w:rsidR="00C17CCC" w:rsidRPr="001312D2">
        <w:t>, t</w:t>
      </w:r>
      <w:r w:rsidR="009226BA" w:rsidRPr="001312D2">
        <w:t xml:space="preserve">he simple OM </w:t>
      </w:r>
      <w:r w:rsidR="004C0881" w:rsidRPr="001312D2">
        <w:t xml:space="preserve">shall </w:t>
      </w:r>
      <w:r w:rsidR="00EA180A" w:rsidRPr="001312D2">
        <w:t xml:space="preserve">be applied </w:t>
      </w:r>
      <w:r w:rsidR="00B546D8">
        <w:t xml:space="preserve">only </w:t>
      </w:r>
      <w:r w:rsidR="00C17CCC" w:rsidRPr="001312D2">
        <w:t>if</w:t>
      </w:r>
      <w:r w:rsidR="00B546D8">
        <w:t xml:space="preserve"> one of the following conditions is met</w:t>
      </w:r>
      <w:r w:rsidR="00D14697">
        <w:t>:</w:t>
      </w:r>
    </w:p>
    <w:p w14:paraId="0B5988CF" w14:textId="18BE2375" w:rsidR="0052508E" w:rsidRDefault="00B27B2A" w:rsidP="00F62D64">
      <w:pPr>
        <w:pStyle w:val="SDMSubPara2"/>
        <w:keepNext/>
      </w:pPr>
      <w:r>
        <w:t xml:space="preserve">The number of hours in </w:t>
      </w:r>
      <w:r w:rsidR="00280AB5">
        <w:t>a calendar year</w:t>
      </w:r>
      <w:r>
        <w:t xml:space="preserve"> in which </w:t>
      </w:r>
      <w:r w:rsidR="004F2A85">
        <w:t>at least one</w:t>
      </w:r>
      <w:r w:rsidR="0052508E">
        <w:t xml:space="preserve"> of the following two conditions apply</w:t>
      </w:r>
      <w:r w:rsidR="00DD5833">
        <w:t xml:space="preserve"> is smaller than 100</w:t>
      </w:r>
      <w:r w:rsidR="0052508E">
        <w:t>:</w:t>
      </w:r>
    </w:p>
    <w:p w14:paraId="2197FC03" w14:textId="281B855D" w:rsidR="0052508E" w:rsidRPr="00F65332" w:rsidRDefault="00165632" w:rsidP="00973925">
      <w:pPr>
        <w:pStyle w:val="SDMSubPara3"/>
      </w:pPr>
      <w:r w:rsidRPr="00F65332">
        <w:t xml:space="preserve">renewable electricity generation </w:t>
      </w:r>
      <w:r w:rsidR="00962D04" w:rsidRPr="00F65332">
        <w:t xml:space="preserve">is curtailed </w:t>
      </w:r>
      <w:r w:rsidR="0041130E" w:rsidRPr="00F65332">
        <w:t xml:space="preserve">because </w:t>
      </w:r>
      <w:r w:rsidR="00226F02" w:rsidRPr="00F65332">
        <w:t>available output exceed</w:t>
      </w:r>
      <w:r w:rsidR="001B7234" w:rsidRPr="00F65332">
        <w:t>s</w:t>
      </w:r>
      <w:r w:rsidR="00226F02" w:rsidRPr="00F65332">
        <w:t xml:space="preserve"> what the electricity system could absorb</w:t>
      </w:r>
      <w:r w:rsidR="00F65332">
        <w:rPr>
          <w:rStyle w:val="FootnoteReference"/>
        </w:rPr>
        <w:footnoteReference w:id="17"/>
      </w:r>
      <w:r w:rsidR="0052508E" w:rsidRPr="00F65332">
        <w:t>;</w:t>
      </w:r>
      <w:r w:rsidR="00C11491" w:rsidRPr="00F65332">
        <w:t xml:space="preserve"> </w:t>
      </w:r>
      <w:r w:rsidR="0052508E" w:rsidRPr="00F65332">
        <w:t>or</w:t>
      </w:r>
    </w:p>
    <w:p w14:paraId="6C683A18" w14:textId="1FDAA27B" w:rsidR="003103FB" w:rsidRPr="004D0AE8" w:rsidRDefault="0052508E" w:rsidP="00F65332">
      <w:pPr>
        <w:pStyle w:val="SDMSubPara3"/>
      </w:pPr>
      <w:r>
        <w:t>th</w:t>
      </w:r>
      <w:r w:rsidR="00C11491" w:rsidRPr="001312D2">
        <w:t xml:space="preserve">e electricity system operates solely based </w:t>
      </w:r>
      <w:r w:rsidR="00C11491">
        <w:t xml:space="preserve">on </w:t>
      </w:r>
      <w:r w:rsidR="00C11491" w:rsidRPr="001312D2">
        <w:t>renewable, nuclear, and/or storage power units</w:t>
      </w:r>
      <w:r w:rsidR="00A00FBA" w:rsidRPr="004D0AE8">
        <w:t>;</w:t>
      </w:r>
      <w:r w:rsidR="001916A9" w:rsidRPr="004D0AE8">
        <w:t xml:space="preserve"> or</w:t>
      </w:r>
    </w:p>
    <w:p w14:paraId="75899E2E" w14:textId="6CD7C0CC" w:rsidR="001916A9" w:rsidRPr="004D0AE8" w:rsidRDefault="00D14697" w:rsidP="00AD2370">
      <w:pPr>
        <w:pStyle w:val="SDMSubPara2"/>
      </w:pPr>
      <w:r w:rsidRPr="004D0AE8">
        <w:t>T</w:t>
      </w:r>
      <w:r w:rsidR="001916A9" w:rsidRPr="004D0AE8">
        <w:t xml:space="preserve">he share of </w:t>
      </w:r>
      <w:r w:rsidR="00F84D5D" w:rsidRPr="004D0AE8">
        <w:t xml:space="preserve">electricity generation </w:t>
      </w:r>
      <w:r w:rsidR="004A38C4" w:rsidRPr="004D0AE8">
        <w:t xml:space="preserve">from renewable and nuclear </w:t>
      </w:r>
      <w:r w:rsidR="00667554" w:rsidRPr="004D0AE8">
        <w:t xml:space="preserve">power </w:t>
      </w:r>
      <w:r w:rsidR="00136964" w:rsidRPr="004D0AE8">
        <w:t>units</w:t>
      </w:r>
      <w:r w:rsidR="00667554" w:rsidRPr="004D0AE8">
        <w:t xml:space="preserve"> </w:t>
      </w:r>
      <w:r w:rsidR="00F84D5D" w:rsidRPr="004D0AE8">
        <w:t>in the relevant period </w:t>
      </w:r>
      <w:r w:rsidR="00F84D5D" w:rsidRPr="004D0AE8">
        <w:rPr>
          <w:i/>
          <w:iCs/>
        </w:rPr>
        <w:t>t</w:t>
      </w:r>
      <w:r w:rsidR="00F84D5D" w:rsidRPr="004D0AE8">
        <w:t xml:space="preserve"> </w:t>
      </w:r>
      <w:r w:rsidR="00B07B15" w:rsidRPr="004D0AE8">
        <w:t>does not exceed</w:t>
      </w:r>
      <w:r w:rsidR="00667554" w:rsidRPr="004D0AE8">
        <w:t xml:space="preserve"> </w:t>
      </w:r>
      <w:r w:rsidR="00112075">
        <w:t>30</w:t>
      </w:r>
      <w:r w:rsidR="0045644E">
        <w:t> </w:t>
      </w:r>
      <w:r w:rsidR="00B55542" w:rsidRPr="00A860A0">
        <w:t>per cent</w:t>
      </w:r>
      <w:r w:rsidR="00D5077E" w:rsidRPr="004D0AE8">
        <w:t>.</w:t>
      </w:r>
      <w:r w:rsidR="00511431">
        <w:rPr>
          <w:rStyle w:val="FootnoteReference"/>
        </w:rPr>
        <w:footnoteReference w:id="18"/>
      </w:r>
    </w:p>
    <w:p w14:paraId="3B864778" w14:textId="64F0B363" w:rsidR="00D85375" w:rsidRPr="00780E96" w:rsidRDefault="00D85375">
      <w:pPr>
        <w:pStyle w:val="SDMPara"/>
      </w:pPr>
      <w:r>
        <w:t>Activity participants shall document and justify</w:t>
      </w:r>
      <w:r w:rsidR="00245DF2">
        <w:t>,</w:t>
      </w:r>
      <w:r>
        <w:t xml:space="preserve"> </w:t>
      </w:r>
      <w:r w:rsidR="6C20C023">
        <w:t xml:space="preserve">with </w:t>
      </w:r>
      <w:r w:rsidR="00DF711D">
        <w:t>appropriate</w:t>
      </w:r>
      <w:r w:rsidR="6C20C023">
        <w:t xml:space="preserve"> </w:t>
      </w:r>
      <w:r w:rsidR="6C20C023" w:rsidRPr="00780E96">
        <w:t>evidence</w:t>
      </w:r>
      <w:r w:rsidR="00245DF2" w:rsidRPr="00780E96">
        <w:t>,</w:t>
      </w:r>
      <w:r w:rsidR="6C20C023" w:rsidRPr="00780E96">
        <w:t xml:space="preserve"> </w:t>
      </w:r>
      <w:r w:rsidRPr="00780E96">
        <w:t>in the PDD</w:t>
      </w:r>
      <w:r w:rsidR="00C472E5" w:rsidRPr="00780E96">
        <w:t xml:space="preserve"> or CP-DD,</w:t>
      </w:r>
      <w:r w:rsidR="00765201" w:rsidRPr="00780E96">
        <w:t xml:space="preserve"> </w:t>
      </w:r>
      <w:r w:rsidRPr="00780E96">
        <w:t>or monitoring report</w:t>
      </w:r>
      <w:r w:rsidR="3306C8B1" w:rsidRPr="00780E96">
        <w:t>s</w:t>
      </w:r>
      <w:r w:rsidRPr="00780E96">
        <w:t>, as applicable, that the conditions in paragraph</w:t>
      </w:r>
      <w:r w:rsidR="0045644E" w:rsidRPr="00780E96">
        <w:t> </w:t>
      </w:r>
      <w:r w:rsidR="008112BF" w:rsidRPr="00780E96">
        <w:fldChar w:fldCharType="begin"/>
      </w:r>
      <w:r w:rsidR="008112BF" w:rsidRPr="00780E96">
        <w:instrText xml:space="preserve"> REF _Ref221037558 \w \h </w:instrText>
      </w:r>
      <w:r w:rsidR="00780E96">
        <w:instrText xml:space="preserve"> \* MERGEFORMAT </w:instrText>
      </w:r>
      <w:r w:rsidR="008112BF" w:rsidRPr="00780E96">
        <w:fldChar w:fldCharType="separate"/>
      </w:r>
      <w:r w:rsidR="003B0135" w:rsidRPr="00780E96">
        <w:rPr>
          <w:cs/>
        </w:rPr>
        <w:t>‎</w:t>
      </w:r>
      <w:r w:rsidR="003B0135" w:rsidRPr="00780E96">
        <w:t>74</w:t>
      </w:r>
      <w:r w:rsidR="008112BF" w:rsidRPr="00780E96">
        <w:fldChar w:fldCharType="end"/>
      </w:r>
      <w:r w:rsidRPr="00780E96">
        <w:t xml:space="preserve"> are fulfilled.</w:t>
      </w:r>
      <w:r w:rsidRPr="00780E96">
        <w:rPr>
          <w:rStyle w:val="FootnoteReference"/>
        </w:rPr>
        <w:footnoteReference w:id="19"/>
      </w:r>
    </w:p>
    <w:p w14:paraId="29708AB5" w14:textId="5DC35711" w:rsidR="00D85375" w:rsidRPr="00780E96" w:rsidRDefault="00176271" w:rsidP="00F62D64">
      <w:pPr>
        <w:pStyle w:val="SDMPara"/>
        <w:keepNext/>
      </w:pPr>
      <w:r w:rsidRPr="00780E96">
        <w:t xml:space="preserve">The simple OM </w:t>
      </w:r>
      <w:r w:rsidR="00733ECA" w:rsidRPr="00780E96">
        <w:t xml:space="preserve">emission factor </w:t>
      </w:r>
      <w:r w:rsidRPr="00780E96">
        <w:t xml:space="preserve">shall be determined for each calendar year of the crediting period. </w:t>
      </w:r>
      <w:r w:rsidR="006661D5" w:rsidRPr="00780E96">
        <w:t>Activity participants shall use one of the following two options</w:t>
      </w:r>
      <w:r w:rsidR="00733ECA" w:rsidRPr="00780E96">
        <w:t xml:space="preserve"> to determine the simple OM emission factor</w:t>
      </w:r>
      <w:r w:rsidR="003B26C6" w:rsidRPr="00780E96">
        <w:t xml:space="preserve"> and </w:t>
      </w:r>
      <w:r w:rsidR="00294635" w:rsidRPr="00780E96">
        <w:t xml:space="preserve">shall apply the </w:t>
      </w:r>
      <w:r w:rsidR="003B26C6" w:rsidRPr="00780E96">
        <w:t xml:space="preserve">selected </w:t>
      </w:r>
      <w:r w:rsidR="0073618A" w:rsidRPr="00780E96">
        <w:t xml:space="preserve">option </w:t>
      </w:r>
      <w:r w:rsidR="003B26C6" w:rsidRPr="00780E96">
        <w:t>through</w:t>
      </w:r>
      <w:r w:rsidR="00294635" w:rsidRPr="00780E96">
        <w:t>out</w:t>
      </w:r>
      <w:r w:rsidR="003B26C6" w:rsidRPr="00780E96">
        <w:t xml:space="preserve"> the crediting period</w:t>
      </w:r>
      <w:r w:rsidR="00733ECA" w:rsidRPr="00780E96">
        <w:t>:</w:t>
      </w:r>
    </w:p>
    <w:p w14:paraId="5D85F980" w14:textId="3630F131" w:rsidR="00450B74" w:rsidRPr="00780E96" w:rsidRDefault="5FCCE769" w:rsidP="00B15AC9">
      <w:pPr>
        <w:pStyle w:val="SDMSubPara1"/>
      </w:pPr>
      <w:r w:rsidRPr="00780E96">
        <w:rPr>
          <w:b/>
          <w:bCs/>
        </w:rPr>
        <w:t>Ex</w:t>
      </w:r>
      <w:r w:rsidR="6A5C8360" w:rsidRPr="00780E96">
        <w:rPr>
          <w:b/>
          <w:bCs/>
        </w:rPr>
        <w:t>-</w:t>
      </w:r>
      <w:r w:rsidRPr="00780E96">
        <w:rPr>
          <w:b/>
          <w:bCs/>
        </w:rPr>
        <w:t>ante option:</w:t>
      </w:r>
      <w:r w:rsidRPr="00780E96">
        <w:t xml:space="preserve"> </w:t>
      </w:r>
      <w:r w:rsidR="2E81CB41" w:rsidRPr="00780E96">
        <w:t>A</w:t>
      </w:r>
      <w:r w:rsidR="2B7FA695" w:rsidRPr="00780E96">
        <w:t xml:space="preserve">ctivity participants shall </w:t>
      </w:r>
      <w:r w:rsidR="48D15C41" w:rsidRPr="00780E96">
        <w:t xml:space="preserve">calculate </w:t>
      </w:r>
      <w:r w:rsidR="30E9ACFC" w:rsidRPr="00780E96">
        <w:t xml:space="preserve">the emission factor </w:t>
      </w:r>
      <w:r w:rsidR="23CE83C6" w:rsidRPr="00780E96">
        <w:t xml:space="preserve">based on </w:t>
      </w:r>
      <w:r w:rsidR="30E9ACFC" w:rsidRPr="00780E96">
        <w:t>historical</w:t>
      </w:r>
      <w:r w:rsidR="23CE83C6" w:rsidRPr="00780E96">
        <w:t xml:space="preserve"> data available at the time of submission </w:t>
      </w:r>
      <w:r w:rsidR="006E3F73" w:rsidRPr="00780E96">
        <w:t xml:space="preserve">to the DOE for validation </w:t>
      </w:r>
      <w:r w:rsidR="23CE83C6" w:rsidRPr="00780E96">
        <w:t>of the PDD</w:t>
      </w:r>
      <w:r w:rsidR="003E3860" w:rsidRPr="00780E96">
        <w:t xml:space="preserve"> or </w:t>
      </w:r>
      <w:r w:rsidR="003E3860" w:rsidRPr="00780E96" w:rsidDel="005A048F">
        <w:t>CP-DD</w:t>
      </w:r>
      <w:r w:rsidR="00300CE7" w:rsidRPr="00780E96">
        <w:t>.</w:t>
      </w:r>
      <w:r w:rsidR="23628080" w:rsidRPr="00780E96">
        <w:t xml:space="preserve"> A three-year generation-weighted average e</w:t>
      </w:r>
      <w:r w:rsidR="0766BCA0" w:rsidRPr="00780E96">
        <w:t xml:space="preserve">mission factor shall be used. </w:t>
      </w:r>
      <w:r w:rsidR="404A248C" w:rsidRPr="00780E96">
        <w:t xml:space="preserve">The emission factor shall </w:t>
      </w:r>
      <w:r w:rsidR="28D33754" w:rsidRPr="00780E96">
        <w:t>then</w:t>
      </w:r>
      <w:r w:rsidR="6C077CBE" w:rsidRPr="00780E96">
        <w:t xml:space="preserve"> </w:t>
      </w:r>
      <w:r w:rsidR="404A248C" w:rsidRPr="00780E96">
        <w:t>be</w:t>
      </w:r>
      <w:r w:rsidR="28D33754" w:rsidRPr="00780E96">
        <w:t xml:space="preserve"> </w:t>
      </w:r>
      <w:r w:rsidR="7D5E0E1A" w:rsidRPr="00780E96">
        <w:t>adjusted</w:t>
      </w:r>
      <w:r w:rsidR="404A248C" w:rsidRPr="00780E96">
        <w:t xml:space="preserve"> during </w:t>
      </w:r>
      <w:r w:rsidR="7D5E0E1A" w:rsidRPr="00780E96">
        <w:t>monitoring for each calendar year </w:t>
      </w:r>
      <w:r w:rsidR="7D5E0E1A" w:rsidRPr="00780E96">
        <w:rPr>
          <w:i/>
          <w:iCs/>
        </w:rPr>
        <w:t>y</w:t>
      </w:r>
      <w:r w:rsidR="7D5E0E1A" w:rsidRPr="00780E96">
        <w:t xml:space="preserve"> of the crediting period to account for the vintage</w:t>
      </w:r>
      <w:r w:rsidR="378DFED5" w:rsidRPr="00780E96">
        <w:t xml:space="preserve"> of data</w:t>
      </w:r>
      <w:r w:rsidR="7D5E0E1A" w:rsidRPr="00780E96">
        <w:t xml:space="preserve">; however, </w:t>
      </w:r>
      <w:r w:rsidR="247F8C3C" w:rsidRPr="00780E96">
        <w:t xml:space="preserve">the data underlying the </w:t>
      </w:r>
      <w:r w:rsidR="6055E549" w:rsidRPr="00780E96">
        <w:t xml:space="preserve">calculation of the </w:t>
      </w:r>
      <w:r w:rsidR="247F8C3C" w:rsidRPr="00780E96">
        <w:t xml:space="preserve">emission factor </w:t>
      </w:r>
      <w:r w:rsidR="35AA6683" w:rsidRPr="00780E96">
        <w:t>shall</w:t>
      </w:r>
      <w:r w:rsidR="247F8C3C" w:rsidRPr="00780E96">
        <w:t xml:space="preserve"> not </w:t>
      </w:r>
      <w:r w:rsidR="35AA6683" w:rsidRPr="00780E96">
        <w:t xml:space="preserve">be </w:t>
      </w:r>
      <w:r w:rsidR="247F8C3C" w:rsidRPr="00780E96">
        <w:t>updated</w:t>
      </w:r>
      <w:r w:rsidR="1CB68E7C" w:rsidRPr="00780E96">
        <w:t>;</w:t>
      </w:r>
      <w:r w:rsidR="42109ABD" w:rsidRPr="00780E96">
        <w:t xml:space="preserve"> or</w:t>
      </w:r>
    </w:p>
    <w:p w14:paraId="77C182BB" w14:textId="465E7058" w:rsidR="008D255F" w:rsidRPr="00780E96" w:rsidRDefault="5FCCE769" w:rsidP="00F65332">
      <w:pPr>
        <w:pStyle w:val="SDMSubPara1"/>
      </w:pPr>
      <w:r w:rsidRPr="00780E96">
        <w:rPr>
          <w:b/>
          <w:bCs/>
        </w:rPr>
        <w:t>Ex</w:t>
      </w:r>
      <w:r w:rsidR="0E446068" w:rsidRPr="00780E96">
        <w:rPr>
          <w:b/>
          <w:bCs/>
        </w:rPr>
        <w:t>-</w:t>
      </w:r>
      <w:r w:rsidRPr="00780E96">
        <w:rPr>
          <w:b/>
          <w:bCs/>
        </w:rPr>
        <w:t xml:space="preserve">post option: </w:t>
      </w:r>
      <w:r w:rsidR="7890B4A3" w:rsidRPr="00780E96">
        <w:t xml:space="preserve">the </w:t>
      </w:r>
      <w:r w:rsidR="23CE83C6" w:rsidRPr="00780E96">
        <w:t xml:space="preserve">emission factor </w:t>
      </w:r>
      <w:r w:rsidR="5E940446" w:rsidRPr="00780E96">
        <w:t xml:space="preserve">shall be </w:t>
      </w:r>
      <w:r w:rsidR="23CE83C6" w:rsidRPr="00780E96">
        <w:t>updated ex</w:t>
      </w:r>
      <w:r w:rsidR="68382340" w:rsidRPr="00780E96">
        <w:t>-</w:t>
      </w:r>
      <w:r w:rsidR="23CE83C6" w:rsidRPr="00780E96">
        <w:t>post during monitoring for each calendar year </w:t>
      </w:r>
      <w:r w:rsidR="23CE83C6" w:rsidRPr="00780E96">
        <w:rPr>
          <w:i/>
          <w:iCs/>
        </w:rPr>
        <w:t>y</w:t>
      </w:r>
      <w:r w:rsidR="23CE83C6" w:rsidRPr="00780E96">
        <w:t xml:space="preserve"> of the crediting period. </w:t>
      </w:r>
      <w:r w:rsidR="6C9C1D45" w:rsidRPr="00780E96">
        <w:t xml:space="preserve">Activity participants </w:t>
      </w:r>
      <w:r w:rsidR="5CF9E7A2" w:rsidRPr="00780E96">
        <w:t>shall specify in the PDD</w:t>
      </w:r>
      <w:r w:rsidR="003E3860" w:rsidRPr="00780E96">
        <w:t xml:space="preserve"> or CP-DD</w:t>
      </w:r>
      <w:r w:rsidR="42288DFB" w:rsidRPr="00780E96">
        <w:t xml:space="preserve"> </w:t>
      </w:r>
      <w:r w:rsidR="5CF9E7A2" w:rsidRPr="00780E96">
        <w:t xml:space="preserve">whether </w:t>
      </w:r>
      <w:r w:rsidR="5954ECC2" w:rsidRPr="00780E96">
        <w:t xml:space="preserve">the emission factor </w:t>
      </w:r>
      <w:r w:rsidR="50853159" w:rsidRPr="00780E96">
        <w:t xml:space="preserve">is determined </w:t>
      </w:r>
      <w:r w:rsidR="5F92F389" w:rsidRPr="00780E96">
        <w:t>based on data from</w:t>
      </w:r>
      <w:r w:rsidR="5954ECC2" w:rsidRPr="00780E96">
        <w:t xml:space="preserve"> the </w:t>
      </w:r>
      <w:r w:rsidR="684F6F0A" w:rsidRPr="00780E96">
        <w:t xml:space="preserve">calendar </w:t>
      </w:r>
      <w:r w:rsidR="5954ECC2" w:rsidRPr="00780E96">
        <w:t>year </w:t>
      </w:r>
      <w:r w:rsidR="5954ECC2" w:rsidRPr="00780E96">
        <w:rPr>
          <w:i/>
          <w:iCs/>
        </w:rPr>
        <w:t>y</w:t>
      </w:r>
      <w:r w:rsidR="5954ECC2" w:rsidRPr="00780E96">
        <w:t xml:space="preserve"> of the crediting </w:t>
      </w:r>
      <w:r w:rsidR="5F92F389" w:rsidRPr="00780E96">
        <w:t xml:space="preserve">period </w:t>
      </w:r>
      <w:r w:rsidR="5954ECC2" w:rsidRPr="00780E96">
        <w:t xml:space="preserve">or </w:t>
      </w:r>
      <w:r w:rsidR="5CF9E7A2" w:rsidRPr="00780E96">
        <w:t xml:space="preserve">based on data </w:t>
      </w:r>
      <w:r w:rsidR="5F92F389" w:rsidRPr="00780E96">
        <w:t>from a</w:t>
      </w:r>
      <w:r w:rsidR="684F6F0A" w:rsidRPr="00780E96">
        <w:t xml:space="preserve"> historical calendar year </w:t>
      </w:r>
      <w:r w:rsidR="684F6F0A" w:rsidRPr="00780E96">
        <w:rPr>
          <w:i/>
          <w:iCs/>
        </w:rPr>
        <w:t>v</w:t>
      </w:r>
      <w:r w:rsidR="684F6F0A" w:rsidRPr="00780E96">
        <w:t xml:space="preserve">. </w:t>
      </w:r>
      <w:r w:rsidR="5F92F389" w:rsidRPr="00780E96">
        <w:t xml:space="preserve">Where </w:t>
      </w:r>
      <w:r w:rsidR="094C6DF4" w:rsidRPr="00780E96">
        <w:t>a historical year</w:t>
      </w:r>
      <w:r w:rsidR="5CF9E7A2" w:rsidRPr="00780E96">
        <w:t> </w:t>
      </w:r>
      <w:r w:rsidR="5CF9E7A2" w:rsidRPr="00780E96">
        <w:rPr>
          <w:i/>
          <w:iCs/>
        </w:rPr>
        <w:t>v</w:t>
      </w:r>
      <w:r w:rsidR="5CF9E7A2" w:rsidRPr="00780E96">
        <w:t xml:space="preserve"> is chosen, activity participants shall </w:t>
      </w:r>
      <w:r w:rsidR="58D04533" w:rsidRPr="00780E96">
        <w:t xml:space="preserve">apply </w:t>
      </w:r>
      <w:r w:rsidR="06B024EF" w:rsidRPr="00780E96">
        <w:t>a fixed time difference between year</w:t>
      </w:r>
      <w:r w:rsidR="438CD845" w:rsidRPr="00780E96">
        <w:t> </w:t>
      </w:r>
      <w:r w:rsidR="06B024EF" w:rsidRPr="00780E96">
        <w:rPr>
          <w:i/>
          <w:iCs/>
        </w:rPr>
        <w:t>y</w:t>
      </w:r>
      <w:r w:rsidR="06B024EF" w:rsidRPr="00780E96">
        <w:t xml:space="preserve"> and year</w:t>
      </w:r>
      <w:r w:rsidR="438CD845" w:rsidRPr="00780E96">
        <w:t> </w:t>
      </w:r>
      <w:r w:rsidR="06B024EF" w:rsidRPr="00780E96">
        <w:rPr>
          <w:i/>
          <w:iCs/>
        </w:rPr>
        <w:t>v</w:t>
      </w:r>
      <w:r w:rsidR="06B024EF" w:rsidRPr="00780E96">
        <w:t xml:space="preserve"> throughout the crediting period</w:t>
      </w:r>
      <w:r w:rsidR="20F3177E" w:rsidRPr="00780E96">
        <w:t>, shall</w:t>
      </w:r>
      <w:r w:rsidR="06B024EF" w:rsidRPr="00780E96">
        <w:t xml:space="preserve"> specify this time difference</w:t>
      </w:r>
      <w:r w:rsidR="5CF9E7A2" w:rsidRPr="00780E96">
        <w:t xml:space="preserve"> in the PDD</w:t>
      </w:r>
      <w:r w:rsidR="003E3860" w:rsidRPr="00780E96">
        <w:t xml:space="preserve"> or CP-DD</w:t>
      </w:r>
      <w:r w:rsidR="20F3177E" w:rsidRPr="00780E96">
        <w:t>,</w:t>
      </w:r>
      <w:r w:rsidR="1E58465B" w:rsidRPr="00780E96">
        <w:t xml:space="preserve"> and </w:t>
      </w:r>
      <w:r w:rsidR="20F3177E" w:rsidRPr="00780E96">
        <w:t xml:space="preserve">shall </w:t>
      </w:r>
      <w:r w:rsidR="1E58465B" w:rsidRPr="00780E96">
        <w:t>not change it during the crediting period</w:t>
      </w:r>
      <w:r w:rsidR="06B024EF" w:rsidRPr="00780E96">
        <w:t>.</w:t>
      </w:r>
      <w:r w:rsidR="00F55701" w:rsidRPr="00780E96">
        <w:rPr>
          <w:rStyle w:val="FootnoteReference"/>
        </w:rPr>
        <w:footnoteReference w:id="20"/>
      </w:r>
      <w:r w:rsidR="06B024EF" w:rsidRPr="00780E96">
        <w:t xml:space="preserve"> </w:t>
      </w:r>
      <w:r w:rsidR="7966B09A" w:rsidRPr="00780E96">
        <w:t xml:space="preserve">The time difference shall be </w:t>
      </w:r>
      <w:r w:rsidR="0D73536E" w:rsidRPr="00780E96">
        <w:t xml:space="preserve">as recent as possible, taking into account </w:t>
      </w:r>
      <w:r w:rsidR="7966B09A" w:rsidRPr="00780E96">
        <w:t>when the necessary data usually become available.</w:t>
      </w:r>
      <w:r w:rsidR="00F55701" w:rsidRPr="00780E96">
        <w:rPr>
          <w:rStyle w:val="FootnoteReference"/>
        </w:rPr>
        <w:footnoteReference w:id="21"/>
      </w:r>
    </w:p>
    <w:p w14:paraId="55C13AF7" w14:textId="0676065E" w:rsidR="00D54AE9" w:rsidRPr="00780E96" w:rsidRDefault="00D54AE9" w:rsidP="00F62D64">
      <w:pPr>
        <w:pStyle w:val="SDMPara"/>
        <w:keepNext/>
      </w:pPr>
      <w:r w:rsidRPr="00780E96">
        <w:t xml:space="preserve">The simple OM </w:t>
      </w:r>
      <w:r w:rsidR="005211C5" w:rsidRPr="00780E96">
        <w:t>shall</w:t>
      </w:r>
      <w:r w:rsidRPr="00780E96">
        <w:t xml:space="preserve"> be calculated </w:t>
      </w:r>
      <w:r w:rsidR="000F122D" w:rsidRPr="00780E96">
        <w:t>using</w:t>
      </w:r>
      <w:r w:rsidRPr="00780E96">
        <w:t xml:space="preserve"> one of the following two approaches:</w:t>
      </w:r>
    </w:p>
    <w:p w14:paraId="70FFF975" w14:textId="511550D8" w:rsidR="00D54AE9" w:rsidRPr="00780E96" w:rsidRDefault="00D54AE9" w:rsidP="00F65332">
      <w:pPr>
        <w:pStyle w:val="SDMSubPara1"/>
      </w:pPr>
      <w:r w:rsidRPr="00780E96">
        <w:rPr>
          <w:b/>
          <w:bCs/>
        </w:rPr>
        <w:t>Approach</w:t>
      </w:r>
      <w:r w:rsidR="0060151F" w:rsidRPr="00780E96">
        <w:rPr>
          <w:b/>
          <w:bCs/>
        </w:rPr>
        <w:t> </w:t>
      </w:r>
      <w:r w:rsidRPr="00780E96">
        <w:rPr>
          <w:b/>
          <w:bCs/>
        </w:rPr>
        <w:t>A</w:t>
      </w:r>
      <w:r w:rsidRPr="00780E96">
        <w:t xml:space="preserve">: </w:t>
      </w:r>
      <w:r w:rsidR="00D93D46" w:rsidRPr="00780E96">
        <w:t xml:space="preserve">based </w:t>
      </w:r>
      <w:r w:rsidRPr="00780E96">
        <w:t xml:space="preserve">on the net electricity generation </w:t>
      </w:r>
      <w:r w:rsidR="00947B9D" w:rsidRPr="00780E96">
        <w:t xml:space="preserve">of each power unit </w:t>
      </w:r>
      <w:r w:rsidR="00E6462F" w:rsidRPr="00780E96">
        <w:t xml:space="preserve">not </w:t>
      </w:r>
      <w:r w:rsidR="00AB774F" w:rsidRPr="00780E96">
        <w:t>designated</w:t>
      </w:r>
      <w:r w:rsidR="00E6462F" w:rsidRPr="00780E96">
        <w:t xml:space="preserve"> as</w:t>
      </w:r>
      <w:r w:rsidR="00423F55" w:rsidRPr="00780E96">
        <w:t xml:space="preserve"> must-run power unit </w:t>
      </w:r>
      <w:r w:rsidRPr="00780E96">
        <w:t>and a CO</w:t>
      </w:r>
      <w:r w:rsidRPr="00780E96">
        <w:rPr>
          <w:vertAlign w:val="subscript"/>
        </w:rPr>
        <w:t>2</w:t>
      </w:r>
      <w:r w:rsidRPr="00780E96">
        <w:t xml:space="preserve"> emission factor </w:t>
      </w:r>
      <w:r w:rsidR="00947B9D" w:rsidRPr="00780E96">
        <w:t>for</w:t>
      </w:r>
      <w:r w:rsidRPr="00780E96">
        <w:t xml:space="preserve"> </w:t>
      </w:r>
      <w:r w:rsidR="00E6462F" w:rsidRPr="00780E96">
        <w:t xml:space="preserve">that </w:t>
      </w:r>
      <w:r w:rsidRPr="00780E96">
        <w:t>power unit</w:t>
      </w:r>
      <w:r w:rsidR="004447E0" w:rsidRPr="00780E96">
        <w:t>; or</w:t>
      </w:r>
    </w:p>
    <w:p w14:paraId="2711F4A4" w14:textId="40E0DF98" w:rsidR="00D54AE9" w:rsidRPr="00780E96" w:rsidRDefault="00D54AE9" w:rsidP="00F62D64">
      <w:pPr>
        <w:pStyle w:val="SDMSubPara1"/>
        <w:keepNext/>
      </w:pPr>
      <w:r w:rsidRPr="00780E96">
        <w:rPr>
          <w:b/>
          <w:bCs/>
        </w:rPr>
        <w:t>Approach</w:t>
      </w:r>
      <w:r w:rsidR="0060151F" w:rsidRPr="00780E96">
        <w:rPr>
          <w:b/>
        </w:rPr>
        <w:t> </w:t>
      </w:r>
      <w:r w:rsidRPr="00780E96">
        <w:rPr>
          <w:b/>
        </w:rPr>
        <w:t>B</w:t>
      </w:r>
      <w:r w:rsidRPr="00780E96">
        <w:t>:</w:t>
      </w:r>
      <w:r w:rsidRPr="00780E96" w:rsidDel="00D93D46">
        <w:t xml:space="preserve"> </w:t>
      </w:r>
      <w:r w:rsidR="00D93D46" w:rsidRPr="00780E96">
        <w:t xml:space="preserve">based </w:t>
      </w:r>
      <w:r w:rsidRPr="00780E96">
        <w:t xml:space="preserve">on the total net electricity generation of all power </w:t>
      </w:r>
      <w:r w:rsidR="00CA28FF" w:rsidRPr="00780E96">
        <w:t>units</w:t>
      </w:r>
      <w:r w:rsidRPr="00780E96">
        <w:t xml:space="preserve"> serving the </w:t>
      </w:r>
      <w:r w:rsidR="00EA6025" w:rsidRPr="00780E96">
        <w:t xml:space="preserve">electricity </w:t>
      </w:r>
      <w:r w:rsidRPr="00780E96">
        <w:t xml:space="preserve">system </w:t>
      </w:r>
      <w:r w:rsidR="00C65DE6" w:rsidRPr="00780E96">
        <w:t xml:space="preserve">that are </w:t>
      </w:r>
      <w:r w:rsidR="0068793A" w:rsidRPr="00780E96">
        <w:t xml:space="preserve">not </w:t>
      </w:r>
      <w:r w:rsidR="00AB774F" w:rsidRPr="00780E96">
        <w:t>designated</w:t>
      </w:r>
      <w:r w:rsidR="0068793A" w:rsidRPr="00780E96">
        <w:t xml:space="preserve"> as must-run power unit</w:t>
      </w:r>
      <w:r w:rsidR="00C65DE6" w:rsidRPr="00780E96">
        <w:t>s</w:t>
      </w:r>
      <w:r w:rsidR="0068793A" w:rsidRPr="00780E96">
        <w:t xml:space="preserve"> </w:t>
      </w:r>
      <w:r w:rsidRPr="00780E96">
        <w:t xml:space="preserve">and the fuel types and total fuel consumption of </w:t>
      </w:r>
      <w:r w:rsidR="00A65171" w:rsidRPr="00780E96">
        <w:t xml:space="preserve">these </w:t>
      </w:r>
      <w:r w:rsidR="00EE2EBF" w:rsidRPr="00780E96">
        <w:t xml:space="preserve">power </w:t>
      </w:r>
      <w:r w:rsidR="00CA28FF" w:rsidRPr="00780E96">
        <w:t>units</w:t>
      </w:r>
      <w:r w:rsidRPr="00780E96">
        <w:t>.</w:t>
      </w:r>
      <w:r w:rsidR="00A23C0E" w:rsidRPr="00780E96">
        <w:t xml:space="preserve"> </w:t>
      </w:r>
      <w:r w:rsidR="00B7380B" w:rsidRPr="00780E96">
        <w:rPr>
          <w:rFonts w:eastAsia="MS Mincho"/>
          <w:b/>
          <w:bCs/>
          <w:lang w:eastAsia="ja-JP"/>
        </w:rPr>
        <w:t>A</w:t>
      </w:r>
      <w:r w:rsidR="0051343D" w:rsidRPr="00780E96">
        <w:rPr>
          <w:b/>
          <w:bCs/>
        </w:rPr>
        <w:t>pproach</w:t>
      </w:r>
      <w:r w:rsidR="0060151F" w:rsidRPr="00780E96">
        <w:rPr>
          <w:b/>
          <w:bCs/>
        </w:rPr>
        <w:t> </w:t>
      </w:r>
      <w:r w:rsidRPr="00780E96">
        <w:rPr>
          <w:b/>
          <w:bCs/>
        </w:rPr>
        <w:t>B</w:t>
      </w:r>
      <w:r w:rsidRPr="00780E96" w:rsidDel="0051343D">
        <w:t xml:space="preserve"> </w:t>
      </w:r>
      <w:r w:rsidR="0051343D" w:rsidRPr="00780E96">
        <w:t xml:space="preserve">shall </w:t>
      </w:r>
      <w:r w:rsidRPr="00780E96">
        <w:t>only be used if:</w:t>
      </w:r>
    </w:p>
    <w:p w14:paraId="76E30A39" w14:textId="1E088B9A" w:rsidR="00D54AE9" w:rsidRPr="00780E96" w:rsidRDefault="00D54AE9" w:rsidP="00B15AC9">
      <w:pPr>
        <w:pStyle w:val="SDMSubPara2"/>
      </w:pPr>
      <w:r w:rsidRPr="00780E96">
        <w:t xml:space="preserve">The necessary data for </w:t>
      </w:r>
      <w:r w:rsidR="0051343D" w:rsidRPr="00780E96">
        <w:rPr>
          <w:b/>
          <w:bCs/>
        </w:rPr>
        <w:t>approach </w:t>
      </w:r>
      <w:r w:rsidRPr="00780E96">
        <w:rPr>
          <w:b/>
          <w:bCs/>
        </w:rPr>
        <w:t>A</w:t>
      </w:r>
      <w:r w:rsidRPr="00780E96">
        <w:t xml:space="preserve"> is not available; and</w:t>
      </w:r>
    </w:p>
    <w:p w14:paraId="7F0C13F4" w14:textId="561349D6" w:rsidR="5DABA433" w:rsidRPr="00780E96" w:rsidRDefault="5DABA433" w:rsidP="00F65332">
      <w:pPr>
        <w:pStyle w:val="SDMSubPara2"/>
      </w:pPr>
      <w:r w:rsidRPr="00780E96">
        <w:t xml:space="preserve">Only nuclear and renewable power generation </w:t>
      </w:r>
      <w:r w:rsidR="00B57AE1" w:rsidRPr="00780E96">
        <w:t xml:space="preserve">units </w:t>
      </w:r>
      <w:r w:rsidRPr="00780E96">
        <w:t xml:space="preserve">are </w:t>
      </w:r>
      <w:r w:rsidR="00004EBF" w:rsidRPr="00780E96">
        <w:t xml:space="preserve">designated as </w:t>
      </w:r>
      <w:r w:rsidRPr="00780E96">
        <w:t xml:space="preserve">must-run power </w:t>
      </w:r>
      <w:r w:rsidR="005E6BB3" w:rsidRPr="00780E96">
        <w:t>unit</w:t>
      </w:r>
      <w:r w:rsidR="00C0197C" w:rsidRPr="00780E96">
        <w:t>s</w:t>
      </w:r>
      <w:r w:rsidR="00A62223" w:rsidRPr="00780E96">
        <w:t>,</w:t>
      </w:r>
      <w:r w:rsidRPr="00780E96">
        <w:t xml:space="preserve"> and the quantity of electricity supplied to </w:t>
      </w:r>
      <w:r w:rsidR="00A62223" w:rsidRPr="00780E96">
        <w:t xml:space="preserve">the </w:t>
      </w:r>
      <w:r w:rsidR="006B6AFA" w:rsidRPr="00780E96">
        <w:t>electricity system</w:t>
      </w:r>
      <w:r w:rsidRPr="00780E96">
        <w:t xml:space="preserve"> by these </w:t>
      </w:r>
      <w:r w:rsidR="005E6BB3" w:rsidRPr="00780E96">
        <w:t>power units</w:t>
      </w:r>
      <w:r w:rsidRPr="00780E96">
        <w:t xml:space="preserve"> is known</w:t>
      </w:r>
      <w:r w:rsidR="2A5F8C76" w:rsidRPr="00780E96">
        <w:t>.</w:t>
      </w:r>
    </w:p>
    <w:p w14:paraId="0D668389" w14:textId="18B69280" w:rsidR="00D54AE9" w:rsidRPr="00780E96" w:rsidRDefault="00D54AE9" w:rsidP="00F62D64">
      <w:pPr>
        <w:pStyle w:val="SDMPara"/>
        <w:keepNext/>
      </w:pPr>
      <w:bookmarkStart w:id="632" w:name="_Ref215687820"/>
      <w:r w:rsidRPr="00780E96">
        <w:t>Under</w:t>
      </w:r>
      <w:r w:rsidRPr="00780E96" w:rsidDel="00D64E9E">
        <w:t xml:space="preserve"> </w:t>
      </w:r>
      <w:r w:rsidR="00D64E9E" w:rsidRPr="00780E96">
        <w:rPr>
          <w:b/>
        </w:rPr>
        <w:t>approach</w:t>
      </w:r>
      <w:r w:rsidR="0060151F" w:rsidRPr="00780E96">
        <w:rPr>
          <w:b/>
        </w:rPr>
        <w:t> </w:t>
      </w:r>
      <w:r w:rsidRPr="00780E96">
        <w:rPr>
          <w:b/>
        </w:rPr>
        <w:t>A</w:t>
      </w:r>
      <w:r w:rsidRPr="00780E96">
        <w:t xml:space="preserve">, the simple OM emission factor </w:t>
      </w:r>
      <w:r w:rsidR="005E6BB3" w:rsidRPr="00780E96">
        <w:t>shall be</w:t>
      </w:r>
      <w:r w:rsidRPr="00780E96">
        <w:t xml:space="preserve"> calculated based on the net electricity generation of each power unit </w:t>
      </w:r>
      <w:r w:rsidR="003B648A" w:rsidRPr="00780E96">
        <w:t xml:space="preserve">not designated as must-run power unit </w:t>
      </w:r>
      <w:r w:rsidRPr="00780E96">
        <w:t xml:space="preserve">and an emission factor for </w:t>
      </w:r>
      <w:r w:rsidR="003B648A" w:rsidRPr="00780E96">
        <w:t xml:space="preserve">that </w:t>
      </w:r>
      <w:r w:rsidRPr="00780E96">
        <w:t>power unit</w:t>
      </w:r>
      <w:r w:rsidR="000B184A" w:rsidRPr="00780E96">
        <w:t xml:space="preserve"> </w:t>
      </w:r>
      <w:r w:rsidRPr="00780E96">
        <w:t>as follows:</w:t>
      </w:r>
      <w:bookmarkEnd w:id="632"/>
    </w:p>
    <w:tbl>
      <w:tblPr>
        <w:tblStyle w:val="SDMMethTableEquation"/>
        <w:tblW w:w="8760" w:type="dxa"/>
        <w:tblLook w:val="0600" w:firstRow="0" w:lastRow="0" w:firstColumn="0" w:lastColumn="0" w:noHBand="1" w:noVBand="1"/>
      </w:tblPr>
      <w:tblGrid>
        <w:gridCol w:w="7096"/>
        <w:gridCol w:w="1664"/>
      </w:tblGrid>
      <w:tr w:rsidR="00D54AE9" w:rsidRPr="00780E96" w14:paraId="7E9D9C56" w14:textId="77777777" w:rsidTr="00026926">
        <w:tc>
          <w:tcPr>
            <w:tcW w:w="7224" w:type="dxa"/>
          </w:tcPr>
          <w:p w14:paraId="30D0D70B" w14:textId="77777777" w:rsidR="00D54AE9" w:rsidRPr="00780E96" w:rsidRDefault="003F6646" w:rsidP="005C1FE3">
            <w:pPr>
              <w:pStyle w:val="SDMMethEquation"/>
            </w:pPr>
            <m:oMathPara>
              <m:oMathParaPr>
                <m:jc m:val="left"/>
              </m:oMathParaPr>
              <m:oMath>
                <m:sSub>
                  <m:sSubPr>
                    <m:ctrlPr>
                      <w:rPr>
                        <w:rFonts w:ascii="Cambria Math" w:hAnsi="Cambria Math" w:cs="Cambria Math"/>
                      </w:rPr>
                    </m:ctrlPr>
                  </m:sSubPr>
                  <m:e>
                    <m:r>
                      <w:rPr>
                        <w:rFonts w:ascii="Cambria Math" w:hAnsi="Cambria Math" w:cs="Cambria Math"/>
                      </w:rPr>
                      <m:t>EF</m:t>
                    </m:r>
                  </m:e>
                  <m:sub>
                    <m:r>
                      <w:rPr>
                        <w:rFonts w:ascii="Cambria Math" w:hAnsi="Cambria Math" w:cs="Cambria Math"/>
                      </w:rPr>
                      <m:t>OM,simple,t</m:t>
                    </m:r>
                  </m:sub>
                </m:sSub>
                <m:r>
                  <m:rPr>
                    <m:sty m:val="p"/>
                  </m:rPr>
                  <w:rPr>
                    <w:rFonts w:ascii="Cambria Math" w:hAnsi="Cambria Math" w:cs="Cambria Math"/>
                  </w:rPr>
                  <m:t xml:space="preserve"> =</m:t>
                </m:r>
                <m:f>
                  <m:fPr>
                    <m:ctrlPr>
                      <w:rPr>
                        <w:rFonts w:ascii="Cambria Math" w:hAnsi="Cambria Math"/>
                      </w:rPr>
                    </m:ctrlPr>
                  </m:fPr>
                  <m:num>
                    <m:nary>
                      <m:naryPr>
                        <m:chr m:val="∑"/>
                        <m:limLoc m:val="undOvr"/>
                        <m:supHide m:val="1"/>
                        <m:ctrlPr>
                          <w:rPr>
                            <w:rFonts w:ascii="Cambria Math" w:hAnsi="Cambria Math"/>
                            <w:i/>
                          </w:rPr>
                        </m:ctrlPr>
                      </m:naryPr>
                      <m:sub>
                        <m:r>
                          <w:rPr>
                            <w:rFonts w:ascii="Cambria Math" w:hAnsi="Cambria Math"/>
                          </w:rPr>
                          <m:t>p</m:t>
                        </m:r>
                      </m:sub>
                      <m:sup/>
                      <m:e>
                        <m:sSub>
                          <m:sSubPr>
                            <m:ctrlPr>
                              <w:rPr>
                                <w:rFonts w:ascii="Cambria Math" w:hAnsi="Cambria Math"/>
                                <w:i/>
                              </w:rPr>
                            </m:ctrlPr>
                          </m:sSubPr>
                          <m:e>
                            <m:r>
                              <w:rPr>
                                <w:rFonts w:ascii="Cambria Math" w:hAnsi="Cambria Math"/>
                              </w:rPr>
                              <m:t>EG</m:t>
                            </m:r>
                          </m:e>
                          <m:sub>
                            <m:r>
                              <w:rPr>
                                <w:rFonts w:ascii="Cambria Math" w:hAnsi="Cambria Math"/>
                              </w:rPr>
                              <m:t>p,t</m:t>
                            </m:r>
                          </m:sub>
                        </m:sSub>
                      </m:e>
                    </m:nary>
                    <m:r>
                      <w:rPr>
                        <w:rFonts w:ascii="Cambria Math" w:hAnsi="Cambria Math"/>
                      </w:rPr>
                      <m:t>×</m:t>
                    </m:r>
                    <m:sSub>
                      <m:sSubPr>
                        <m:ctrlPr>
                          <w:rPr>
                            <w:rFonts w:ascii="Cambria Math" w:hAnsi="Cambria Math"/>
                            <w:i/>
                          </w:rPr>
                        </m:ctrlPr>
                      </m:sSubPr>
                      <m:e>
                        <m:r>
                          <w:rPr>
                            <w:rFonts w:ascii="Cambria Math" w:hAnsi="Cambria Math"/>
                          </w:rPr>
                          <m:t>EF</m:t>
                        </m:r>
                      </m:e>
                      <m:sub>
                        <m:r>
                          <w:rPr>
                            <w:rFonts w:ascii="Cambria Math" w:hAnsi="Cambria Math"/>
                          </w:rPr>
                          <m:t>EL,p,t</m:t>
                        </m:r>
                      </m:sub>
                    </m:sSub>
                  </m:num>
                  <m:den>
                    <m:nary>
                      <m:naryPr>
                        <m:chr m:val="∑"/>
                        <m:limLoc m:val="undOvr"/>
                        <m:supHide m:val="1"/>
                        <m:ctrlPr>
                          <w:rPr>
                            <w:rFonts w:ascii="Cambria Math" w:hAnsi="Cambria Math" w:cs="Cambria Math"/>
                            <w:i/>
                          </w:rPr>
                        </m:ctrlPr>
                      </m:naryPr>
                      <m:sub>
                        <m:r>
                          <w:rPr>
                            <w:rFonts w:ascii="Cambria Math" w:hAnsi="Cambria Math" w:cs="Cambria Math"/>
                          </w:rPr>
                          <m:t>p</m:t>
                        </m:r>
                      </m:sub>
                      <m:sup/>
                      <m:e>
                        <m:sSub>
                          <m:sSubPr>
                            <m:ctrlPr>
                              <w:rPr>
                                <w:rFonts w:ascii="Cambria Math" w:hAnsi="Cambria Math" w:cs="Cambria Math"/>
                                <w:i/>
                              </w:rPr>
                            </m:ctrlPr>
                          </m:sSubPr>
                          <m:e>
                            <m:r>
                              <w:rPr>
                                <w:rFonts w:ascii="Cambria Math" w:hAnsi="Cambria Math" w:cs="Cambria Math"/>
                              </w:rPr>
                              <m:t>EG</m:t>
                            </m:r>
                          </m:e>
                          <m:sub>
                            <m:r>
                              <w:rPr>
                                <w:rFonts w:ascii="Cambria Math" w:hAnsi="Cambria Math" w:cs="Cambria Math"/>
                              </w:rPr>
                              <m:t>p,t</m:t>
                            </m:r>
                          </m:sub>
                        </m:sSub>
                      </m:e>
                    </m:nary>
                  </m:den>
                </m:f>
              </m:oMath>
            </m:oMathPara>
          </w:p>
        </w:tc>
        <w:tc>
          <w:tcPr>
            <w:tcW w:w="1701" w:type="dxa"/>
          </w:tcPr>
          <w:p w14:paraId="56D68448" w14:textId="77777777" w:rsidR="00D54AE9" w:rsidRPr="00780E96" w:rsidRDefault="00D54AE9">
            <w:pPr>
              <w:pStyle w:val="SDMMethEquationNr"/>
              <w:numPr>
                <w:ilvl w:val="0"/>
                <w:numId w:val="6"/>
              </w:numPr>
            </w:pPr>
          </w:p>
        </w:tc>
      </w:tr>
    </w:tbl>
    <w:p w14:paraId="7F839BCE" w14:textId="77777777" w:rsidR="00D54AE9" w:rsidRPr="00780E96" w:rsidRDefault="00D54AE9" w:rsidP="00F62D64">
      <w:pPr>
        <w:pStyle w:val="SDMMethCaptionEquationParametersTable"/>
      </w:pPr>
      <w:r w:rsidRPr="00780E96">
        <w:t>Where:</w:t>
      </w:r>
    </w:p>
    <w:tbl>
      <w:tblPr>
        <w:tblStyle w:val="SDMMethTableEquationParameters"/>
        <w:tblW w:w="8760" w:type="dxa"/>
        <w:tblLook w:val="04A0" w:firstRow="1" w:lastRow="0" w:firstColumn="1" w:lastColumn="0" w:noHBand="0" w:noVBand="1"/>
      </w:tblPr>
      <w:tblGrid>
        <w:gridCol w:w="1701"/>
        <w:gridCol w:w="345"/>
        <w:gridCol w:w="6714"/>
      </w:tblGrid>
      <w:tr w:rsidR="00D54AE9" w:rsidRPr="00780E96" w14:paraId="34A7626A" w14:textId="77777777" w:rsidTr="00C220BF">
        <w:tc>
          <w:tcPr>
            <w:tcW w:w="1701" w:type="dxa"/>
            <w:vAlign w:val="top"/>
          </w:tcPr>
          <w:p w14:paraId="76FD24BE" w14:textId="62B331E3" w:rsidR="00D54AE9" w:rsidRPr="00780E96" w:rsidRDefault="003F6646" w:rsidP="00A25D4E">
            <w:pPr>
              <w:pStyle w:val="SDMTableBoxParaNotNumbered"/>
              <w:rPr>
                <w:i/>
                <w:lang w:val="es-ES"/>
              </w:rPr>
            </w:pPr>
            <m:oMathPara>
              <m:oMathParaPr>
                <m:jc m:val="left"/>
              </m:oMathParaPr>
              <m:oMath>
                <m:sSub>
                  <m:sSubPr>
                    <m:ctrlPr>
                      <w:rPr>
                        <w:rFonts w:ascii="Cambria Math" w:hAnsi="Cambria Math" w:cs="Cambria Math"/>
                      </w:rPr>
                    </m:ctrlPr>
                  </m:sSubPr>
                  <m:e>
                    <m:r>
                      <w:rPr>
                        <w:rFonts w:ascii="Cambria Math" w:hAnsi="Cambria Math" w:cs="Cambria Math"/>
                      </w:rPr>
                      <m:t>EF</m:t>
                    </m:r>
                  </m:e>
                  <m:sub>
                    <m:r>
                      <w:rPr>
                        <w:rFonts w:ascii="Cambria Math" w:hAnsi="Cambria Math" w:cs="Cambria Math"/>
                      </w:rPr>
                      <m:t>OM,simple,t</m:t>
                    </m:r>
                  </m:sub>
                </m:sSub>
              </m:oMath>
            </m:oMathPara>
          </w:p>
        </w:tc>
        <w:tc>
          <w:tcPr>
            <w:tcW w:w="345" w:type="dxa"/>
            <w:vAlign w:val="top"/>
          </w:tcPr>
          <w:p w14:paraId="6877976A" w14:textId="77777777" w:rsidR="00D54AE9" w:rsidRPr="00780E96" w:rsidRDefault="00D54AE9" w:rsidP="00A25D4E">
            <w:pPr>
              <w:pStyle w:val="SDMTableBoxParaNotNumbered"/>
            </w:pPr>
            <w:r w:rsidRPr="00780E96">
              <w:t>=</w:t>
            </w:r>
          </w:p>
        </w:tc>
        <w:tc>
          <w:tcPr>
            <w:tcW w:w="0" w:type="auto"/>
            <w:vAlign w:val="top"/>
          </w:tcPr>
          <w:p w14:paraId="4EF8AA3A" w14:textId="68F31DA0" w:rsidR="00D54AE9" w:rsidRPr="00780E96" w:rsidRDefault="00D54AE9" w:rsidP="00A25D4E">
            <w:pPr>
              <w:pStyle w:val="SDMTableBoxParaNotNumbered"/>
            </w:pPr>
            <w:r w:rsidRPr="00780E96">
              <w:t xml:space="preserve">Simple </w:t>
            </w:r>
            <w:r w:rsidR="00BB1C82" w:rsidRPr="00780E96">
              <w:t>OM</w:t>
            </w:r>
            <w:r w:rsidRPr="00780E96">
              <w:t xml:space="preserve"> CO</w:t>
            </w:r>
            <w:r w:rsidRPr="00780E96">
              <w:rPr>
                <w:vertAlign w:val="subscript"/>
              </w:rPr>
              <w:t>2</w:t>
            </w:r>
            <w:r w:rsidRPr="00780E96">
              <w:t xml:space="preserve"> emission factor</w:t>
            </w:r>
            <w:r w:rsidR="009121DB" w:rsidRPr="00780E96">
              <w:t xml:space="preserve"> in period</w:t>
            </w:r>
            <w:r w:rsidR="00791CF2" w:rsidRPr="00780E96">
              <w:t> </w:t>
            </w:r>
            <w:r w:rsidR="009121DB" w:rsidRPr="00780E96">
              <w:rPr>
                <w:i/>
              </w:rPr>
              <w:t>t</w:t>
            </w:r>
            <w:r w:rsidR="006A185A" w:rsidRPr="00780E96">
              <w:rPr>
                <w:i/>
              </w:rPr>
              <w:t xml:space="preserve"> </w:t>
            </w:r>
            <w:r w:rsidRPr="00780E96">
              <w:t>(t CO</w:t>
            </w:r>
            <w:r w:rsidRPr="00780E96">
              <w:rPr>
                <w:vertAlign w:val="subscript"/>
              </w:rPr>
              <w:t>2</w:t>
            </w:r>
            <w:r w:rsidRPr="00780E96">
              <w:t>/MWh)</w:t>
            </w:r>
          </w:p>
        </w:tc>
      </w:tr>
      <w:tr w:rsidR="00D54AE9" w:rsidRPr="00780E96" w14:paraId="44CD4AD2" w14:textId="77777777" w:rsidTr="00C220BF">
        <w:tc>
          <w:tcPr>
            <w:tcW w:w="1701" w:type="dxa"/>
            <w:vAlign w:val="top"/>
          </w:tcPr>
          <w:p w14:paraId="14775334" w14:textId="0860951E" w:rsidR="00D54AE9" w:rsidRPr="00780E96" w:rsidRDefault="003F6646" w:rsidP="00A25D4E">
            <w:pPr>
              <w:pStyle w:val="SDMTableBoxParaNotNumbered"/>
              <w:rPr>
                <w:i/>
              </w:rPr>
            </w:pPr>
            <m:oMathPara>
              <m:oMathParaPr>
                <m:jc m:val="left"/>
              </m:oMathParaPr>
              <m:oMath>
                <m:sSub>
                  <m:sSubPr>
                    <m:ctrlPr>
                      <w:rPr>
                        <w:rFonts w:ascii="Cambria Math" w:hAnsi="Cambria Math"/>
                        <w:i/>
                      </w:rPr>
                    </m:ctrlPr>
                  </m:sSubPr>
                  <m:e>
                    <m:r>
                      <w:rPr>
                        <w:rFonts w:ascii="Cambria Math" w:hAnsi="Cambria Math"/>
                      </w:rPr>
                      <m:t>EG</m:t>
                    </m:r>
                  </m:e>
                  <m:sub>
                    <m:r>
                      <w:rPr>
                        <w:rFonts w:ascii="Cambria Math" w:hAnsi="Cambria Math"/>
                      </w:rPr>
                      <m:t>p,t</m:t>
                    </m:r>
                  </m:sub>
                </m:sSub>
              </m:oMath>
            </m:oMathPara>
          </w:p>
        </w:tc>
        <w:tc>
          <w:tcPr>
            <w:tcW w:w="345" w:type="dxa"/>
            <w:vAlign w:val="top"/>
          </w:tcPr>
          <w:p w14:paraId="40BFAB70" w14:textId="77777777" w:rsidR="00D54AE9" w:rsidRPr="00780E96" w:rsidRDefault="00D54AE9" w:rsidP="00A25D4E">
            <w:pPr>
              <w:pStyle w:val="SDMTableBoxParaNotNumbered"/>
            </w:pPr>
            <w:r w:rsidRPr="00780E96">
              <w:t>=</w:t>
            </w:r>
          </w:p>
        </w:tc>
        <w:tc>
          <w:tcPr>
            <w:tcW w:w="0" w:type="auto"/>
            <w:vAlign w:val="top"/>
          </w:tcPr>
          <w:p w14:paraId="1420AE59" w14:textId="77777777" w:rsidR="00D54AE9" w:rsidRPr="00780E96" w:rsidRDefault="00D54AE9" w:rsidP="00A25D4E">
            <w:pPr>
              <w:pStyle w:val="SDMTableBoxParaNotNumbered"/>
            </w:pPr>
            <w:r w:rsidRPr="00780E96">
              <w:t xml:space="preserve">Net quantity of electricity generated and delivered to the </w:t>
            </w:r>
            <w:r w:rsidR="00200A3B" w:rsidRPr="00780E96">
              <w:t>electricity system</w:t>
            </w:r>
            <w:r w:rsidRPr="00780E96">
              <w:t xml:space="preserve"> by power unit</w:t>
            </w:r>
            <w:r w:rsidR="00791CF2" w:rsidRPr="00780E96">
              <w:t> </w:t>
            </w:r>
            <w:r w:rsidR="00E237FC" w:rsidRPr="00780E96">
              <w:rPr>
                <w:i/>
              </w:rPr>
              <w:t>p</w:t>
            </w:r>
            <w:r w:rsidRPr="00780E96">
              <w:rPr>
                <w:i/>
              </w:rPr>
              <w:t xml:space="preserve"> </w:t>
            </w:r>
            <w:r w:rsidRPr="00780E96">
              <w:t>in</w:t>
            </w:r>
            <w:r w:rsidR="007241C7" w:rsidRPr="00780E96">
              <w:t xml:space="preserve"> period</w:t>
            </w:r>
            <w:r w:rsidR="00791CF2" w:rsidRPr="00780E96">
              <w:rPr>
                <w:i/>
              </w:rPr>
              <w:t> </w:t>
            </w:r>
            <w:r w:rsidR="007241C7" w:rsidRPr="00780E96">
              <w:rPr>
                <w:i/>
              </w:rPr>
              <w:t>t</w:t>
            </w:r>
            <w:r w:rsidRPr="00780E96">
              <w:rPr>
                <w:i/>
              </w:rPr>
              <w:t xml:space="preserve"> </w:t>
            </w:r>
            <w:r w:rsidRPr="00780E96">
              <w:t>(MWh)</w:t>
            </w:r>
          </w:p>
        </w:tc>
      </w:tr>
      <w:tr w:rsidR="00D54AE9" w:rsidRPr="00780E96" w14:paraId="784D5AEF" w14:textId="77777777" w:rsidTr="00C220BF">
        <w:tc>
          <w:tcPr>
            <w:tcW w:w="1701" w:type="dxa"/>
            <w:vAlign w:val="top"/>
          </w:tcPr>
          <w:p w14:paraId="12BC46DD" w14:textId="4671D222" w:rsidR="00D54AE9" w:rsidRPr="00780E96" w:rsidRDefault="003F6646" w:rsidP="00A25D4E">
            <w:pPr>
              <w:pStyle w:val="SDMTableBoxParaNotNumbered"/>
              <w:rPr>
                <w:i/>
              </w:rPr>
            </w:pPr>
            <m:oMathPara>
              <m:oMathParaPr>
                <m:jc m:val="left"/>
              </m:oMathParaPr>
              <m:oMath>
                <m:sSub>
                  <m:sSubPr>
                    <m:ctrlPr>
                      <w:rPr>
                        <w:rFonts w:ascii="Cambria Math" w:hAnsi="Cambria Math"/>
                        <w:i/>
                      </w:rPr>
                    </m:ctrlPr>
                  </m:sSubPr>
                  <m:e>
                    <m:r>
                      <w:rPr>
                        <w:rFonts w:ascii="Cambria Math" w:hAnsi="Cambria Math"/>
                      </w:rPr>
                      <m:t>EF</m:t>
                    </m:r>
                  </m:e>
                  <m:sub>
                    <m:r>
                      <w:rPr>
                        <w:rFonts w:ascii="Cambria Math" w:hAnsi="Cambria Math"/>
                      </w:rPr>
                      <m:t>EL,p,t</m:t>
                    </m:r>
                  </m:sub>
                </m:sSub>
              </m:oMath>
            </m:oMathPara>
          </w:p>
        </w:tc>
        <w:tc>
          <w:tcPr>
            <w:tcW w:w="345" w:type="dxa"/>
            <w:vAlign w:val="top"/>
          </w:tcPr>
          <w:p w14:paraId="5BF74754" w14:textId="77777777" w:rsidR="00D54AE9" w:rsidRPr="00780E96" w:rsidRDefault="00D54AE9" w:rsidP="00A25D4E">
            <w:pPr>
              <w:pStyle w:val="SDMTableBoxParaNotNumbered"/>
            </w:pPr>
            <w:r w:rsidRPr="00780E96">
              <w:t>=</w:t>
            </w:r>
          </w:p>
        </w:tc>
        <w:tc>
          <w:tcPr>
            <w:tcW w:w="0" w:type="auto"/>
            <w:vAlign w:val="top"/>
          </w:tcPr>
          <w:p w14:paraId="38784073" w14:textId="77777777" w:rsidR="00D54AE9" w:rsidRPr="00780E96" w:rsidRDefault="00D54AE9" w:rsidP="00A25D4E">
            <w:pPr>
              <w:pStyle w:val="SDMTableBoxParaNotNumbered"/>
            </w:pPr>
            <w:r w:rsidRPr="00780E96">
              <w:t>CO</w:t>
            </w:r>
            <w:r w:rsidRPr="00780E96">
              <w:rPr>
                <w:vertAlign w:val="subscript"/>
              </w:rPr>
              <w:t>2</w:t>
            </w:r>
            <w:r w:rsidRPr="00780E96">
              <w:t xml:space="preserve"> emission factor of power unit</w:t>
            </w:r>
            <w:r w:rsidR="00791CF2" w:rsidRPr="00780E96">
              <w:t> </w:t>
            </w:r>
            <w:r w:rsidR="00E237FC" w:rsidRPr="00780E96">
              <w:rPr>
                <w:i/>
              </w:rPr>
              <w:t>p</w:t>
            </w:r>
            <w:r w:rsidRPr="00780E96">
              <w:t xml:space="preserve"> in </w:t>
            </w:r>
            <w:r w:rsidR="0044098C" w:rsidRPr="00780E96">
              <w:t>period</w:t>
            </w:r>
            <w:r w:rsidR="00791CF2" w:rsidRPr="00780E96">
              <w:t> </w:t>
            </w:r>
            <w:r w:rsidR="0044098C" w:rsidRPr="00780E96">
              <w:rPr>
                <w:i/>
                <w:iCs/>
              </w:rPr>
              <w:t>t</w:t>
            </w:r>
            <w:r w:rsidR="007241C7" w:rsidRPr="00780E96">
              <w:t xml:space="preserve"> </w:t>
            </w:r>
            <w:r w:rsidRPr="00780E96">
              <w:t>(t</w:t>
            </w:r>
            <w:r w:rsidR="006A185A" w:rsidRPr="00780E96">
              <w:t> </w:t>
            </w:r>
            <w:r w:rsidRPr="00780E96">
              <w:t>CO</w:t>
            </w:r>
            <w:r w:rsidRPr="00780E96">
              <w:rPr>
                <w:vertAlign w:val="subscript"/>
              </w:rPr>
              <w:t>2</w:t>
            </w:r>
            <w:r w:rsidRPr="00780E96">
              <w:t>/MWh)</w:t>
            </w:r>
          </w:p>
        </w:tc>
      </w:tr>
      <w:tr w:rsidR="00D54AE9" w:rsidRPr="00780E96" w14:paraId="0C8BEBC8" w14:textId="77777777" w:rsidTr="00C220BF">
        <w:tc>
          <w:tcPr>
            <w:tcW w:w="1701" w:type="dxa"/>
            <w:vAlign w:val="top"/>
          </w:tcPr>
          <w:p w14:paraId="4AA676E3" w14:textId="77777777" w:rsidR="00D54AE9" w:rsidRPr="00780E96" w:rsidRDefault="00F27E5B" w:rsidP="00A25D4E">
            <w:pPr>
              <w:pStyle w:val="SDMTableBoxParaNotNumbered"/>
              <w:rPr>
                <w:i/>
              </w:rPr>
            </w:pPr>
            <m:oMathPara>
              <m:oMathParaPr>
                <m:jc m:val="left"/>
              </m:oMathParaPr>
              <m:oMath>
                <m:r>
                  <w:rPr>
                    <w:rFonts w:ascii="Cambria Math" w:hAnsi="Cambria Math"/>
                  </w:rPr>
                  <m:t>p</m:t>
                </m:r>
              </m:oMath>
            </m:oMathPara>
          </w:p>
        </w:tc>
        <w:tc>
          <w:tcPr>
            <w:tcW w:w="345" w:type="dxa"/>
            <w:vAlign w:val="top"/>
          </w:tcPr>
          <w:p w14:paraId="6F2BCA3D" w14:textId="77777777" w:rsidR="00D54AE9" w:rsidRPr="00780E96" w:rsidRDefault="00D54AE9" w:rsidP="00A25D4E">
            <w:pPr>
              <w:pStyle w:val="SDMTableBoxParaNotNumbered"/>
            </w:pPr>
            <w:r w:rsidRPr="00780E96">
              <w:t>=</w:t>
            </w:r>
          </w:p>
        </w:tc>
        <w:tc>
          <w:tcPr>
            <w:tcW w:w="0" w:type="auto"/>
            <w:vAlign w:val="top"/>
          </w:tcPr>
          <w:p w14:paraId="7DFA75F3" w14:textId="6E2E222F" w:rsidR="00D54AE9" w:rsidRPr="00780E96" w:rsidRDefault="005E2119" w:rsidP="00A25D4E">
            <w:pPr>
              <w:pStyle w:val="SDMTableBoxParaNotNumbered"/>
            </w:pPr>
            <w:r w:rsidRPr="00780E96">
              <w:t>P</w:t>
            </w:r>
            <w:r w:rsidR="00D54AE9" w:rsidRPr="00780E96">
              <w:t>ower unit</w:t>
            </w:r>
            <w:r w:rsidR="00200A3B" w:rsidRPr="00780E96">
              <w:t>s</w:t>
            </w:r>
            <w:r w:rsidR="00D54AE9" w:rsidRPr="00780E96">
              <w:t xml:space="preserve"> </w:t>
            </w:r>
            <w:r w:rsidR="00461FE0" w:rsidRPr="00780E96">
              <w:t>not</w:t>
            </w:r>
            <w:r w:rsidR="00D54AE9" w:rsidRPr="00780E96">
              <w:t xml:space="preserve"> </w:t>
            </w:r>
            <w:r w:rsidR="009B0A30" w:rsidRPr="00780E96">
              <w:t>designated as must-run power unit</w:t>
            </w:r>
            <w:r w:rsidR="002F335B" w:rsidRPr="00780E96">
              <w:t>s</w:t>
            </w:r>
            <w:r w:rsidR="009B0A30" w:rsidRPr="00780E96">
              <w:t xml:space="preserve"> </w:t>
            </w:r>
            <w:r w:rsidRPr="00780E96">
              <w:t xml:space="preserve">delivering electricity to the </w:t>
            </w:r>
            <w:r w:rsidR="00200A3B" w:rsidRPr="00780E96">
              <w:t>electricity system</w:t>
            </w:r>
            <w:r w:rsidR="00D54AE9" w:rsidRPr="00780E96">
              <w:t xml:space="preserve"> in </w:t>
            </w:r>
            <w:r w:rsidR="00E86345" w:rsidRPr="00780E96">
              <w:t>period</w:t>
            </w:r>
            <w:r w:rsidR="00D54AE9" w:rsidRPr="00780E96">
              <w:t> </w:t>
            </w:r>
            <w:r w:rsidR="00E56960" w:rsidRPr="00780E96">
              <w:rPr>
                <w:i/>
              </w:rPr>
              <w:t>t</w:t>
            </w:r>
          </w:p>
        </w:tc>
      </w:tr>
      <w:tr w:rsidR="00593A00" w:rsidRPr="00780E96" w14:paraId="7D037888" w14:textId="77777777" w:rsidTr="00C220BF">
        <w:tc>
          <w:tcPr>
            <w:tcW w:w="1701" w:type="dxa"/>
            <w:vAlign w:val="top"/>
          </w:tcPr>
          <w:p w14:paraId="6EE11EE9" w14:textId="00F686B7" w:rsidR="007241C7" w:rsidRPr="00780E96" w:rsidRDefault="00425A60" w:rsidP="00A25D4E">
            <w:pPr>
              <w:pStyle w:val="SDMTableBoxParaNotNumbered"/>
              <w:rPr>
                <w:rFonts w:eastAsiaTheme="minorEastAsia"/>
                <w:i/>
                <w:lang w:eastAsia="zh-CN"/>
              </w:rPr>
            </w:pPr>
            <m:oMathPara>
              <m:oMathParaPr>
                <m:jc m:val="left"/>
              </m:oMathParaPr>
              <m:oMath>
                <m:r>
                  <w:rPr>
                    <w:rFonts w:ascii="Cambria Math" w:eastAsiaTheme="minorEastAsia" w:hAnsi="Cambria Math"/>
                    <w:lang w:eastAsia="zh-CN"/>
                  </w:rPr>
                  <m:t>t</m:t>
                </m:r>
              </m:oMath>
            </m:oMathPara>
          </w:p>
        </w:tc>
        <w:tc>
          <w:tcPr>
            <w:tcW w:w="345" w:type="dxa"/>
            <w:vAlign w:val="top"/>
          </w:tcPr>
          <w:p w14:paraId="4D6BC6E2" w14:textId="77777777" w:rsidR="007241C7" w:rsidRPr="00780E96" w:rsidRDefault="007241C7" w:rsidP="00A25D4E">
            <w:pPr>
              <w:pStyle w:val="SDMTableBoxParaNotNumbered"/>
              <w:rPr>
                <w:rFonts w:eastAsiaTheme="minorEastAsia"/>
                <w:lang w:eastAsia="zh-CN"/>
              </w:rPr>
            </w:pPr>
            <w:r w:rsidRPr="00780E96">
              <w:rPr>
                <w:rFonts w:eastAsiaTheme="minorEastAsia" w:hint="eastAsia"/>
                <w:lang w:eastAsia="zh-CN"/>
              </w:rPr>
              <w:t>=</w:t>
            </w:r>
          </w:p>
        </w:tc>
        <w:tc>
          <w:tcPr>
            <w:tcW w:w="0" w:type="auto"/>
            <w:vAlign w:val="top"/>
          </w:tcPr>
          <w:p w14:paraId="3AB997DB" w14:textId="5D715DC8" w:rsidR="007241C7" w:rsidRPr="00780E96" w:rsidRDefault="0A83D0DB" w:rsidP="55FC4291">
            <w:pPr>
              <w:pStyle w:val="SDMTableBoxParaNotNumbered"/>
              <w:rPr>
                <w:rFonts w:eastAsiaTheme="minorEastAsia"/>
                <w:lang w:eastAsia="zh-CN"/>
              </w:rPr>
            </w:pPr>
            <w:r w:rsidRPr="00780E96">
              <w:rPr>
                <w:rFonts w:eastAsiaTheme="minorEastAsia"/>
                <w:lang w:eastAsia="zh-CN"/>
              </w:rPr>
              <w:t>Relevant period</w:t>
            </w:r>
            <w:r w:rsidR="2E9051F4" w:rsidRPr="00780E96">
              <w:rPr>
                <w:rFonts w:eastAsiaTheme="minorEastAsia"/>
                <w:lang w:eastAsia="zh-CN"/>
              </w:rPr>
              <w:t>: under the ex</w:t>
            </w:r>
            <w:r w:rsidR="46591FAC" w:rsidRPr="00780E96">
              <w:rPr>
                <w:rFonts w:eastAsiaTheme="minorEastAsia"/>
                <w:lang w:eastAsia="zh-CN"/>
              </w:rPr>
              <w:t>-</w:t>
            </w:r>
            <w:r w:rsidR="2E9051F4" w:rsidRPr="00780E96">
              <w:rPr>
                <w:rFonts w:eastAsiaTheme="minorEastAsia"/>
                <w:lang w:eastAsia="zh-CN"/>
              </w:rPr>
              <w:t xml:space="preserve">ante option the </w:t>
            </w:r>
            <w:r w:rsidR="65EBB946" w:rsidRPr="00780E96">
              <w:rPr>
                <w:rFonts w:eastAsiaTheme="minorEastAsia"/>
                <w:lang w:eastAsia="zh-CN"/>
              </w:rPr>
              <w:t xml:space="preserve">most recent three historical calendar years for which data </w:t>
            </w:r>
            <w:r w:rsidR="5AAFB722" w:rsidRPr="00780E96">
              <w:rPr>
                <w:rFonts w:eastAsiaTheme="minorEastAsia"/>
                <w:lang w:eastAsia="zh-CN"/>
              </w:rPr>
              <w:t xml:space="preserve">are </w:t>
            </w:r>
            <w:r w:rsidR="65EBB946" w:rsidRPr="00780E96">
              <w:rPr>
                <w:rFonts w:eastAsiaTheme="minorEastAsia"/>
                <w:lang w:eastAsia="zh-CN"/>
              </w:rPr>
              <w:t xml:space="preserve">available at the time of submission </w:t>
            </w:r>
            <w:r w:rsidR="00732D7F" w:rsidRPr="00780E96">
              <w:rPr>
                <w:rFonts w:eastAsiaTheme="minorEastAsia"/>
                <w:lang w:eastAsia="zh-CN"/>
              </w:rPr>
              <w:t xml:space="preserve">to the DOE for validation </w:t>
            </w:r>
            <w:r w:rsidR="65EBB946" w:rsidRPr="00780E96">
              <w:rPr>
                <w:rFonts w:eastAsiaTheme="minorEastAsia"/>
                <w:lang w:eastAsia="zh-CN"/>
              </w:rPr>
              <w:t>of the PDD</w:t>
            </w:r>
            <w:r w:rsidR="00E20A7E" w:rsidRPr="00780E96">
              <w:rPr>
                <w:rFonts w:eastAsiaTheme="minorEastAsia"/>
                <w:lang w:eastAsia="zh-CN"/>
              </w:rPr>
              <w:t xml:space="preserve"> or CP-DD</w:t>
            </w:r>
            <w:r w:rsidR="65EBB946" w:rsidRPr="00780E96">
              <w:rPr>
                <w:rFonts w:eastAsiaTheme="minorEastAsia"/>
                <w:lang w:eastAsia="zh-CN"/>
              </w:rPr>
              <w:t>; under the ex</w:t>
            </w:r>
            <w:r w:rsidR="68BFCBB0" w:rsidRPr="00780E96">
              <w:rPr>
                <w:rFonts w:eastAsiaTheme="minorEastAsia"/>
                <w:lang w:eastAsia="zh-CN"/>
              </w:rPr>
              <w:t>-</w:t>
            </w:r>
            <w:r w:rsidR="65EBB946" w:rsidRPr="00780E96">
              <w:rPr>
                <w:rFonts w:eastAsiaTheme="minorEastAsia"/>
                <w:lang w:eastAsia="zh-CN"/>
              </w:rPr>
              <w:t xml:space="preserve">post option, the </w:t>
            </w:r>
            <w:r w:rsidRPr="00780E96">
              <w:rPr>
                <w:rFonts w:eastAsiaTheme="minorEastAsia"/>
                <w:lang w:eastAsia="zh-CN"/>
              </w:rPr>
              <w:t xml:space="preserve">calendar year </w:t>
            </w:r>
            <w:r w:rsidRPr="00780E96">
              <w:rPr>
                <w:rFonts w:eastAsiaTheme="minorEastAsia"/>
                <w:i/>
                <w:iCs/>
                <w:lang w:eastAsia="zh-CN"/>
              </w:rPr>
              <w:t>y</w:t>
            </w:r>
            <w:r w:rsidRPr="00780E96">
              <w:rPr>
                <w:rFonts w:eastAsiaTheme="minorEastAsia"/>
                <w:lang w:eastAsia="zh-CN"/>
              </w:rPr>
              <w:t xml:space="preserve"> of the crediting period</w:t>
            </w:r>
            <w:r w:rsidR="4CE688CB" w:rsidRPr="00780E96">
              <w:rPr>
                <w:rFonts w:eastAsiaTheme="minorEastAsia"/>
                <w:lang w:eastAsia="zh-CN"/>
              </w:rPr>
              <w:t xml:space="preserve"> or</w:t>
            </w:r>
            <w:r w:rsidRPr="00780E96">
              <w:rPr>
                <w:rFonts w:eastAsiaTheme="minorEastAsia"/>
                <w:lang w:eastAsia="zh-CN"/>
              </w:rPr>
              <w:t xml:space="preserve"> </w:t>
            </w:r>
            <w:r w:rsidR="65EBB946" w:rsidRPr="00780E96">
              <w:rPr>
                <w:rFonts w:eastAsiaTheme="minorEastAsia"/>
                <w:lang w:eastAsia="zh-CN"/>
              </w:rPr>
              <w:t xml:space="preserve">the </w:t>
            </w:r>
            <w:r w:rsidRPr="00780E96">
              <w:rPr>
                <w:rFonts w:eastAsiaTheme="minorEastAsia"/>
                <w:lang w:eastAsia="zh-CN"/>
              </w:rPr>
              <w:t>historical year </w:t>
            </w:r>
            <w:r w:rsidRPr="00780E96">
              <w:rPr>
                <w:rFonts w:eastAsiaTheme="minorEastAsia"/>
                <w:i/>
                <w:iCs/>
                <w:lang w:eastAsia="zh-CN"/>
              </w:rPr>
              <w:t>v</w:t>
            </w:r>
          </w:p>
        </w:tc>
      </w:tr>
    </w:tbl>
    <w:p w14:paraId="093400A8" w14:textId="011ED8AD" w:rsidR="00D54AE9" w:rsidRPr="00780E96" w:rsidRDefault="00D72C58">
      <w:pPr>
        <w:pStyle w:val="SDMPara"/>
      </w:pPr>
      <w:r w:rsidRPr="00780E96">
        <w:t>The CO</w:t>
      </w:r>
      <w:r w:rsidRPr="00780E96">
        <w:rPr>
          <w:vertAlign w:val="subscript"/>
        </w:rPr>
        <w:t>2</w:t>
      </w:r>
      <w:r w:rsidRPr="00780E96">
        <w:t xml:space="preserve"> emission factor of the power units </w:t>
      </w:r>
      <w:r w:rsidRPr="00780E96">
        <w:rPr>
          <w:i/>
        </w:rPr>
        <w:t>p</w:t>
      </w:r>
      <w:r w:rsidRPr="00780E96">
        <w:t xml:space="preserve"> (</w:t>
      </w:r>
      <w:r w:rsidRPr="00780E96">
        <w:rPr>
          <w:i/>
        </w:rPr>
        <w:t>EF</w:t>
      </w:r>
      <w:r w:rsidRPr="00780E96">
        <w:rPr>
          <w:i/>
          <w:vertAlign w:val="subscript"/>
        </w:rPr>
        <w:t>EL,p,t</w:t>
      </w:r>
      <w:r w:rsidRPr="00780E96">
        <w:t xml:space="preserve">) </w:t>
      </w:r>
      <w:r w:rsidR="00BA448C" w:rsidRPr="00780E96">
        <w:t>shall</w:t>
      </w:r>
      <w:r w:rsidR="27D43BFB" w:rsidRPr="00780E96">
        <w:t xml:space="preserve"> be determined </w:t>
      </w:r>
      <w:r w:rsidR="00765D7F" w:rsidRPr="00780E96">
        <w:t>in accordance with</w:t>
      </w:r>
      <w:r w:rsidR="27D43BFB" w:rsidRPr="00780E96">
        <w:t xml:space="preserve"> the </w:t>
      </w:r>
      <w:r w:rsidRPr="00780E96">
        <w:t>provisions</w:t>
      </w:r>
      <w:r w:rsidR="27D43BFB" w:rsidRPr="00780E96">
        <w:t xml:space="preserve"> </w:t>
      </w:r>
      <w:r w:rsidR="00765D7F" w:rsidRPr="00780E96">
        <w:t xml:space="preserve">of </w:t>
      </w:r>
      <w:r w:rsidR="003F7DDF" w:rsidRPr="00780E96">
        <w:t>section</w:t>
      </w:r>
      <w:r w:rsidR="00D34A16" w:rsidRPr="00780E96">
        <w:t xml:space="preserve"> </w:t>
      </w:r>
      <w:r w:rsidR="00D34A16" w:rsidRPr="00780E96">
        <w:fldChar w:fldCharType="begin"/>
      </w:r>
      <w:r w:rsidR="00D34A16" w:rsidRPr="00780E96">
        <w:instrText xml:space="preserve"> REF _Ref215698796 \w \h </w:instrText>
      </w:r>
      <w:r w:rsidR="00780E96">
        <w:instrText xml:space="preserve"> \* MERGEFORMAT </w:instrText>
      </w:r>
      <w:r w:rsidR="00D34A16" w:rsidRPr="00780E96">
        <w:fldChar w:fldCharType="separate"/>
      </w:r>
      <w:r w:rsidR="003B0135" w:rsidRPr="00780E96">
        <w:rPr>
          <w:cs/>
        </w:rPr>
        <w:t>‎</w:t>
      </w:r>
      <w:r w:rsidR="003B0135" w:rsidRPr="00780E96">
        <w:t>5.7.1.1.3</w:t>
      </w:r>
      <w:r w:rsidR="00D34A16" w:rsidRPr="00780E96">
        <w:fldChar w:fldCharType="end"/>
      </w:r>
      <w:r w:rsidR="003F7DDF" w:rsidRPr="00780E96">
        <w:t>.</w:t>
      </w:r>
    </w:p>
    <w:p w14:paraId="2B09DB43" w14:textId="35C0B3E2" w:rsidR="003F7DDF" w:rsidRPr="00780E96" w:rsidRDefault="003F7DDF" w:rsidP="00F62D64">
      <w:pPr>
        <w:pStyle w:val="SDMPara"/>
        <w:keepNext/>
      </w:pPr>
      <w:bookmarkStart w:id="633" w:name="_Ref215687853"/>
      <w:r w:rsidRPr="00780E96">
        <w:t>Under</w:t>
      </w:r>
      <w:r w:rsidRPr="00780E96" w:rsidDel="00C21CB3">
        <w:t xml:space="preserve"> </w:t>
      </w:r>
      <w:r w:rsidR="00C21CB3" w:rsidRPr="00780E96">
        <w:t>approach</w:t>
      </w:r>
      <w:r w:rsidR="0033417D" w:rsidRPr="00780E96">
        <w:t> </w:t>
      </w:r>
      <w:r w:rsidRPr="00780E96">
        <w:t xml:space="preserve">B, the simple OM emission factor shall be calculated based on the </w:t>
      </w:r>
      <w:r w:rsidR="2CE001A2" w:rsidRPr="00780E96">
        <w:t>total net electricity generation of all power units serving the electricity system that are not designated as must-run power units and the fuel types and total fuel consumption of these power units</w:t>
      </w:r>
      <w:bookmarkEnd w:id="633"/>
      <w:r w:rsidRPr="00780E96">
        <w:t>, as follows:</w:t>
      </w:r>
    </w:p>
    <w:tbl>
      <w:tblPr>
        <w:tblStyle w:val="SDMMethTableEquation"/>
        <w:tblW w:w="8760" w:type="dxa"/>
        <w:tblLook w:val="0600" w:firstRow="0" w:lastRow="0" w:firstColumn="0" w:lastColumn="0" w:noHBand="1" w:noVBand="1"/>
      </w:tblPr>
      <w:tblGrid>
        <w:gridCol w:w="7102"/>
        <w:gridCol w:w="1658"/>
      </w:tblGrid>
      <w:tr w:rsidR="003F7DDF" w:rsidRPr="00780E96" w14:paraId="210C3FF3" w14:textId="77777777">
        <w:tc>
          <w:tcPr>
            <w:tcW w:w="7224" w:type="dxa"/>
          </w:tcPr>
          <w:p w14:paraId="342D75F4" w14:textId="77777777" w:rsidR="003F7DDF" w:rsidRPr="00780E96" w:rsidRDefault="003F6646">
            <w:pPr>
              <w:pStyle w:val="SDMMethEquation"/>
            </w:pPr>
            <m:oMathPara>
              <m:oMathParaPr>
                <m:jc m:val="left"/>
              </m:oMathParaPr>
              <m:oMath>
                <m:sSub>
                  <m:sSubPr>
                    <m:ctrlPr>
                      <w:rPr>
                        <w:rFonts w:ascii="Cambria Math" w:hAnsi="Cambria Math"/>
                        <w:i/>
                      </w:rPr>
                    </m:ctrlPr>
                  </m:sSubPr>
                  <m:e>
                    <m:r>
                      <w:rPr>
                        <w:rFonts w:ascii="Cambria Math" w:hAnsi="Cambria Math"/>
                      </w:rPr>
                      <m:t>EF</m:t>
                    </m:r>
                  </m:e>
                  <m:sub>
                    <m:r>
                      <w:rPr>
                        <w:rFonts w:ascii="Cambria Math" w:hAnsi="Cambria Math"/>
                      </w:rPr>
                      <m:t>OM,simple,t</m:t>
                    </m:r>
                  </m:sub>
                </m:sSub>
                <m:r>
                  <w:rPr>
                    <w:rFonts w:ascii="Cambria Math" w:hAnsi="Cambria Math"/>
                  </w:rPr>
                  <m:t>=</m:t>
                </m:r>
                <m:f>
                  <m:fPr>
                    <m:ctrlPr>
                      <w:rPr>
                        <w:rFonts w:ascii="Cambria Math" w:hAnsi="Cambria Math"/>
                        <w:i/>
                      </w:rPr>
                    </m:ctrlPr>
                  </m:fPr>
                  <m:num>
                    <m:nary>
                      <m:naryPr>
                        <m:chr m:val="∑"/>
                        <m:limLoc m:val="undOvr"/>
                        <m:supHide m:val="1"/>
                        <m:ctrlPr>
                          <w:rPr>
                            <w:rFonts w:ascii="Cambria Math" w:hAnsi="Cambria Math"/>
                            <w:i/>
                          </w:rPr>
                        </m:ctrlPr>
                      </m:naryPr>
                      <m:sub>
                        <m:r>
                          <w:rPr>
                            <w:rFonts w:ascii="Cambria Math" w:hAnsi="Cambria Math"/>
                          </w:rPr>
                          <m:t>i</m:t>
                        </m:r>
                      </m:sub>
                      <m:sup/>
                      <m:e>
                        <m:sSub>
                          <m:sSubPr>
                            <m:ctrlPr>
                              <w:rPr>
                                <w:rFonts w:ascii="Cambria Math" w:hAnsi="Cambria Math"/>
                                <w:i/>
                              </w:rPr>
                            </m:ctrlPr>
                          </m:sSubPr>
                          <m:e>
                            <m:r>
                              <w:rPr>
                                <w:rFonts w:ascii="Cambria Math" w:hAnsi="Cambria Math"/>
                              </w:rPr>
                              <m:t>FC</m:t>
                            </m:r>
                          </m:e>
                          <m:sub>
                            <m:r>
                              <w:rPr>
                                <w:rFonts w:ascii="Cambria Math" w:hAnsi="Cambria Math"/>
                              </w:rPr>
                              <m:t>i,t</m:t>
                            </m:r>
                          </m:sub>
                        </m:sSub>
                        <m:r>
                          <w:rPr>
                            <w:rFonts w:ascii="Cambria Math" w:hAnsi="Cambria Math"/>
                          </w:rPr>
                          <m:t>×</m:t>
                        </m:r>
                        <m:sSub>
                          <m:sSubPr>
                            <m:ctrlPr>
                              <w:rPr>
                                <w:rFonts w:ascii="Cambria Math" w:hAnsi="Cambria Math"/>
                                <w:i/>
                              </w:rPr>
                            </m:ctrlPr>
                          </m:sSubPr>
                          <m:e>
                            <m:r>
                              <w:rPr>
                                <w:rFonts w:ascii="Cambria Math" w:hAnsi="Cambria Math"/>
                              </w:rPr>
                              <m:t>NCV</m:t>
                            </m:r>
                          </m:e>
                          <m:sub>
                            <m:r>
                              <w:rPr>
                                <w:rFonts w:ascii="Cambria Math" w:hAnsi="Cambria Math"/>
                              </w:rPr>
                              <m:t>i,t</m:t>
                            </m:r>
                          </m:sub>
                        </m:sSub>
                        <m:r>
                          <w:rPr>
                            <w:rFonts w:ascii="Cambria Math" w:hAnsi="Cambria Math"/>
                          </w:rPr>
                          <m:t>×</m:t>
                        </m:r>
                        <m:sSub>
                          <m:sSubPr>
                            <m:ctrlPr>
                              <w:rPr>
                                <w:rFonts w:ascii="Cambria Math" w:hAnsi="Cambria Math"/>
                                <w:i/>
                              </w:rPr>
                            </m:ctrlPr>
                          </m:sSubPr>
                          <m:e>
                            <m:r>
                              <w:rPr>
                                <w:rFonts w:ascii="Cambria Math" w:hAnsi="Cambria Math"/>
                              </w:rPr>
                              <m:t>EF</m:t>
                            </m:r>
                          </m:e>
                          <m:sub>
                            <m:r>
                              <w:rPr>
                                <w:rFonts w:ascii="Cambria Math" w:hAnsi="Cambria Math"/>
                              </w:rPr>
                              <m:t>CO2,i,t</m:t>
                            </m:r>
                          </m:sub>
                        </m:sSub>
                      </m:e>
                    </m:nary>
                  </m:num>
                  <m:den>
                    <m:sSub>
                      <m:sSubPr>
                        <m:ctrlPr>
                          <w:rPr>
                            <w:rFonts w:ascii="Cambria Math" w:hAnsi="Cambria Math"/>
                            <w:i/>
                          </w:rPr>
                        </m:ctrlPr>
                      </m:sSubPr>
                      <m:e>
                        <m:r>
                          <w:rPr>
                            <w:rFonts w:ascii="Cambria Math" w:hAnsi="Cambria Math"/>
                          </w:rPr>
                          <m:t>EG</m:t>
                        </m:r>
                      </m:e>
                      <m:sub>
                        <m:r>
                          <w:rPr>
                            <w:rFonts w:ascii="Cambria Math" w:hAnsi="Cambria Math"/>
                          </w:rPr>
                          <m:t>t</m:t>
                        </m:r>
                      </m:sub>
                    </m:sSub>
                  </m:den>
                </m:f>
              </m:oMath>
            </m:oMathPara>
          </w:p>
        </w:tc>
        <w:tc>
          <w:tcPr>
            <w:tcW w:w="1701" w:type="dxa"/>
          </w:tcPr>
          <w:p w14:paraId="4F12D899" w14:textId="77777777" w:rsidR="003F7DDF" w:rsidRPr="00780E96" w:rsidRDefault="003F7DDF">
            <w:pPr>
              <w:pStyle w:val="SDMMethEquationNr"/>
              <w:numPr>
                <w:ilvl w:val="0"/>
                <w:numId w:val="6"/>
              </w:numPr>
            </w:pPr>
          </w:p>
        </w:tc>
      </w:tr>
    </w:tbl>
    <w:p w14:paraId="6DFE0300" w14:textId="77777777" w:rsidR="003F7DDF" w:rsidRPr="00780E96" w:rsidRDefault="003F7DDF" w:rsidP="00F62D64">
      <w:pPr>
        <w:pStyle w:val="SDMMethCaptionEquationParametersTable"/>
        <w:keepLines w:val="0"/>
      </w:pPr>
      <w:r w:rsidRPr="00780E96">
        <w:t>Where:</w:t>
      </w:r>
    </w:p>
    <w:tbl>
      <w:tblPr>
        <w:tblStyle w:val="SDMMethTableEquationParameters"/>
        <w:tblW w:w="8760" w:type="dxa"/>
        <w:tblLook w:val="04A0" w:firstRow="1" w:lastRow="0" w:firstColumn="1" w:lastColumn="0" w:noHBand="0" w:noVBand="1"/>
      </w:tblPr>
      <w:tblGrid>
        <w:gridCol w:w="1752"/>
        <w:gridCol w:w="355"/>
        <w:gridCol w:w="6653"/>
      </w:tblGrid>
      <w:tr w:rsidR="003F7DDF" w:rsidRPr="00780E96" w14:paraId="7679D07B" w14:textId="77777777" w:rsidTr="00C220BF">
        <w:tc>
          <w:tcPr>
            <w:tcW w:w="1701" w:type="dxa"/>
            <w:vAlign w:val="top"/>
          </w:tcPr>
          <w:p w14:paraId="44C5F9E8" w14:textId="395BBC2F" w:rsidR="003F7DDF" w:rsidRPr="00780E96" w:rsidRDefault="003F6646" w:rsidP="007967A9">
            <w:pPr>
              <w:pStyle w:val="SDMTableBoxParaNotNumbered"/>
              <w:keepNext/>
              <w:rPr>
                <w:rFonts w:cs="Arial"/>
                <w:i/>
              </w:rPr>
            </w:pPr>
            <m:oMathPara>
              <m:oMathParaPr>
                <m:jc m:val="left"/>
              </m:oMathParaPr>
              <m:oMath>
                <m:sSub>
                  <m:sSubPr>
                    <m:ctrlPr>
                      <w:rPr>
                        <w:rFonts w:ascii="Cambria Math" w:hAnsi="Cambria Math" w:cs="Arial"/>
                        <w:i/>
                      </w:rPr>
                    </m:ctrlPr>
                  </m:sSubPr>
                  <m:e>
                    <m:r>
                      <w:rPr>
                        <w:rFonts w:ascii="Cambria Math" w:hAnsi="Cambria Math" w:cs="Arial"/>
                      </w:rPr>
                      <m:t>EF</m:t>
                    </m:r>
                  </m:e>
                  <m:sub>
                    <m:r>
                      <w:rPr>
                        <w:rFonts w:ascii="Cambria Math" w:hAnsi="Cambria Math" w:cs="Arial"/>
                      </w:rPr>
                      <m:t>OM,simple,t</m:t>
                    </m:r>
                  </m:sub>
                </m:sSub>
              </m:oMath>
            </m:oMathPara>
          </w:p>
        </w:tc>
        <w:tc>
          <w:tcPr>
            <w:tcW w:w="345" w:type="dxa"/>
            <w:vAlign w:val="top"/>
          </w:tcPr>
          <w:p w14:paraId="7A110A20" w14:textId="77777777" w:rsidR="003F7DDF" w:rsidRPr="00780E96" w:rsidRDefault="003F7DDF" w:rsidP="007967A9">
            <w:pPr>
              <w:pStyle w:val="SDMTableBoxParaNotNumbered"/>
              <w:keepNext/>
              <w:rPr>
                <w:rFonts w:cs="Arial"/>
              </w:rPr>
            </w:pPr>
            <w:r w:rsidRPr="00780E96">
              <w:rPr>
                <w:rFonts w:cs="Arial"/>
              </w:rPr>
              <w:t>=</w:t>
            </w:r>
          </w:p>
        </w:tc>
        <w:tc>
          <w:tcPr>
            <w:tcW w:w="6459" w:type="dxa"/>
            <w:vAlign w:val="top"/>
          </w:tcPr>
          <w:p w14:paraId="7ABE6D73" w14:textId="73140A7D" w:rsidR="003F7DDF" w:rsidRPr="00780E96" w:rsidRDefault="003F7DDF" w:rsidP="007967A9">
            <w:pPr>
              <w:pStyle w:val="SDMTableBoxParaNotNumbered"/>
              <w:keepNext/>
              <w:rPr>
                <w:rFonts w:cs="Arial"/>
              </w:rPr>
            </w:pPr>
            <w:r w:rsidRPr="00780E96">
              <w:rPr>
                <w:rFonts w:cs="Arial"/>
              </w:rPr>
              <w:t xml:space="preserve">Simple </w:t>
            </w:r>
            <w:r w:rsidR="00BB1C82" w:rsidRPr="00780E96">
              <w:rPr>
                <w:rFonts w:cs="Arial"/>
              </w:rPr>
              <w:t>OM</w:t>
            </w:r>
            <w:r w:rsidRPr="00780E96">
              <w:rPr>
                <w:rFonts w:cs="Arial"/>
              </w:rPr>
              <w:t xml:space="preserve"> CO</w:t>
            </w:r>
            <w:r w:rsidRPr="00780E96">
              <w:rPr>
                <w:rFonts w:cs="Arial"/>
                <w:vertAlign w:val="subscript"/>
              </w:rPr>
              <w:t>2</w:t>
            </w:r>
            <w:r w:rsidRPr="00780E96">
              <w:rPr>
                <w:rFonts w:cs="Arial"/>
              </w:rPr>
              <w:t xml:space="preserve"> emission factor in period </w:t>
            </w:r>
            <w:r w:rsidRPr="00780E96">
              <w:rPr>
                <w:rFonts w:cs="Arial"/>
                <w:i/>
              </w:rPr>
              <w:t xml:space="preserve">t </w:t>
            </w:r>
            <w:r w:rsidRPr="00780E96">
              <w:rPr>
                <w:rFonts w:cs="Arial"/>
              </w:rPr>
              <w:t>(t CO</w:t>
            </w:r>
            <w:r w:rsidRPr="00780E96">
              <w:rPr>
                <w:rFonts w:cs="Arial"/>
                <w:vertAlign w:val="subscript"/>
              </w:rPr>
              <w:t>2</w:t>
            </w:r>
            <w:r w:rsidR="00502F78" w:rsidRPr="00780E96">
              <w:rPr>
                <w:rFonts w:cs="Arial"/>
              </w:rPr>
              <w:t> / </w:t>
            </w:r>
            <w:r w:rsidRPr="00780E96">
              <w:rPr>
                <w:rFonts w:cs="Arial"/>
              </w:rPr>
              <w:t>MWh)</w:t>
            </w:r>
          </w:p>
        </w:tc>
      </w:tr>
      <w:tr w:rsidR="003F7DDF" w:rsidRPr="00780E96" w14:paraId="673C6C91" w14:textId="77777777" w:rsidTr="00C220BF">
        <w:tc>
          <w:tcPr>
            <w:tcW w:w="1701" w:type="dxa"/>
            <w:vAlign w:val="top"/>
          </w:tcPr>
          <w:p w14:paraId="3A3FFAB1" w14:textId="03096401" w:rsidR="003F7DDF" w:rsidRPr="00780E96" w:rsidRDefault="003F6646" w:rsidP="007967A9">
            <w:pPr>
              <w:pStyle w:val="SDMTableBoxParaNotNumbered"/>
              <w:rPr>
                <w:rFonts w:cs="Arial"/>
                <w:i/>
              </w:rPr>
            </w:pPr>
            <m:oMathPara>
              <m:oMathParaPr>
                <m:jc m:val="left"/>
              </m:oMathParaPr>
              <m:oMath>
                <m:sSub>
                  <m:sSubPr>
                    <m:ctrlPr>
                      <w:rPr>
                        <w:rFonts w:ascii="Cambria Math" w:hAnsi="Cambria Math" w:cs="Arial"/>
                        <w:i/>
                      </w:rPr>
                    </m:ctrlPr>
                  </m:sSubPr>
                  <m:e>
                    <m:r>
                      <w:rPr>
                        <w:rFonts w:ascii="Cambria Math" w:hAnsi="Cambria Math" w:cs="Arial"/>
                      </w:rPr>
                      <m:t>FC</m:t>
                    </m:r>
                  </m:e>
                  <m:sub>
                    <m:r>
                      <w:rPr>
                        <w:rFonts w:ascii="Cambria Math" w:hAnsi="Cambria Math" w:cs="Arial"/>
                      </w:rPr>
                      <m:t>i,t</m:t>
                    </m:r>
                  </m:sub>
                </m:sSub>
              </m:oMath>
            </m:oMathPara>
          </w:p>
        </w:tc>
        <w:tc>
          <w:tcPr>
            <w:tcW w:w="345" w:type="dxa"/>
            <w:vAlign w:val="top"/>
          </w:tcPr>
          <w:p w14:paraId="43812374" w14:textId="77777777" w:rsidR="003F7DDF" w:rsidRPr="00780E96" w:rsidRDefault="003F7DDF" w:rsidP="007967A9">
            <w:pPr>
              <w:pStyle w:val="SDMTableBoxParaNotNumbered"/>
              <w:rPr>
                <w:rFonts w:cs="Arial"/>
              </w:rPr>
            </w:pPr>
            <w:r w:rsidRPr="00780E96">
              <w:rPr>
                <w:rFonts w:cs="Arial"/>
              </w:rPr>
              <w:t>=</w:t>
            </w:r>
          </w:p>
        </w:tc>
        <w:tc>
          <w:tcPr>
            <w:tcW w:w="6459" w:type="dxa"/>
            <w:vAlign w:val="top"/>
          </w:tcPr>
          <w:p w14:paraId="4C39FA19" w14:textId="76438A26" w:rsidR="003F7DDF" w:rsidRPr="00780E96" w:rsidRDefault="003F7DDF" w:rsidP="00502F78">
            <w:pPr>
              <w:pStyle w:val="SDMTableBoxParaNotNumbered"/>
              <w:rPr>
                <w:rFonts w:cs="Arial"/>
              </w:rPr>
            </w:pPr>
            <w:r w:rsidRPr="00780E96">
              <w:rPr>
                <w:rFonts w:cs="Arial"/>
              </w:rPr>
              <w:t>Amount of fuel type </w:t>
            </w:r>
            <w:r w:rsidRPr="00780E96">
              <w:rPr>
                <w:rFonts w:cs="Arial"/>
                <w:i/>
                <w:iCs/>
              </w:rPr>
              <w:t>i</w:t>
            </w:r>
            <w:r w:rsidRPr="00780E96">
              <w:rPr>
                <w:rFonts w:cs="Arial"/>
              </w:rPr>
              <w:t xml:space="preserve"> consumed </w:t>
            </w:r>
            <w:r w:rsidR="1C255BC8" w:rsidRPr="00780E96">
              <w:rPr>
                <w:rFonts w:cs="Arial"/>
              </w:rPr>
              <w:t>by power units</w:t>
            </w:r>
            <w:r w:rsidRPr="00780E96">
              <w:rPr>
                <w:rFonts w:cs="Arial"/>
              </w:rPr>
              <w:t xml:space="preserve"> </w:t>
            </w:r>
            <w:r w:rsidR="4CCE3579" w:rsidRPr="00780E96">
              <w:rPr>
                <w:rFonts w:cs="Arial"/>
              </w:rPr>
              <w:t>that are not designated as must-run power units</w:t>
            </w:r>
            <w:r w:rsidRPr="00780E96">
              <w:rPr>
                <w:rFonts w:cs="Arial"/>
              </w:rPr>
              <w:t xml:space="preserve"> in period </w:t>
            </w:r>
            <w:r w:rsidRPr="00780E96">
              <w:rPr>
                <w:rFonts w:cs="Arial"/>
                <w:i/>
                <w:iCs/>
              </w:rPr>
              <w:t>t</w:t>
            </w:r>
            <w:r w:rsidR="00502F78" w:rsidRPr="00780E96">
              <w:rPr>
                <w:rFonts w:cs="Arial"/>
                <w:i/>
                <w:iCs/>
              </w:rPr>
              <w:t xml:space="preserve"> </w:t>
            </w:r>
            <w:r w:rsidRPr="00780E96">
              <w:rPr>
                <w:rFonts w:cs="Arial"/>
              </w:rPr>
              <w:t>(mass or volume unit)</w:t>
            </w:r>
          </w:p>
        </w:tc>
      </w:tr>
      <w:tr w:rsidR="003F7DDF" w:rsidRPr="00780E96" w14:paraId="3CFF0F7D" w14:textId="77777777" w:rsidTr="00C220BF">
        <w:tc>
          <w:tcPr>
            <w:tcW w:w="1701" w:type="dxa"/>
            <w:vAlign w:val="top"/>
          </w:tcPr>
          <w:p w14:paraId="141DEE90" w14:textId="673CB3B6" w:rsidR="003F7DDF" w:rsidRPr="00780E96" w:rsidRDefault="003F6646" w:rsidP="007967A9">
            <w:pPr>
              <w:pStyle w:val="SDMTableBoxParaNotNumbered"/>
              <w:rPr>
                <w:rFonts w:cs="Arial"/>
                <w:i/>
              </w:rPr>
            </w:pPr>
            <m:oMathPara>
              <m:oMathParaPr>
                <m:jc m:val="left"/>
              </m:oMathParaPr>
              <m:oMath>
                <m:sSub>
                  <m:sSubPr>
                    <m:ctrlPr>
                      <w:rPr>
                        <w:rFonts w:ascii="Cambria Math" w:hAnsi="Cambria Math" w:cs="Arial"/>
                        <w:i/>
                      </w:rPr>
                    </m:ctrlPr>
                  </m:sSubPr>
                  <m:e>
                    <m:r>
                      <w:rPr>
                        <w:rFonts w:ascii="Cambria Math" w:hAnsi="Cambria Math" w:cs="Arial"/>
                      </w:rPr>
                      <m:t>NCV</m:t>
                    </m:r>
                  </m:e>
                  <m:sub>
                    <m:r>
                      <w:rPr>
                        <w:rFonts w:ascii="Cambria Math" w:hAnsi="Cambria Math" w:cs="Arial"/>
                      </w:rPr>
                      <m:t>i,t</m:t>
                    </m:r>
                  </m:sub>
                </m:sSub>
              </m:oMath>
            </m:oMathPara>
          </w:p>
        </w:tc>
        <w:tc>
          <w:tcPr>
            <w:tcW w:w="345" w:type="dxa"/>
            <w:vAlign w:val="top"/>
          </w:tcPr>
          <w:p w14:paraId="5B55D5C4" w14:textId="77777777" w:rsidR="003F7DDF" w:rsidRPr="00780E96" w:rsidRDefault="003F7DDF" w:rsidP="007967A9">
            <w:pPr>
              <w:pStyle w:val="SDMTableBoxParaNotNumbered"/>
              <w:rPr>
                <w:rFonts w:cs="Arial"/>
              </w:rPr>
            </w:pPr>
            <w:r w:rsidRPr="00780E96">
              <w:rPr>
                <w:rFonts w:cs="Arial"/>
              </w:rPr>
              <w:t>=</w:t>
            </w:r>
          </w:p>
        </w:tc>
        <w:tc>
          <w:tcPr>
            <w:tcW w:w="6459" w:type="dxa"/>
            <w:vAlign w:val="top"/>
          </w:tcPr>
          <w:p w14:paraId="5152B6FD" w14:textId="77777777" w:rsidR="009C0775" w:rsidRPr="00780E96" w:rsidRDefault="003F7DDF" w:rsidP="007967A9">
            <w:pPr>
              <w:pStyle w:val="SDMTableBoxParaNotNumbered"/>
              <w:rPr>
                <w:rFonts w:cs="Arial"/>
                <w:i/>
                <w:iCs/>
              </w:rPr>
            </w:pPr>
            <w:r w:rsidRPr="00780E96">
              <w:rPr>
                <w:rFonts w:cs="Arial"/>
              </w:rPr>
              <w:t>Net calorific value (energy content) of fuel type </w:t>
            </w:r>
            <w:r w:rsidRPr="00780E96">
              <w:rPr>
                <w:rFonts w:cs="Arial"/>
                <w:i/>
              </w:rPr>
              <w:t>i</w:t>
            </w:r>
            <w:r w:rsidRPr="00780E96">
              <w:rPr>
                <w:rFonts w:cs="Arial"/>
              </w:rPr>
              <w:t xml:space="preserve"> in period </w:t>
            </w:r>
            <w:r w:rsidRPr="00780E96">
              <w:rPr>
                <w:rFonts w:cs="Arial"/>
                <w:i/>
                <w:iCs/>
              </w:rPr>
              <w:t>t</w:t>
            </w:r>
          </w:p>
          <w:p w14:paraId="06F696AD" w14:textId="438F96A6" w:rsidR="003F7DDF" w:rsidRPr="00780E96" w:rsidRDefault="003F7DDF" w:rsidP="007967A9">
            <w:pPr>
              <w:pStyle w:val="SDMTableBoxParaNotNumbered"/>
              <w:rPr>
                <w:rFonts w:cs="Arial"/>
              </w:rPr>
            </w:pPr>
            <w:r w:rsidRPr="00780E96">
              <w:rPr>
                <w:rFonts w:cs="Arial"/>
              </w:rPr>
              <w:t>(GJ</w:t>
            </w:r>
            <w:r w:rsidR="00502F78" w:rsidRPr="00780E96">
              <w:rPr>
                <w:rFonts w:cs="Arial"/>
              </w:rPr>
              <w:t> / </w:t>
            </w:r>
            <w:r w:rsidRPr="00780E96">
              <w:rPr>
                <w:rFonts w:cs="Arial"/>
              </w:rPr>
              <w:t>mass or volume unit)</w:t>
            </w:r>
          </w:p>
        </w:tc>
      </w:tr>
      <w:tr w:rsidR="003F7DDF" w:rsidRPr="00780E96" w14:paraId="2D48E266" w14:textId="77777777" w:rsidTr="00C220BF">
        <w:tc>
          <w:tcPr>
            <w:tcW w:w="1701" w:type="dxa"/>
            <w:vAlign w:val="top"/>
          </w:tcPr>
          <w:p w14:paraId="2002016F" w14:textId="55198006" w:rsidR="003F7DDF" w:rsidRPr="00780E96" w:rsidRDefault="003F6646" w:rsidP="007967A9">
            <w:pPr>
              <w:pStyle w:val="SDMTableBoxParaNotNumbered"/>
              <w:rPr>
                <w:rFonts w:cs="Arial"/>
                <w:i/>
              </w:rPr>
            </w:pPr>
            <m:oMathPara>
              <m:oMathParaPr>
                <m:jc m:val="left"/>
              </m:oMathParaPr>
              <m:oMath>
                <m:sSub>
                  <m:sSubPr>
                    <m:ctrlPr>
                      <w:rPr>
                        <w:rFonts w:ascii="Cambria Math" w:hAnsi="Cambria Math" w:cs="Arial"/>
                        <w:i/>
                      </w:rPr>
                    </m:ctrlPr>
                  </m:sSubPr>
                  <m:e>
                    <m:r>
                      <w:rPr>
                        <w:rFonts w:ascii="Cambria Math" w:hAnsi="Cambria Math" w:cs="Arial"/>
                      </w:rPr>
                      <m:t>EF</m:t>
                    </m:r>
                  </m:e>
                  <m:sub>
                    <m:r>
                      <w:rPr>
                        <w:rFonts w:ascii="Cambria Math" w:hAnsi="Cambria Math" w:cs="Arial"/>
                      </w:rPr>
                      <m:t>CO2,i,t</m:t>
                    </m:r>
                  </m:sub>
                </m:sSub>
              </m:oMath>
            </m:oMathPara>
          </w:p>
        </w:tc>
        <w:tc>
          <w:tcPr>
            <w:tcW w:w="345" w:type="dxa"/>
            <w:vAlign w:val="top"/>
          </w:tcPr>
          <w:p w14:paraId="07FDBCB2" w14:textId="77777777" w:rsidR="003F7DDF" w:rsidRPr="00780E96" w:rsidRDefault="003F7DDF" w:rsidP="007967A9">
            <w:pPr>
              <w:pStyle w:val="SDMTableBoxParaNotNumbered"/>
              <w:rPr>
                <w:rFonts w:cs="Arial"/>
              </w:rPr>
            </w:pPr>
            <w:r w:rsidRPr="00780E96">
              <w:rPr>
                <w:rFonts w:cs="Arial"/>
              </w:rPr>
              <w:t>=</w:t>
            </w:r>
          </w:p>
        </w:tc>
        <w:tc>
          <w:tcPr>
            <w:tcW w:w="6459" w:type="dxa"/>
            <w:vAlign w:val="top"/>
          </w:tcPr>
          <w:p w14:paraId="2C3CA313" w14:textId="272701E8" w:rsidR="003F7DDF" w:rsidRPr="00780E96" w:rsidRDefault="003F7DDF" w:rsidP="007967A9">
            <w:pPr>
              <w:pStyle w:val="SDMTableBoxParaNotNumbered"/>
              <w:rPr>
                <w:rFonts w:cs="Arial"/>
              </w:rPr>
            </w:pPr>
            <w:r w:rsidRPr="00780E96">
              <w:rPr>
                <w:rFonts w:cs="Arial"/>
              </w:rPr>
              <w:t>CO</w:t>
            </w:r>
            <w:r w:rsidRPr="00780E96">
              <w:rPr>
                <w:rFonts w:cs="Arial"/>
                <w:vertAlign w:val="subscript"/>
              </w:rPr>
              <w:t>2</w:t>
            </w:r>
            <w:r w:rsidRPr="00780E96">
              <w:rPr>
                <w:rFonts w:cs="Arial"/>
              </w:rPr>
              <w:t xml:space="preserve"> emission factor of fuel type </w:t>
            </w:r>
            <w:r w:rsidRPr="00780E96">
              <w:rPr>
                <w:rFonts w:cs="Arial"/>
                <w:i/>
              </w:rPr>
              <w:t>i</w:t>
            </w:r>
            <w:r w:rsidRPr="00780E96">
              <w:rPr>
                <w:rFonts w:cs="Arial"/>
              </w:rPr>
              <w:t xml:space="preserve"> in</w:t>
            </w:r>
            <w:r w:rsidRPr="00780E96">
              <w:rPr>
                <w:rFonts w:cs="Arial"/>
                <w:i/>
              </w:rPr>
              <w:t xml:space="preserve"> </w:t>
            </w:r>
            <w:r w:rsidRPr="00780E96">
              <w:rPr>
                <w:rFonts w:cs="Arial"/>
              </w:rPr>
              <w:t>period </w:t>
            </w:r>
            <w:r w:rsidRPr="00780E96">
              <w:rPr>
                <w:rFonts w:cs="Arial"/>
                <w:i/>
                <w:iCs/>
              </w:rPr>
              <w:t>t</w:t>
            </w:r>
            <w:r w:rsidRPr="00780E96">
              <w:rPr>
                <w:rFonts w:cs="Arial"/>
              </w:rPr>
              <w:t xml:space="preserve"> (t CO</w:t>
            </w:r>
            <w:r w:rsidRPr="00780E96">
              <w:rPr>
                <w:rFonts w:cs="Arial"/>
                <w:vertAlign w:val="subscript"/>
              </w:rPr>
              <w:t>2</w:t>
            </w:r>
            <w:r w:rsidR="003E1BC8" w:rsidRPr="00780E96">
              <w:rPr>
                <w:rFonts w:cs="Arial"/>
              </w:rPr>
              <w:t> / </w:t>
            </w:r>
            <w:r w:rsidRPr="00780E96">
              <w:rPr>
                <w:rFonts w:cs="Arial"/>
              </w:rPr>
              <w:t>GJ)</w:t>
            </w:r>
          </w:p>
        </w:tc>
      </w:tr>
      <w:tr w:rsidR="003F7DDF" w:rsidRPr="00780E96" w14:paraId="4C1422A7" w14:textId="77777777" w:rsidTr="00C220BF">
        <w:tc>
          <w:tcPr>
            <w:tcW w:w="1701" w:type="dxa"/>
            <w:vAlign w:val="top"/>
          </w:tcPr>
          <w:p w14:paraId="60223C5E" w14:textId="1E4FCF18" w:rsidR="003F7DDF" w:rsidRPr="00780E96" w:rsidRDefault="003F6646" w:rsidP="007967A9">
            <w:pPr>
              <w:pStyle w:val="SDMTableBoxParaNotNumbered"/>
              <w:rPr>
                <w:rFonts w:cs="Arial"/>
                <w:i/>
              </w:rPr>
            </w:pPr>
            <m:oMathPara>
              <m:oMathParaPr>
                <m:jc m:val="left"/>
              </m:oMathParaPr>
              <m:oMath>
                <m:sSub>
                  <m:sSubPr>
                    <m:ctrlPr>
                      <w:rPr>
                        <w:rFonts w:ascii="Cambria Math" w:hAnsi="Cambria Math" w:cs="Arial"/>
                        <w:i/>
                      </w:rPr>
                    </m:ctrlPr>
                  </m:sSubPr>
                  <m:e>
                    <m:r>
                      <w:rPr>
                        <w:rFonts w:ascii="Cambria Math" w:hAnsi="Cambria Math" w:cs="Arial"/>
                      </w:rPr>
                      <m:t>EG</m:t>
                    </m:r>
                  </m:e>
                  <m:sub>
                    <m:r>
                      <w:rPr>
                        <w:rFonts w:ascii="Cambria Math" w:hAnsi="Cambria Math" w:cs="Arial"/>
                      </w:rPr>
                      <m:t>t</m:t>
                    </m:r>
                  </m:sub>
                </m:sSub>
              </m:oMath>
            </m:oMathPara>
          </w:p>
        </w:tc>
        <w:tc>
          <w:tcPr>
            <w:tcW w:w="345" w:type="dxa"/>
            <w:vAlign w:val="top"/>
          </w:tcPr>
          <w:p w14:paraId="1C72CFC5" w14:textId="77777777" w:rsidR="003F7DDF" w:rsidRPr="00780E96" w:rsidRDefault="003F7DDF" w:rsidP="007967A9">
            <w:pPr>
              <w:pStyle w:val="SDMTableBoxParaNotNumbered"/>
              <w:rPr>
                <w:rFonts w:cs="Arial"/>
              </w:rPr>
            </w:pPr>
            <w:r w:rsidRPr="00780E96">
              <w:rPr>
                <w:rFonts w:cs="Arial"/>
              </w:rPr>
              <w:t>=</w:t>
            </w:r>
          </w:p>
        </w:tc>
        <w:tc>
          <w:tcPr>
            <w:tcW w:w="6459" w:type="dxa"/>
            <w:vAlign w:val="top"/>
          </w:tcPr>
          <w:p w14:paraId="7B998870" w14:textId="391F4236" w:rsidR="003F7DDF" w:rsidRPr="00780E96" w:rsidRDefault="003F7DDF" w:rsidP="007967A9">
            <w:pPr>
              <w:pStyle w:val="SDMTableBoxParaNotNumbered"/>
              <w:rPr>
                <w:rFonts w:cs="Arial"/>
              </w:rPr>
            </w:pPr>
            <w:r w:rsidRPr="00780E96">
              <w:rPr>
                <w:rFonts w:cs="Arial"/>
              </w:rPr>
              <w:t xml:space="preserve">Net electricity generated and delivered to the electricity </w:t>
            </w:r>
            <w:r w:rsidR="00D81835" w:rsidRPr="00780E96">
              <w:rPr>
                <w:rFonts w:cs="Arial"/>
              </w:rPr>
              <w:t xml:space="preserve">system </w:t>
            </w:r>
            <w:r w:rsidRPr="00780E96">
              <w:rPr>
                <w:rFonts w:cs="Arial"/>
              </w:rPr>
              <w:t xml:space="preserve">by all </w:t>
            </w:r>
            <w:r w:rsidR="320DE27C" w:rsidRPr="00780E96">
              <w:rPr>
                <w:rFonts w:cs="Arial"/>
              </w:rPr>
              <w:t>power units serving the electricity system that are not designated as must-run power units</w:t>
            </w:r>
            <w:r w:rsidRPr="00780E96">
              <w:rPr>
                <w:rFonts w:cs="Arial"/>
                <w:i/>
                <w:iCs/>
              </w:rPr>
              <w:t xml:space="preserve"> </w:t>
            </w:r>
            <w:r w:rsidRPr="00780E96">
              <w:rPr>
                <w:rFonts w:cs="Arial"/>
              </w:rPr>
              <w:t>in period</w:t>
            </w:r>
            <w:r w:rsidRPr="00780E96">
              <w:rPr>
                <w:rFonts w:cs="Arial"/>
                <w:i/>
                <w:iCs/>
              </w:rPr>
              <w:t xml:space="preserve"> t </w:t>
            </w:r>
            <w:r w:rsidRPr="00780E96">
              <w:rPr>
                <w:rFonts w:cs="Arial"/>
              </w:rPr>
              <w:t>(MWh)</w:t>
            </w:r>
          </w:p>
        </w:tc>
      </w:tr>
      <w:tr w:rsidR="003F7DDF" w:rsidRPr="00780E96" w14:paraId="62E86CEE" w14:textId="77777777" w:rsidTr="00C220BF">
        <w:trPr>
          <w:trHeight w:val="23"/>
        </w:trPr>
        <w:tc>
          <w:tcPr>
            <w:tcW w:w="1701" w:type="dxa"/>
            <w:vAlign w:val="top"/>
          </w:tcPr>
          <w:p w14:paraId="3B824526" w14:textId="130EDF6B" w:rsidR="003F7DDF" w:rsidRPr="00780E96" w:rsidRDefault="007F0ACA" w:rsidP="007967A9">
            <w:pPr>
              <w:pStyle w:val="SDMTableBoxParaNotNumbered"/>
              <w:rPr>
                <w:rFonts w:cs="Arial"/>
                <w:i/>
              </w:rPr>
            </w:pPr>
            <m:oMathPara>
              <m:oMathParaPr>
                <m:jc m:val="left"/>
              </m:oMathParaPr>
              <m:oMath>
                <m:r>
                  <w:rPr>
                    <w:rFonts w:ascii="Cambria Math" w:hAnsi="Cambria Math" w:cs="Arial"/>
                  </w:rPr>
                  <m:t>i</m:t>
                </m:r>
              </m:oMath>
            </m:oMathPara>
          </w:p>
        </w:tc>
        <w:tc>
          <w:tcPr>
            <w:tcW w:w="345" w:type="dxa"/>
            <w:vAlign w:val="top"/>
          </w:tcPr>
          <w:p w14:paraId="0FA38C8A" w14:textId="77777777" w:rsidR="003F7DDF" w:rsidRPr="00780E96" w:rsidRDefault="003F7DDF" w:rsidP="007967A9">
            <w:pPr>
              <w:pStyle w:val="SDMTableBoxParaNotNumbered"/>
              <w:rPr>
                <w:rFonts w:cs="Arial"/>
              </w:rPr>
            </w:pPr>
            <w:r w:rsidRPr="00780E96">
              <w:rPr>
                <w:rFonts w:cs="Arial"/>
              </w:rPr>
              <w:t>=</w:t>
            </w:r>
          </w:p>
        </w:tc>
        <w:tc>
          <w:tcPr>
            <w:tcW w:w="6459" w:type="dxa"/>
            <w:vAlign w:val="top"/>
          </w:tcPr>
          <w:p w14:paraId="1053336C" w14:textId="32A05E76" w:rsidR="003F7DDF" w:rsidRPr="00780E96" w:rsidRDefault="003F7DDF" w:rsidP="007967A9">
            <w:pPr>
              <w:pStyle w:val="SDMTableBoxParaNotNumbered"/>
              <w:rPr>
                <w:rFonts w:cs="Arial"/>
                <w:i/>
              </w:rPr>
            </w:pPr>
            <w:r w:rsidRPr="00780E96">
              <w:rPr>
                <w:rFonts w:cs="Arial"/>
              </w:rPr>
              <w:t xml:space="preserve">All fuel types combusted in power </w:t>
            </w:r>
            <w:r w:rsidR="00E756FE" w:rsidRPr="00780E96">
              <w:rPr>
                <w:rFonts w:cs="Arial"/>
              </w:rPr>
              <w:t xml:space="preserve">units </w:t>
            </w:r>
            <w:r w:rsidR="4F902B3D" w:rsidRPr="00780E96">
              <w:rPr>
                <w:rFonts w:cs="Arial"/>
              </w:rPr>
              <w:t>serving the electricity system that are not designated as must-run power units</w:t>
            </w:r>
            <w:r w:rsidRPr="00780E96">
              <w:rPr>
                <w:rFonts w:cs="Arial"/>
              </w:rPr>
              <w:t xml:space="preserve"> in period</w:t>
            </w:r>
            <w:r w:rsidRPr="00780E96">
              <w:rPr>
                <w:rFonts w:cs="Arial"/>
                <w:i/>
                <w:iCs/>
              </w:rPr>
              <w:t> t</w:t>
            </w:r>
          </w:p>
        </w:tc>
      </w:tr>
      <w:tr w:rsidR="003D08A1" w:rsidRPr="00780E96" w14:paraId="215F0327" w14:textId="77777777" w:rsidTr="00C220BF">
        <w:tc>
          <w:tcPr>
            <w:tcW w:w="1701" w:type="dxa"/>
            <w:vAlign w:val="top"/>
          </w:tcPr>
          <w:p w14:paraId="09A7D73B" w14:textId="6EB2DD12" w:rsidR="003D08A1" w:rsidRPr="00780E96" w:rsidRDefault="007F0ACA" w:rsidP="007967A9">
            <w:pPr>
              <w:pStyle w:val="SDMTableBoxParaNotNumbered"/>
              <w:rPr>
                <w:rFonts w:cs="Arial"/>
                <w:i/>
              </w:rPr>
            </w:pPr>
            <m:oMathPara>
              <m:oMathParaPr>
                <m:jc m:val="left"/>
              </m:oMathParaPr>
              <m:oMath>
                <m:r>
                  <w:rPr>
                    <w:rFonts w:ascii="Cambria Math" w:hAnsi="Cambria Math" w:cs="Arial"/>
                  </w:rPr>
                  <m:t>t</m:t>
                </m:r>
              </m:oMath>
            </m:oMathPara>
          </w:p>
        </w:tc>
        <w:tc>
          <w:tcPr>
            <w:tcW w:w="345" w:type="dxa"/>
            <w:vAlign w:val="top"/>
          </w:tcPr>
          <w:p w14:paraId="06F8B413" w14:textId="77777777" w:rsidR="003D08A1" w:rsidRPr="00780E96" w:rsidRDefault="003D08A1" w:rsidP="007967A9">
            <w:pPr>
              <w:pStyle w:val="SDMTableBoxParaNotNumbered"/>
              <w:rPr>
                <w:rFonts w:cs="Arial"/>
              </w:rPr>
            </w:pPr>
            <w:r w:rsidRPr="00780E96">
              <w:rPr>
                <w:rFonts w:cs="Arial"/>
              </w:rPr>
              <w:t>=</w:t>
            </w:r>
          </w:p>
        </w:tc>
        <w:tc>
          <w:tcPr>
            <w:tcW w:w="6459" w:type="dxa"/>
            <w:vAlign w:val="top"/>
          </w:tcPr>
          <w:p w14:paraId="0E20F4E1" w14:textId="6A96BF93" w:rsidR="003D08A1" w:rsidRPr="00780E96" w:rsidRDefault="626442BE" w:rsidP="55FC4291">
            <w:pPr>
              <w:pStyle w:val="SDMTableBoxParaNotNumbered"/>
              <w:rPr>
                <w:rFonts w:eastAsiaTheme="minorEastAsia" w:cs="Arial"/>
                <w:lang w:eastAsia="zh-CN"/>
              </w:rPr>
            </w:pPr>
            <w:r w:rsidRPr="00780E96">
              <w:rPr>
                <w:rFonts w:eastAsiaTheme="minorEastAsia" w:cs="Arial"/>
                <w:lang w:eastAsia="zh-CN"/>
              </w:rPr>
              <w:t>Relevant period: under the ex</w:t>
            </w:r>
            <w:r w:rsidR="3EB9F899" w:rsidRPr="00780E96">
              <w:rPr>
                <w:rFonts w:eastAsiaTheme="minorEastAsia" w:cs="Arial"/>
                <w:lang w:eastAsia="zh-CN"/>
              </w:rPr>
              <w:t>-</w:t>
            </w:r>
            <w:r w:rsidRPr="00780E96">
              <w:rPr>
                <w:rFonts w:eastAsiaTheme="minorEastAsia" w:cs="Arial"/>
                <w:lang w:eastAsia="zh-CN"/>
              </w:rPr>
              <w:t xml:space="preserve">ante option the most recent three historical calendar years for which data </w:t>
            </w:r>
            <w:r w:rsidR="41EF1308" w:rsidRPr="00780E96">
              <w:rPr>
                <w:rFonts w:eastAsiaTheme="minorEastAsia" w:cs="Arial"/>
                <w:lang w:eastAsia="zh-CN"/>
              </w:rPr>
              <w:t xml:space="preserve">are </w:t>
            </w:r>
            <w:r w:rsidRPr="00780E96">
              <w:rPr>
                <w:rFonts w:eastAsiaTheme="minorEastAsia" w:cs="Arial"/>
                <w:lang w:eastAsia="zh-CN"/>
              </w:rPr>
              <w:t xml:space="preserve">available at the time of submission </w:t>
            </w:r>
            <w:r w:rsidR="004F05C8" w:rsidRPr="00780E96">
              <w:rPr>
                <w:rFonts w:eastAsiaTheme="minorEastAsia" w:cs="Arial"/>
                <w:lang w:eastAsia="zh-CN"/>
              </w:rPr>
              <w:t xml:space="preserve">to the DOE for validation </w:t>
            </w:r>
            <w:r w:rsidRPr="00780E96">
              <w:rPr>
                <w:rFonts w:eastAsiaTheme="minorEastAsia" w:cs="Arial"/>
                <w:lang w:eastAsia="zh-CN"/>
              </w:rPr>
              <w:t>of the PDD</w:t>
            </w:r>
            <w:r w:rsidR="003E1BC8" w:rsidRPr="00780E96">
              <w:rPr>
                <w:rFonts w:eastAsiaTheme="minorEastAsia" w:cs="Arial"/>
                <w:lang w:eastAsia="zh-CN"/>
              </w:rPr>
              <w:t xml:space="preserve"> or CP-DD</w:t>
            </w:r>
            <w:r w:rsidRPr="00780E96">
              <w:rPr>
                <w:rFonts w:eastAsiaTheme="minorEastAsia" w:cs="Arial"/>
                <w:lang w:eastAsia="zh-CN"/>
              </w:rPr>
              <w:t>; under the ex</w:t>
            </w:r>
            <w:r w:rsidR="5C87D74A" w:rsidRPr="00780E96">
              <w:rPr>
                <w:rFonts w:eastAsiaTheme="minorEastAsia" w:cs="Arial"/>
                <w:lang w:eastAsia="zh-CN"/>
              </w:rPr>
              <w:t>-</w:t>
            </w:r>
            <w:r w:rsidRPr="00780E96">
              <w:rPr>
                <w:rFonts w:eastAsiaTheme="minorEastAsia" w:cs="Arial"/>
                <w:lang w:eastAsia="zh-CN"/>
              </w:rPr>
              <w:t>post option, the calendar year</w:t>
            </w:r>
            <w:r w:rsidR="717CCAEB" w:rsidRPr="00780E96">
              <w:rPr>
                <w:rFonts w:eastAsiaTheme="minorEastAsia" w:cs="Arial"/>
                <w:lang w:eastAsia="zh-CN"/>
              </w:rPr>
              <w:t> </w:t>
            </w:r>
            <w:r w:rsidRPr="00780E96">
              <w:rPr>
                <w:rFonts w:eastAsiaTheme="minorEastAsia" w:cs="Arial"/>
                <w:i/>
                <w:lang w:eastAsia="zh-CN"/>
              </w:rPr>
              <w:t>y</w:t>
            </w:r>
            <w:r w:rsidRPr="00780E96">
              <w:rPr>
                <w:rFonts w:eastAsiaTheme="minorEastAsia" w:cs="Arial"/>
                <w:lang w:eastAsia="zh-CN"/>
              </w:rPr>
              <w:t xml:space="preserve"> of the crediting period or the historical year v</w:t>
            </w:r>
          </w:p>
        </w:tc>
      </w:tr>
    </w:tbl>
    <w:p w14:paraId="5508B779" w14:textId="53279690" w:rsidR="006472DC" w:rsidRPr="00780E96" w:rsidRDefault="00347E7A">
      <w:pPr>
        <w:pStyle w:val="SDMPara"/>
      </w:pPr>
      <w:r w:rsidRPr="00780E96">
        <w:t xml:space="preserve">Where </w:t>
      </w:r>
      <w:r w:rsidR="00DC1D8C" w:rsidRPr="00780E96">
        <w:t xml:space="preserve">data from the </w:t>
      </w:r>
      <w:r w:rsidR="00EA7E74" w:rsidRPr="00780E96">
        <w:t>calendar year </w:t>
      </w:r>
      <w:r w:rsidR="00EA7E74" w:rsidRPr="00780E96">
        <w:rPr>
          <w:i/>
        </w:rPr>
        <w:t>y</w:t>
      </w:r>
      <w:r w:rsidR="00EA7E74" w:rsidRPr="00780E96">
        <w:t xml:space="preserve"> of the crediting period </w:t>
      </w:r>
      <w:r w:rsidR="00390C5A" w:rsidRPr="00780E96">
        <w:t xml:space="preserve">are </w:t>
      </w:r>
      <w:r w:rsidR="00EA7E74" w:rsidRPr="00780E96">
        <w:t>used, the emission factor from equation</w:t>
      </w:r>
      <w:r w:rsidR="0033417D" w:rsidRPr="00780E96">
        <w:t> </w:t>
      </w:r>
      <w:r w:rsidR="00EA7E74" w:rsidRPr="00780E96">
        <w:t>(</w:t>
      </w:r>
      <w:r w:rsidR="001363E1" w:rsidRPr="00780E96">
        <w:t>6</w:t>
      </w:r>
      <w:r w:rsidR="00EA7E74" w:rsidRPr="00780E96">
        <w:t>)</w:t>
      </w:r>
      <w:r w:rsidR="00D9066E" w:rsidRPr="00780E96">
        <w:t xml:space="preserve"> and </w:t>
      </w:r>
      <w:r w:rsidR="00390C5A" w:rsidRPr="00780E96">
        <w:t>equation</w:t>
      </w:r>
      <w:r w:rsidR="0033417D" w:rsidRPr="00780E96">
        <w:t> </w:t>
      </w:r>
      <w:r w:rsidR="00D9066E" w:rsidRPr="00780E96">
        <w:t>(</w:t>
      </w:r>
      <w:r w:rsidR="001363E1" w:rsidRPr="00780E96">
        <w:t>7</w:t>
      </w:r>
      <w:r w:rsidR="00D9066E" w:rsidRPr="00780E96">
        <w:t>) shall be used as the emission factor for the respective calendar year y (i.e.,</w:t>
      </w:r>
      <w:r w:rsidR="00EA7E74" w:rsidRPr="00780E96">
        <w:t xml:space="preserve"> </w:t>
      </w:r>
      <w:r w:rsidR="006472DC" w:rsidRPr="00780E96">
        <w:rPr>
          <w:i/>
          <w:iCs/>
        </w:rPr>
        <w:t>EF</w:t>
      </w:r>
      <w:r w:rsidR="006472DC" w:rsidRPr="00780E96">
        <w:rPr>
          <w:i/>
          <w:iCs/>
          <w:vertAlign w:val="subscript"/>
        </w:rPr>
        <w:t>OM,simple,y</w:t>
      </w:r>
      <w:r w:rsidR="006472DC" w:rsidRPr="00780E96">
        <w:rPr>
          <w:i/>
          <w:iCs/>
        </w:rPr>
        <w:t> </w:t>
      </w:r>
      <w:r w:rsidR="006472DC" w:rsidRPr="00780E96">
        <w:t>= </w:t>
      </w:r>
      <w:r w:rsidR="006472DC" w:rsidRPr="00780E96">
        <w:rPr>
          <w:i/>
          <w:iCs/>
        </w:rPr>
        <w:t>EF</w:t>
      </w:r>
      <w:r w:rsidR="006472DC" w:rsidRPr="00780E96">
        <w:rPr>
          <w:i/>
          <w:iCs/>
          <w:vertAlign w:val="subscript"/>
        </w:rPr>
        <w:t>OM,simple,t</w:t>
      </w:r>
      <w:r w:rsidR="006472DC" w:rsidRPr="00780E96">
        <w:t>).</w:t>
      </w:r>
    </w:p>
    <w:p w14:paraId="4A7381A9" w14:textId="03EF782C" w:rsidR="00837275" w:rsidRPr="00780E96" w:rsidRDefault="687CEDD6" w:rsidP="00F62D64">
      <w:pPr>
        <w:pStyle w:val="SDMPara"/>
        <w:keepNext/>
      </w:pPr>
      <w:r w:rsidRPr="00780E96">
        <w:t xml:space="preserve">Where </w:t>
      </w:r>
      <w:r w:rsidR="72F7D711" w:rsidRPr="00780E96">
        <w:t xml:space="preserve">data </w:t>
      </w:r>
      <w:r w:rsidR="0957AE71" w:rsidRPr="00780E96">
        <w:t xml:space="preserve">from a </w:t>
      </w:r>
      <w:r w:rsidR="45B03138" w:rsidRPr="00780E96">
        <w:t>calendar</w:t>
      </w:r>
      <w:r w:rsidR="0957AE71" w:rsidRPr="00780E96">
        <w:t xml:space="preserve"> year </w:t>
      </w:r>
      <w:r w:rsidR="02D3B271" w:rsidRPr="00780E96">
        <w:t xml:space="preserve">prior to </w:t>
      </w:r>
      <w:r w:rsidR="0BDE2D49" w:rsidRPr="00780E96">
        <w:t>calendar</w:t>
      </w:r>
      <w:r w:rsidR="02D3B271" w:rsidRPr="00780E96">
        <w:t xml:space="preserve"> year</w:t>
      </w:r>
      <w:r w:rsidR="1215AE0D" w:rsidRPr="00780E96">
        <w:t> </w:t>
      </w:r>
      <w:r w:rsidR="02D3B271" w:rsidRPr="00780E96">
        <w:rPr>
          <w:i/>
          <w:iCs/>
        </w:rPr>
        <w:t>y</w:t>
      </w:r>
      <w:r w:rsidR="02D3B271" w:rsidRPr="00780E96">
        <w:t xml:space="preserve"> of the crediting</w:t>
      </w:r>
      <w:r w:rsidR="72F7D711" w:rsidRPr="00780E96">
        <w:t xml:space="preserve"> period </w:t>
      </w:r>
      <w:r w:rsidR="0DDADC41" w:rsidRPr="00780E96">
        <w:t>are used</w:t>
      </w:r>
      <w:r w:rsidR="47A54CD0" w:rsidRPr="00780E96">
        <w:t xml:space="preserve"> (i.e., under the ex</w:t>
      </w:r>
      <w:r w:rsidR="4855528E" w:rsidRPr="00780E96">
        <w:t>-</w:t>
      </w:r>
      <w:r w:rsidR="47A54CD0" w:rsidRPr="00780E96">
        <w:t xml:space="preserve">ante option or where a </w:t>
      </w:r>
      <w:r w:rsidR="5E6513F9" w:rsidRPr="00780E96">
        <w:t>historical year </w:t>
      </w:r>
      <w:r w:rsidR="5E6513F9" w:rsidRPr="00780E96">
        <w:rPr>
          <w:i/>
          <w:iCs/>
        </w:rPr>
        <w:t>v</w:t>
      </w:r>
      <w:r w:rsidR="5E6513F9" w:rsidRPr="00780E96">
        <w:t xml:space="preserve"> is used under the ex</w:t>
      </w:r>
      <w:r w:rsidR="3711A2DD" w:rsidRPr="00780E96">
        <w:t>-</w:t>
      </w:r>
      <w:r w:rsidR="5E6513F9" w:rsidRPr="00780E96">
        <w:t>post option)</w:t>
      </w:r>
      <w:r w:rsidR="0DDADC41" w:rsidRPr="00780E96">
        <w:t>,</w:t>
      </w:r>
      <w:r w:rsidR="72F7D711" w:rsidRPr="00780E96">
        <w:t xml:space="preserve"> </w:t>
      </w:r>
      <w:r w:rsidR="58D51E00" w:rsidRPr="00780E96">
        <w:t xml:space="preserve">the simple OM emission factor derived from historical data </w:t>
      </w:r>
      <w:r w:rsidR="7E8CEABB" w:rsidRPr="00780E96">
        <w:t xml:space="preserve">shall be </w:t>
      </w:r>
      <w:r w:rsidR="58D51E00" w:rsidRPr="00780E96">
        <w:t>adjusted to account for data vintage, noting that</w:t>
      </w:r>
      <w:r w:rsidR="7E8CEABB" w:rsidRPr="00780E96">
        <w:t>,</w:t>
      </w:r>
      <w:r w:rsidR="58D51E00" w:rsidRPr="00780E96">
        <w:t xml:space="preserve"> in many electricity systems</w:t>
      </w:r>
      <w:r w:rsidR="7E8CEABB" w:rsidRPr="00780E96">
        <w:t>,</w:t>
      </w:r>
      <w:r w:rsidR="58D51E00" w:rsidRPr="00780E96">
        <w:t xml:space="preserve"> </w:t>
      </w:r>
      <w:r w:rsidR="56339777" w:rsidRPr="00780E96">
        <w:t xml:space="preserve">the </w:t>
      </w:r>
      <w:r w:rsidR="3DB5AEF9" w:rsidRPr="00780E96">
        <w:t xml:space="preserve">average emissions intensity of existing power </w:t>
      </w:r>
      <w:r w:rsidR="6DDF2490" w:rsidRPr="00780E96">
        <w:t xml:space="preserve">units </w:t>
      </w:r>
      <w:r w:rsidR="3DB5AEF9" w:rsidRPr="00780E96">
        <w:t>declin</w:t>
      </w:r>
      <w:r w:rsidR="6E014D7B" w:rsidRPr="00780E96">
        <w:t>es</w:t>
      </w:r>
      <w:r w:rsidR="3DB5AEF9" w:rsidRPr="00780E96">
        <w:t xml:space="preserve"> over time due to </w:t>
      </w:r>
      <w:r w:rsidR="03CC1F14" w:rsidRPr="00780E96">
        <w:t xml:space="preserve">an increasing share of renewable energy power </w:t>
      </w:r>
      <w:r w:rsidR="6DDF2490" w:rsidRPr="00780E96">
        <w:t>units</w:t>
      </w:r>
      <w:r w:rsidR="03CC1F14" w:rsidRPr="00780E96">
        <w:t xml:space="preserve">, </w:t>
      </w:r>
      <w:r w:rsidR="026791FB" w:rsidRPr="00780E96">
        <w:t xml:space="preserve">the use of more efficient power </w:t>
      </w:r>
      <w:r w:rsidR="6DDF2490" w:rsidRPr="00780E96">
        <w:t>units</w:t>
      </w:r>
      <w:r w:rsidR="5F1AA5D0" w:rsidRPr="00780E96">
        <w:t>,</w:t>
      </w:r>
      <w:r w:rsidR="026791FB" w:rsidRPr="00780E96">
        <w:t xml:space="preserve"> and the use of less GHG</w:t>
      </w:r>
      <w:r w:rsidR="411E37AD" w:rsidRPr="00780E96">
        <w:t>-</w:t>
      </w:r>
      <w:r w:rsidR="026791FB" w:rsidRPr="00780E96">
        <w:t xml:space="preserve">intensive </w:t>
      </w:r>
      <w:r w:rsidR="11391D57" w:rsidRPr="00780E96">
        <w:t>fuels</w:t>
      </w:r>
      <w:r w:rsidR="51FCF0C1" w:rsidRPr="00780E96">
        <w:t>, as follows:</w:t>
      </w:r>
    </w:p>
    <w:tbl>
      <w:tblPr>
        <w:tblStyle w:val="SDMMethTableEquation"/>
        <w:tblW w:w="8760" w:type="dxa"/>
        <w:tblLook w:val="0600" w:firstRow="0" w:lastRow="0" w:firstColumn="0" w:lastColumn="0" w:noHBand="1" w:noVBand="1"/>
      </w:tblPr>
      <w:tblGrid>
        <w:gridCol w:w="7093"/>
        <w:gridCol w:w="1667"/>
      </w:tblGrid>
      <w:tr w:rsidR="006B1479" w:rsidRPr="00780E96" w14:paraId="514CD0C8" w14:textId="77777777">
        <w:tc>
          <w:tcPr>
            <w:tcW w:w="7224" w:type="dxa"/>
          </w:tcPr>
          <w:p w14:paraId="62F2812C" w14:textId="3DD8FBF9" w:rsidR="006B1479" w:rsidRPr="00780E96" w:rsidRDefault="003F6646">
            <w:pPr>
              <w:pStyle w:val="SDMMethEquation"/>
            </w:pPr>
            <m:oMathPara>
              <m:oMathParaPr>
                <m:jc m:val="left"/>
              </m:oMathParaPr>
              <m:oMath>
                <m:sSub>
                  <m:sSubPr>
                    <m:ctrlPr>
                      <w:rPr>
                        <w:rFonts w:ascii="Cambria Math" w:hAnsi="Cambria Math"/>
                      </w:rPr>
                    </m:ctrlPr>
                  </m:sSubPr>
                  <m:e>
                    <m:r>
                      <w:rPr>
                        <w:rFonts w:ascii="Cambria Math" w:hAnsi="Cambria Math"/>
                      </w:rPr>
                      <m:t>EF</m:t>
                    </m:r>
                  </m:e>
                  <m:sub>
                    <m:r>
                      <w:rPr>
                        <w:rFonts w:ascii="Cambria Math" w:hAnsi="Cambria Math"/>
                      </w:rPr>
                      <m:t>OM,simple</m:t>
                    </m:r>
                    <m:r>
                      <m:rPr>
                        <m:sty m:val="p"/>
                      </m:rPr>
                      <w:rPr>
                        <w:rFonts w:ascii="Cambria Math" w:hAnsi="Cambria Math"/>
                      </w:rPr>
                      <m:t>,</m:t>
                    </m:r>
                    <m:r>
                      <w:rPr>
                        <w:rFonts w:ascii="Cambria Math" w:hAnsi="Cambria Math"/>
                      </w:rPr>
                      <m:t>y</m:t>
                    </m:r>
                  </m:sub>
                </m:sSub>
                <m:r>
                  <w:rPr>
                    <w:rFonts w:ascii="Cambria Math" w:hAnsi="Cambria Math"/>
                  </w:rPr>
                  <m:t>=</m:t>
                </m:r>
                <m:sSub>
                  <m:sSubPr>
                    <m:ctrlPr>
                      <w:rPr>
                        <w:rFonts w:ascii="Cambria Math" w:hAnsi="Cambria Math"/>
                      </w:rPr>
                    </m:ctrlPr>
                  </m:sSubPr>
                  <m:e>
                    <m:r>
                      <w:rPr>
                        <w:rFonts w:ascii="Cambria Math" w:hAnsi="Cambria Math"/>
                      </w:rPr>
                      <m:t>EF</m:t>
                    </m:r>
                  </m:e>
                  <m:sub>
                    <m:r>
                      <w:rPr>
                        <w:rFonts w:ascii="Cambria Math" w:hAnsi="Cambria Math"/>
                      </w:rPr>
                      <m:t>OM,simple</m:t>
                    </m:r>
                    <m:r>
                      <m:rPr>
                        <m:sty m:val="p"/>
                      </m:rPr>
                      <w:rPr>
                        <w:rFonts w:ascii="Cambria Math" w:hAnsi="Cambria Math"/>
                      </w:rPr>
                      <m:t>,</m:t>
                    </m:r>
                    <m:r>
                      <w:rPr>
                        <w:rFonts w:ascii="Cambria Math" w:hAnsi="Cambria Math"/>
                      </w:rPr>
                      <m:t>t</m:t>
                    </m:r>
                  </m:sub>
                </m:sSub>
                <m:r>
                  <w:rPr>
                    <w:rFonts w:ascii="Cambria Math" w:hAnsi="Cambria Math"/>
                  </w:rPr>
                  <m:t>×</m:t>
                </m:r>
                <m:d>
                  <m:dPr>
                    <m:begChr m:val="["/>
                    <m:endChr m:val="]"/>
                    <m:ctrlPr>
                      <w:rPr>
                        <w:rFonts w:ascii="Cambria Math" w:hAnsi="Cambria Math"/>
                        <w:i/>
                      </w:rPr>
                    </m:ctrlPr>
                  </m:dPr>
                  <m:e>
                    <m:r>
                      <w:rPr>
                        <w:rFonts w:ascii="Cambria Math" w:hAnsi="Cambria Math"/>
                      </w:rPr>
                      <m:t>1-</m:t>
                    </m:r>
                    <m:sSub>
                      <m:sSubPr>
                        <m:ctrlPr>
                          <w:rPr>
                            <w:rFonts w:ascii="Cambria Math" w:hAnsi="Cambria Math"/>
                            <w:i/>
                          </w:rPr>
                        </m:ctrlPr>
                      </m:sSubPr>
                      <m:e>
                        <m:r>
                          <w:rPr>
                            <w:rFonts w:ascii="Cambria Math" w:hAnsi="Cambria Math"/>
                          </w:rPr>
                          <m:t>F</m:t>
                        </m:r>
                      </m:e>
                      <m:sub>
                        <m:r>
                          <w:rPr>
                            <w:rFonts w:ascii="Cambria Math" w:hAnsi="Cambria Math"/>
                          </w:rPr>
                          <m:t xml:space="preserve">OM,simple </m:t>
                        </m:r>
                      </m:sub>
                    </m:sSub>
                    <m:r>
                      <w:rPr>
                        <w:rFonts w:ascii="Cambria Math" w:hAnsi="Cambria Math"/>
                      </w:rPr>
                      <m:t>×</m:t>
                    </m:r>
                    <m:d>
                      <m:dPr>
                        <m:ctrlPr>
                          <w:rPr>
                            <w:rFonts w:ascii="Cambria Math" w:hAnsi="Cambria Math"/>
                            <w:i/>
                          </w:rPr>
                        </m:ctrlPr>
                      </m:dPr>
                      <m:e>
                        <m:r>
                          <w:rPr>
                            <w:rFonts w:ascii="Cambria Math" w:hAnsi="Cambria Math"/>
                          </w:rPr>
                          <m:t>y-t</m:t>
                        </m:r>
                      </m:e>
                    </m:d>
                  </m:e>
                </m:d>
              </m:oMath>
            </m:oMathPara>
          </w:p>
        </w:tc>
        <w:tc>
          <w:tcPr>
            <w:tcW w:w="1701" w:type="dxa"/>
          </w:tcPr>
          <w:p w14:paraId="0C526DD9" w14:textId="77777777" w:rsidR="006B1479" w:rsidRPr="00780E96" w:rsidRDefault="006B1479" w:rsidP="008E566C">
            <w:pPr>
              <w:pStyle w:val="SDMMethEquationNr"/>
              <w:numPr>
                <w:ilvl w:val="0"/>
                <w:numId w:val="8"/>
              </w:numPr>
            </w:pPr>
          </w:p>
        </w:tc>
      </w:tr>
    </w:tbl>
    <w:p w14:paraId="0AF27648" w14:textId="77777777" w:rsidR="006B1479" w:rsidRPr="00780E96" w:rsidRDefault="006B1479" w:rsidP="00F62D64">
      <w:pPr>
        <w:pStyle w:val="SDMMethCaptionEquationParametersTable"/>
      </w:pPr>
      <w:r w:rsidRPr="00780E96">
        <w:t>Where:</w:t>
      </w:r>
    </w:p>
    <w:tbl>
      <w:tblPr>
        <w:tblStyle w:val="SDMMethTableEquationParameters"/>
        <w:tblW w:w="8760" w:type="dxa"/>
        <w:tblLook w:val="04A0" w:firstRow="1" w:lastRow="0" w:firstColumn="1" w:lastColumn="0" w:noHBand="0" w:noVBand="1"/>
      </w:tblPr>
      <w:tblGrid>
        <w:gridCol w:w="1746"/>
        <w:gridCol w:w="354"/>
        <w:gridCol w:w="6660"/>
      </w:tblGrid>
      <w:tr w:rsidR="006B1479" w:rsidRPr="00780E96" w14:paraId="6315EACB" w14:textId="77777777" w:rsidTr="00C220BF">
        <w:tc>
          <w:tcPr>
            <w:tcW w:w="1701" w:type="dxa"/>
            <w:vAlign w:val="top"/>
          </w:tcPr>
          <w:p w14:paraId="12B051AB" w14:textId="69EB7A53" w:rsidR="006B1479" w:rsidRPr="00780E96" w:rsidRDefault="003F6646" w:rsidP="007967A9">
            <w:pPr>
              <w:pStyle w:val="SDMTableBoxParaNotNumbered"/>
              <w:rPr>
                <w:rFonts w:cs="Arial"/>
              </w:rPr>
            </w:pPr>
            <m:oMathPara>
              <m:oMathParaPr>
                <m:jc m:val="left"/>
              </m:oMathParaPr>
              <m:oMath>
                <m:sSub>
                  <m:sSubPr>
                    <m:ctrlPr>
                      <w:rPr>
                        <w:rFonts w:ascii="Cambria Math" w:hAnsi="Cambria Math" w:cs="Arial"/>
                      </w:rPr>
                    </m:ctrlPr>
                  </m:sSubPr>
                  <m:e>
                    <m:r>
                      <w:rPr>
                        <w:rFonts w:ascii="Cambria Math" w:hAnsi="Cambria Math" w:cs="Arial"/>
                      </w:rPr>
                      <m:t>EF</m:t>
                    </m:r>
                  </m:e>
                  <m:sub>
                    <m:r>
                      <w:rPr>
                        <w:rFonts w:ascii="Cambria Math" w:hAnsi="Cambria Math" w:cs="Arial"/>
                      </w:rPr>
                      <m:t>OM,simple</m:t>
                    </m:r>
                    <m:r>
                      <m:rPr>
                        <m:sty m:val="p"/>
                      </m:rPr>
                      <w:rPr>
                        <w:rFonts w:ascii="Cambria Math" w:hAnsi="Cambria Math" w:cs="Arial"/>
                      </w:rPr>
                      <m:t>,</m:t>
                    </m:r>
                    <m:r>
                      <w:rPr>
                        <w:rFonts w:ascii="Cambria Math" w:hAnsi="Cambria Math" w:cs="Arial"/>
                      </w:rPr>
                      <m:t>y</m:t>
                    </m:r>
                  </m:sub>
                </m:sSub>
              </m:oMath>
            </m:oMathPara>
          </w:p>
        </w:tc>
        <w:tc>
          <w:tcPr>
            <w:tcW w:w="345" w:type="dxa"/>
            <w:vAlign w:val="top"/>
          </w:tcPr>
          <w:p w14:paraId="1139D8BA" w14:textId="77777777" w:rsidR="006B1479" w:rsidRPr="00780E96" w:rsidRDefault="006B1479" w:rsidP="007967A9">
            <w:pPr>
              <w:pStyle w:val="SDMTableBoxParaNotNumbered"/>
              <w:rPr>
                <w:rFonts w:cs="Arial"/>
              </w:rPr>
            </w:pPr>
            <w:r w:rsidRPr="00780E96">
              <w:rPr>
                <w:rFonts w:cs="Arial"/>
              </w:rPr>
              <w:t>=</w:t>
            </w:r>
          </w:p>
        </w:tc>
        <w:tc>
          <w:tcPr>
            <w:tcW w:w="6488" w:type="dxa"/>
            <w:vAlign w:val="top"/>
          </w:tcPr>
          <w:p w14:paraId="733C159C" w14:textId="3B2FFBD0" w:rsidR="006B1479" w:rsidRPr="00780E96" w:rsidRDefault="006B1479" w:rsidP="007967A9">
            <w:pPr>
              <w:pStyle w:val="SDMTableBoxParaNotNumbered"/>
              <w:rPr>
                <w:rFonts w:cs="Arial"/>
              </w:rPr>
            </w:pPr>
            <w:r w:rsidRPr="00780E96">
              <w:rPr>
                <w:rFonts w:cs="Arial"/>
              </w:rPr>
              <w:t xml:space="preserve">Simple </w:t>
            </w:r>
            <w:r w:rsidR="00BB1C82" w:rsidRPr="00780E96">
              <w:rPr>
                <w:rFonts w:cs="Arial"/>
              </w:rPr>
              <w:t>OM</w:t>
            </w:r>
            <w:r w:rsidRPr="00780E96">
              <w:rPr>
                <w:rFonts w:cs="Arial"/>
              </w:rPr>
              <w:t xml:space="preserve"> CO</w:t>
            </w:r>
            <w:r w:rsidRPr="00780E96">
              <w:rPr>
                <w:rFonts w:cs="Arial"/>
                <w:vertAlign w:val="subscript"/>
              </w:rPr>
              <w:t>2</w:t>
            </w:r>
            <w:r w:rsidRPr="00780E96">
              <w:rPr>
                <w:rFonts w:cs="Arial"/>
              </w:rPr>
              <w:t xml:space="preserve"> emission factor in year </w:t>
            </w:r>
            <w:r w:rsidRPr="00780E96">
              <w:rPr>
                <w:rFonts w:cs="Arial"/>
                <w:i/>
              </w:rPr>
              <w:t xml:space="preserve">y </w:t>
            </w:r>
            <w:r w:rsidRPr="00780E96">
              <w:rPr>
                <w:rFonts w:cs="Arial"/>
              </w:rPr>
              <w:t>(t CO</w:t>
            </w:r>
            <w:r w:rsidRPr="00780E96">
              <w:rPr>
                <w:rFonts w:cs="Arial"/>
                <w:vertAlign w:val="subscript"/>
              </w:rPr>
              <w:t>2</w:t>
            </w:r>
            <w:r w:rsidR="001570A4" w:rsidRPr="00780E96">
              <w:rPr>
                <w:rFonts w:cs="Arial"/>
              </w:rPr>
              <w:t> / </w:t>
            </w:r>
            <w:r w:rsidRPr="00780E96">
              <w:rPr>
                <w:rFonts w:cs="Arial"/>
              </w:rPr>
              <w:t>MWh)</w:t>
            </w:r>
          </w:p>
        </w:tc>
      </w:tr>
      <w:tr w:rsidR="006B1479" w:rsidRPr="00780E96" w14:paraId="15D62934" w14:textId="77777777" w:rsidTr="00C220BF">
        <w:tc>
          <w:tcPr>
            <w:tcW w:w="1701" w:type="dxa"/>
            <w:vAlign w:val="top"/>
          </w:tcPr>
          <w:p w14:paraId="5ADD67F4" w14:textId="2E00AC0D" w:rsidR="006B1479" w:rsidRPr="00780E96" w:rsidRDefault="003F6646" w:rsidP="007967A9">
            <w:pPr>
              <w:pStyle w:val="SDMTableBoxParaNotNumbered"/>
              <w:rPr>
                <w:rFonts w:cs="Arial"/>
              </w:rPr>
            </w:pPr>
            <m:oMathPara>
              <m:oMathParaPr>
                <m:jc m:val="left"/>
              </m:oMathParaPr>
              <m:oMath>
                <m:sSub>
                  <m:sSubPr>
                    <m:ctrlPr>
                      <w:rPr>
                        <w:rFonts w:ascii="Cambria Math" w:hAnsi="Cambria Math" w:cs="Arial"/>
                      </w:rPr>
                    </m:ctrlPr>
                  </m:sSubPr>
                  <m:e>
                    <m:r>
                      <w:rPr>
                        <w:rFonts w:ascii="Cambria Math" w:hAnsi="Cambria Math" w:cs="Arial"/>
                      </w:rPr>
                      <m:t>EF</m:t>
                    </m:r>
                  </m:e>
                  <m:sub>
                    <m:r>
                      <w:rPr>
                        <w:rFonts w:ascii="Cambria Math" w:hAnsi="Cambria Math" w:cs="Arial"/>
                      </w:rPr>
                      <m:t>OM,simple</m:t>
                    </m:r>
                    <m:r>
                      <m:rPr>
                        <m:sty m:val="p"/>
                      </m:rPr>
                      <w:rPr>
                        <w:rFonts w:ascii="Cambria Math" w:hAnsi="Cambria Math" w:cs="Arial"/>
                      </w:rPr>
                      <m:t>,</m:t>
                    </m:r>
                    <m:r>
                      <w:rPr>
                        <w:rFonts w:ascii="Cambria Math" w:hAnsi="Cambria Math" w:cs="Arial"/>
                      </w:rPr>
                      <m:t>t</m:t>
                    </m:r>
                  </m:sub>
                </m:sSub>
              </m:oMath>
            </m:oMathPara>
          </w:p>
        </w:tc>
        <w:tc>
          <w:tcPr>
            <w:tcW w:w="345" w:type="dxa"/>
            <w:vAlign w:val="top"/>
          </w:tcPr>
          <w:p w14:paraId="7AE9DF4B" w14:textId="77777777" w:rsidR="006B1479" w:rsidRPr="00780E96" w:rsidRDefault="006B1479" w:rsidP="007967A9">
            <w:pPr>
              <w:pStyle w:val="SDMTableBoxParaNotNumbered"/>
              <w:rPr>
                <w:rFonts w:cs="Arial"/>
              </w:rPr>
            </w:pPr>
            <w:r w:rsidRPr="00780E96">
              <w:rPr>
                <w:rFonts w:cs="Arial"/>
              </w:rPr>
              <w:t>=</w:t>
            </w:r>
          </w:p>
        </w:tc>
        <w:tc>
          <w:tcPr>
            <w:tcW w:w="6488" w:type="dxa"/>
            <w:vAlign w:val="top"/>
          </w:tcPr>
          <w:p w14:paraId="79283069" w14:textId="3A042194" w:rsidR="006B1479" w:rsidRPr="00780E96" w:rsidRDefault="006B1479" w:rsidP="007967A9">
            <w:pPr>
              <w:pStyle w:val="SDMTableBoxParaNotNumbered"/>
              <w:rPr>
                <w:rFonts w:cs="Arial"/>
              </w:rPr>
            </w:pPr>
            <w:r w:rsidRPr="00780E96">
              <w:rPr>
                <w:rFonts w:cs="Arial"/>
              </w:rPr>
              <w:t xml:space="preserve">Simple </w:t>
            </w:r>
            <w:r w:rsidR="00BB1C82" w:rsidRPr="00780E96">
              <w:rPr>
                <w:rFonts w:cs="Arial"/>
              </w:rPr>
              <w:t>OM</w:t>
            </w:r>
            <w:r w:rsidRPr="00780E96">
              <w:rPr>
                <w:rFonts w:cs="Arial"/>
              </w:rPr>
              <w:t xml:space="preserve"> CO</w:t>
            </w:r>
            <w:r w:rsidRPr="00780E96">
              <w:rPr>
                <w:rFonts w:cs="Arial"/>
                <w:vertAlign w:val="subscript"/>
              </w:rPr>
              <w:t>2</w:t>
            </w:r>
            <w:r w:rsidRPr="00780E96">
              <w:rPr>
                <w:rFonts w:cs="Arial"/>
              </w:rPr>
              <w:t xml:space="preserve"> emission factor in period </w:t>
            </w:r>
            <w:r w:rsidRPr="00780E96">
              <w:rPr>
                <w:rFonts w:cs="Arial"/>
                <w:i/>
              </w:rPr>
              <w:t xml:space="preserve">t </w:t>
            </w:r>
            <w:r w:rsidRPr="00780E96">
              <w:rPr>
                <w:rFonts w:cs="Arial"/>
              </w:rPr>
              <w:t>(t CO</w:t>
            </w:r>
            <w:r w:rsidRPr="00780E96">
              <w:rPr>
                <w:rFonts w:cs="Arial"/>
                <w:vertAlign w:val="subscript"/>
              </w:rPr>
              <w:t>2</w:t>
            </w:r>
            <w:r w:rsidR="001570A4" w:rsidRPr="00780E96">
              <w:rPr>
                <w:rFonts w:cs="Arial"/>
              </w:rPr>
              <w:t> / </w:t>
            </w:r>
            <w:r w:rsidRPr="00780E96">
              <w:rPr>
                <w:rFonts w:cs="Arial"/>
              </w:rPr>
              <w:t>MWh)</w:t>
            </w:r>
          </w:p>
        </w:tc>
      </w:tr>
      <w:tr w:rsidR="006B1479" w:rsidRPr="00780E96" w14:paraId="1C8F4D11" w14:textId="77777777" w:rsidTr="00C220BF">
        <w:tc>
          <w:tcPr>
            <w:tcW w:w="1701" w:type="dxa"/>
            <w:vAlign w:val="top"/>
          </w:tcPr>
          <w:p w14:paraId="53F76982" w14:textId="327F35A6" w:rsidR="006B1479" w:rsidRPr="00780E96" w:rsidRDefault="003F6646" w:rsidP="007967A9">
            <w:pPr>
              <w:pStyle w:val="SDMTableBoxParaNotNumbered"/>
              <w:rPr>
                <w:rFonts w:cs="Arial"/>
              </w:rPr>
            </w:pPr>
            <m:oMathPara>
              <m:oMathParaPr>
                <m:jc m:val="left"/>
              </m:oMathParaPr>
              <m:oMath>
                <m:sSub>
                  <m:sSubPr>
                    <m:ctrlPr>
                      <w:rPr>
                        <w:rFonts w:ascii="Cambria Math" w:hAnsi="Cambria Math" w:cs="Arial"/>
                        <w:i/>
                      </w:rPr>
                    </m:ctrlPr>
                  </m:sSubPr>
                  <m:e>
                    <m:r>
                      <w:rPr>
                        <w:rFonts w:ascii="Cambria Math" w:hAnsi="Cambria Math" w:cs="Arial"/>
                      </w:rPr>
                      <m:t>F</m:t>
                    </m:r>
                  </m:e>
                  <m:sub>
                    <m:r>
                      <w:rPr>
                        <w:rFonts w:ascii="Cambria Math" w:hAnsi="Cambria Math" w:cs="Arial"/>
                      </w:rPr>
                      <m:t xml:space="preserve">OM,simple </m:t>
                    </m:r>
                  </m:sub>
                </m:sSub>
              </m:oMath>
            </m:oMathPara>
          </w:p>
        </w:tc>
        <w:tc>
          <w:tcPr>
            <w:tcW w:w="345" w:type="dxa"/>
            <w:vAlign w:val="top"/>
          </w:tcPr>
          <w:p w14:paraId="55979437" w14:textId="77777777" w:rsidR="006B1479" w:rsidRPr="00780E96" w:rsidRDefault="006B1479" w:rsidP="007967A9">
            <w:pPr>
              <w:pStyle w:val="SDMTableBoxParaNotNumbered"/>
              <w:rPr>
                <w:rFonts w:cs="Arial"/>
              </w:rPr>
            </w:pPr>
            <w:r w:rsidRPr="00780E96">
              <w:rPr>
                <w:rFonts w:cs="Arial"/>
              </w:rPr>
              <w:t>=</w:t>
            </w:r>
          </w:p>
        </w:tc>
        <w:tc>
          <w:tcPr>
            <w:tcW w:w="6488" w:type="dxa"/>
            <w:vAlign w:val="top"/>
          </w:tcPr>
          <w:p w14:paraId="331DE2B7" w14:textId="03C289EE" w:rsidR="006B1479" w:rsidRPr="00780E96" w:rsidRDefault="006B1479" w:rsidP="007967A9">
            <w:pPr>
              <w:pStyle w:val="SDMTableBoxParaNotNumbered"/>
              <w:rPr>
                <w:rFonts w:cs="Arial"/>
              </w:rPr>
            </w:pPr>
            <w:r w:rsidRPr="00780E96">
              <w:rPr>
                <w:rFonts w:cs="Arial"/>
              </w:rPr>
              <w:t>Factor</w:t>
            </w:r>
            <w:r w:rsidR="008E39AD" w:rsidRPr="00780E96">
              <w:rPr>
                <w:rFonts w:cs="Arial"/>
              </w:rPr>
              <w:t xml:space="preserve"> accounting</w:t>
            </w:r>
            <w:r w:rsidRPr="00780E96">
              <w:rPr>
                <w:rFonts w:cs="Arial"/>
              </w:rPr>
              <w:t xml:space="preserve"> for the likely annual decrease of the </w:t>
            </w:r>
            <w:r w:rsidR="00714A2E" w:rsidRPr="00780E96">
              <w:rPr>
                <w:rFonts w:cs="Arial"/>
              </w:rPr>
              <w:t xml:space="preserve">simple </w:t>
            </w:r>
            <w:r w:rsidRPr="00780E96">
              <w:rPr>
                <w:rFonts w:cs="Arial"/>
              </w:rPr>
              <w:t>OM emission factor over time</w:t>
            </w:r>
          </w:p>
        </w:tc>
      </w:tr>
      <w:tr w:rsidR="006B1479" w:rsidRPr="00780E96" w14:paraId="5C149585" w14:textId="77777777" w:rsidTr="00C220BF">
        <w:tc>
          <w:tcPr>
            <w:tcW w:w="1701" w:type="dxa"/>
            <w:vAlign w:val="top"/>
          </w:tcPr>
          <w:p w14:paraId="59082BF4" w14:textId="28D2AFCB" w:rsidR="006B1479" w:rsidRPr="00780E96" w:rsidRDefault="006B1479" w:rsidP="007967A9">
            <w:pPr>
              <w:pStyle w:val="SDMTableBoxParaNotNumbered"/>
              <w:rPr>
                <w:rFonts w:cs="Arial"/>
              </w:rPr>
            </w:pPr>
            <m:oMathPara>
              <m:oMathParaPr>
                <m:jc m:val="left"/>
              </m:oMathParaPr>
              <m:oMath>
                <m:r>
                  <w:rPr>
                    <w:rFonts w:ascii="Cambria Math" w:hAnsi="Cambria Math" w:cs="Arial"/>
                  </w:rPr>
                  <m:t>y</m:t>
                </m:r>
              </m:oMath>
            </m:oMathPara>
          </w:p>
        </w:tc>
        <w:tc>
          <w:tcPr>
            <w:tcW w:w="345" w:type="dxa"/>
            <w:vAlign w:val="top"/>
          </w:tcPr>
          <w:p w14:paraId="298B1F5C" w14:textId="16C0E47B" w:rsidR="006B1479" w:rsidRPr="00780E96" w:rsidRDefault="006B1479" w:rsidP="007967A9">
            <w:pPr>
              <w:pStyle w:val="SDMTableBoxParaNotNumbered"/>
              <w:rPr>
                <w:rFonts w:cs="Arial"/>
              </w:rPr>
            </w:pPr>
            <w:r w:rsidRPr="00780E96">
              <w:rPr>
                <w:rFonts w:cs="Arial"/>
              </w:rPr>
              <w:t>=</w:t>
            </w:r>
          </w:p>
        </w:tc>
        <w:tc>
          <w:tcPr>
            <w:tcW w:w="6488" w:type="dxa"/>
            <w:vAlign w:val="top"/>
          </w:tcPr>
          <w:p w14:paraId="593EDF97" w14:textId="12E28BCA" w:rsidR="006B1479" w:rsidRPr="00780E96" w:rsidRDefault="006B1479" w:rsidP="007967A9">
            <w:pPr>
              <w:pStyle w:val="SDMTableBoxParaNotNumbered"/>
              <w:rPr>
                <w:rFonts w:cs="Arial"/>
              </w:rPr>
            </w:pPr>
            <w:r w:rsidRPr="00780E96">
              <w:rPr>
                <w:rFonts w:cs="Arial"/>
              </w:rPr>
              <w:t>Calendar year of the crediting period for which emission reductions are determined</w:t>
            </w:r>
          </w:p>
        </w:tc>
      </w:tr>
      <w:tr w:rsidR="006B1479" w:rsidRPr="00780E96" w14:paraId="4625D27E" w14:textId="77777777" w:rsidTr="00C220BF">
        <w:tc>
          <w:tcPr>
            <w:tcW w:w="1701" w:type="dxa"/>
            <w:vAlign w:val="top"/>
          </w:tcPr>
          <w:p w14:paraId="338FBA46" w14:textId="5AD924D5" w:rsidR="006B1479" w:rsidRPr="00780E96" w:rsidRDefault="006B1479" w:rsidP="007967A9">
            <w:pPr>
              <w:pStyle w:val="SDMTableBoxParaNotNumbered"/>
              <w:rPr>
                <w:rFonts w:cs="Arial"/>
              </w:rPr>
            </w:pPr>
            <m:oMathPara>
              <m:oMathParaPr>
                <m:jc m:val="left"/>
              </m:oMathParaPr>
              <m:oMath>
                <m:r>
                  <w:rPr>
                    <w:rFonts w:ascii="Cambria Math" w:hAnsi="Cambria Math" w:cs="Arial"/>
                  </w:rPr>
                  <m:t>t</m:t>
                </m:r>
              </m:oMath>
            </m:oMathPara>
          </w:p>
        </w:tc>
        <w:tc>
          <w:tcPr>
            <w:tcW w:w="345" w:type="dxa"/>
            <w:vAlign w:val="top"/>
          </w:tcPr>
          <w:p w14:paraId="2BE9D677" w14:textId="34090F0E" w:rsidR="006B1479" w:rsidRPr="00780E96" w:rsidRDefault="006B1479" w:rsidP="007967A9">
            <w:pPr>
              <w:pStyle w:val="SDMTableBoxParaNotNumbered"/>
              <w:rPr>
                <w:rFonts w:cs="Arial"/>
              </w:rPr>
            </w:pPr>
            <w:r w:rsidRPr="00780E96">
              <w:rPr>
                <w:rFonts w:cs="Arial"/>
              </w:rPr>
              <w:t>=</w:t>
            </w:r>
          </w:p>
        </w:tc>
        <w:tc>
          <w:tcPr>
            <w:tcW w:w="6488" w:type="dxa"/>
            <w:vAlign w:val="top"/>
          </w:tcPr>
          <w:p w14:paraId="44D54E33" w14:textId="60202D15" w:rsidR="006B1479" w:rsidRPr="00780E96" w:rsidRDefault="0E465954" w:rsidP="007967A9">
            <w:pPr>
              <w:pStyle w:val="SDMTableBoxParaNotNumbered"/>
              <w:rPr>
                <w:rFonts w:cs="Arial"/>
              </w:rPr>
            </w:pPr>
            <w:r w:rsidRPr="00780E96">
              <w:rPr>
                <w:rFonts w:cs="Arial"/>
              </w:rPr>
              <w:t>Period for which the simple OM emission factor is calculated: under the ex</w:t>
            </w:r>
            <w:r w:rsidR="11080D4B" w:rsidRPr="00780E96">
              <w:rPr>
                <w:rFonts w:cs="Arial"/>
              </w:rPr>
              <w:t>-</w:t>
            </w:r>
            <w:r w:rsidRPr="00780E96">
              <w:rPr>
                <w:rFonts w:cs="Arial"/>
              </w:rPr>
              <w:t>post option, the historical year </w:t>
            </w:r>
            <w:r w:rsidRPr="00780E96">
              <w:rPr>
                <w:rFonts w:cs="Arial"/>
                <w:i/>
                <w:iCs/>
              </w:rPr>
              <w:t>v</w:t>
            </w:r>
            <w:r w:rsidRPr="00780E96">
              <w:rPr>
                <w:rFonts w:cs="Arial"/>
              </w:rPr>
              <w:t>; under the ex</w:t>
            </w:r>
            <w:r w:rsidR="70912C80" w:rsidRPr="00780E96">
              <w:rPr>
                <w:rFonts w:cs="Arial"/>
              </w:rPr>
              <w:t>-</w:t>
            </w:r>
            <w:r w:rsidRPr="00780E96">
              <w:rPr>
                <w:rFonts w:cs="Arial"/>
              </w:rPr>
              <w:t>ante option, the central calendar year of the three</w:t>
            </w:r>
            <w:r w:rsidR="4489AE8C" w:rsidRPr="00780E96">
              <w:rPr>
                <w:rFonts w:cs="Arial"/>
              </w:rPr>
              <w:t>-year</w:t>
            </w:r>
            <w:r w:rsidRPr="00780E96">
              <w:rPr>
                <w:rFonts w:cs="Arial"/>
              </w:rPr>
              <w:t xml:space="preserve"> period used to calculate the emission factor</w:t>
            </w:r>
          </w:p>
        </w:tc>
      </w:tr>
    </w:tbl>
    <w:p w14:paraId="0363F834" w14:textId="78E7139C" w:rsidR="00873825" w:rsidRPr="00780E96" w:rsidRDefault="00DF122F">
      <w:pPr>
        <w:pStyle w:val="SDMPara"/>
      </w:pPr>
      <w:bookmarkStart w:id="634" w:name="_Ref220943627"/>
      <w:bookmarkStart w:id="635" w:name="_Toc497298257"/>
      <w:bookmarkStart w:id="636" w:name="_Toc497399026"/>
      <w:bookmarkStart w:id="637" w:name="_Toc516136278"/>
      <w:bookmarkStart w:id="638" w:name="_Ref215683392"/>
      <w:bookmarkStart w:id="639" w:name="_Ref215683668"/>
      <w:r w:rsidRPr="00780E96">
        <w:t xml:space="preserve">For </w:t>
      </w:r>
      <w:r w:rsidR="002259CD" w:rsidRPr="00780E96">
        <w:rPr>
          <w:b/>
          <w:bCs/>
        </w:rPr>
        <w:t>case </w:t>
      </w:r>
      <w:r w:rsidRPr="00780E96">
        <w:rPr>
          <w:b/>
          <w:bCs/>
        </w:rPr>
        <w:t>1</w:t>
      </w:r>
      <w:r w:rsidRPr="00780E96">
        <w:t xml:space="preserve">, a value of zero shall </w:t>
      </w:r>
      <w:r w:rsidR="002259CD" w:rsidRPr="00780E96">
        <w:t xml:space="preserve">be applied </w:t>
      </w:r>
      <w:r w:rsidRPr="00780E96">
        <w:t>to the par</w:t>
      </w:r>
      <w:r w:rsidR="00873825" w:rsidRPr="00780E96">
        <w:t xml:space="preserve">ameter </w:t>
      </w:r>
      <w:r w:rsidR="00873825" w:rsidRPr="00780E96">
        <w:rPr>
          <w:i/>
          <w:iCs/>
        </w:rPr>
        <w:t>F</w:t>
      </w:r>
      <w:r w:rsidR="00873825" w:rsidRPr="00780E96">
        <w:rPr>
          <w:i/>
          <w:iCs/>
          <w:vertAlign w:val="subscript"/>
        </w:rPr>
        <w:t>OM</w:t>
      </w:r>
      <w:r w:rsidRPr="00780E96">
        <w:rPr>
          <w:i/>
          <w:iCs/>
          <w:vertAlign w:val="subscript"/>
        </w:rPr>
        <w:t>,</w:t>
      </w:r>
      <w:r w:rsidR="00714A2E" w:rsidRPr="00780E96">
        <w:rPr>
          <w:i/>
          <w:iCs/>
          <w:vertAlign w:val="subscript"/>
        </w:rPr>
        <w:t>simple</w:t>
      </w:r>
      <w:r w:rsidRPr="00780E96">
        <w:t xml:space="preserve">, as a simplified and reasonably conservative approach. For </w:t>
      </w:r>
      <w:r w:rsidR="002259CD" w:rsidRPr="00780E96">
        <w:rPr>
          <w:b/>
          <w:bCs/>
        </w:rPr>
        <w:t>case </w:t>
      </w:r>
      <w:r w:rsidRPr="00780E96">
        <w:rPr>
          <w:b/>
          <w:bCs/>
        </w:rPr>
        <w:t>2</w:t>
      </w:r>
      <w:r w:rsidRPr="00780E96">
        <w:t xml:space="preserve">, </w:t>
      </w:r>
      <w:r w:rsidR="00D87CE8" w:rsidRPr="00780E96">
        <w:t xml:space="preserve">activity participants </w:t>
      </w:r>
      <w:r w:rsidR="00B62671" w:rsidRPr="00780E96">
        <w:t>shall</w:t>
      </w:r>
      <w:r w:rsidR="00D87CE8" w:rsidRPr="00780E96">
        <w:t xml:space="preserve"> use either the global value or the </w:t>
      </w:r>
      <w:r w:rsidR="00EF457C" w:rsidRPr="00780E96">
        <w:t xml:space="preserve">respective </w:t>
      </w:r>
      <w:r w:rsidR="00D87CE8" w:rsidRPr="00780E96">
        <w:t xml:space="preserve">country-specific </w:t>
      </w:r>
      <w:r w:rsidRPr="00780E96">
        <w:t xml:space="preserve">value </w:t>
      </w:r>
      <w:r w:rsidR="00D87CE8" w:rsidRPr="00780E96">
        <w:t xml:space="preserve">provided in </w:t>
      </w:r>
      <w:r w:rsidR="487FB8FA" w:rsidRPr="00780E96">
        <w:t>a</w:t>
      </w:r>
      <w:r w:rsidR="00D87CE8" w:rsidRPr="00780E96">
        <w:t>ppendix</w:t>
      </w:r>
      <w:r w:rsidR="00E17A7A" w:rsidRPr="00780E96">
        <w:t> </w:t>
      </w:r>
      <w:r w:rsidR="00D87CE8" w:rsidRPr="00780E96">
        <w:t>2</w:t>
      </w:r>
      <w:r w:rsidRPr="00780E96">
        <w:t>.</w:t>
      </w:r>
      <w:bookmarkEnd w:id="634"/>
    </w:p>
    <w:p w14:paraId="7A49B7AA" w14:textId="77777777" w:rsidR="00FB7670" w:rsidRPr="00780E96" w:rsidRDefault="00FB7670">
      <w:pPr>
        <w:pStyle w:val="SDMHead5"/>
      </w:pPr>
      <w:bookmarkStart w:id="640" w:name="_Ref216065061"/>
      <w:r w:rsidRPr="00780E96">
        <w:rPr>
          <w:lang w:val="en-US"/>
        </w:rPr>
        <w:t xml:space="preserve">Method </w:t>
      </w:r>
      <w:r w:rsidR="0042606C" w:rsidRPr="00780E96">
        <w:rPr>
          <w:lang w:val="en-US"/>
        </w:rPr>
        <w:t>(</w:t>
      </w:r>
      <w:r w:rsidRPr="00780E96">
        <w:rPr>
          <w:lang w:val="en-US"/>
        </w:rPr>
        <w:t>c)</w:t>
      </w:r>
      <w:r w:rsidR="00422EFD" w:rsidRPr="00780E96">
        <w:rPr>
          <w:lang w:val="en-US"/>
        </w:rPr>
        <w:t>:</w:t>
      </w:r>
      <w:r w:rsidRPr="00780E96">
        <w:rPr>
          <w:lang w:val="en-US"/>
        </w:rPr>
        <w:t xml:space="preserve"> </w:t>
      </w:r>
      <w:r w:rsidRPr="00780E96">
        <w:t>Simple adjusted OM</w:t>
      </w:r>
      <w:bookmarkEnd w:id="635"/>
      <w:bookmarkEnd w:id="636"/>
      <w:bookmarkEnd w:id="637"/>
      <w:bookmarkEnd w:id="638"/>
      <w:bookmarkEnd w:id="639"/>
      <w:bookmarkEnd w:id="640"/>
    </w:p>
    <w:p w14:paraId="7917EDC4" w14:textId="2BCF03CF" w:rsidR="00D35863" w:rsidRPr="00780E96" w:rsidRDefault="00FB7670">
      <w:pPr>
        <w:pStyle w:val="SDMPara"/>
      </w:pPr>
      <w:r w:rsidRPr="00780E96">
        <w:t>The simple adjusted OM emission factor (</w:t>
      </w:r>
      <w:r w:rsidRPr="00780E96">
        <w:rPr>
          <w:i/>
        </w:rPr>
        <w:t>EF</w:t>
      </w:r>
      <w:r w:rsidRPr="00780E96">
        <w:rPr>
          <w:i/>
          <w:vertAlign w:val="subscript"/>
        </w:rPr>
        <w:t>OM</w:t>
      </w:r>
      <w:r w:rsidR="00DB6F20" w:rsidRPr="00780E96">
        <w:rPr>
          <w:i/>
          <w:vertAlign w:val="subscript"/>
        </w:rPr>
        <w:t>,</w:t>
      </w:r>
      <w:r w:rsidRPr="00780E96">
        <w:rPr>
          <w:i/>
          <w:vertAlign w:val="subscript"/>
        </w:rPr>
        <w:t>adj,</w:t>
      </w:r>
      <w:r w:rsidR="005D323D" w:rsidRPr="00780E96">
        <w:rPr>
          <w:i/>
          <w:iCs/>
          <w:vertAlign w:val="subscript"/>
        </w:rPr>
        <w:t>t</w:t>
      </w:r>
      <w:r w:rsidRPr="00780E96">
        <w:t>) is a variation of the simple OM</w:t>
      </w:r>
      <w:r w:rsidR="094EAF2A" w:rsidRPr="00780E96">
        <w:t xml:space="preserve">, </w:t>
      </w:r>
      <w:r w:rsidR="007362DC" w:rsidRPr="00780E96">
        <w:t>w</w:t>
      </w:r>
      <w:r w:rsidR="00F130FA" w:rsidRPr="00780E96">
        <w:t xml:space="preserve">ith an adjustment for periods in which </w:t>
      </w:r>
      <w:r w:rsidR="00760BE4" w:rsidRPr="00780E96">
        <w:t xml:space="preserve">either (i) renewable electricity generation is curtailed because available output exceeded what the electricity system could absorb or (ii) </w:t>
      </w:r>
      <w:r w:rsidR="00035864" w:rsidRPr="00780E96">
        <w:t xml:space="preserve">the electricity system </w:t>
      </w:r>
      <w:r w:rsidR="00717C1F" w:rsidRPr="00780E96">
        <w:t>operates solely based on renewable</w:t>
      </w:r>
      <w:r w:rsidR="00035864" w:rsidRPr="00780E96">
        <w:t>, nuclear, and/or storage power units</w:t>
      </w:r>
      <w:r w:rsidR="00717C1F" w:rsidRPr="00780E96">
        <w:t>.</w:t>
      </w:r>
    </w:p>
    <w:p w14:paraId="3E02C27E" w14:textId="36353623" w:rsidR="0052193B" w:rsidRPr="00780E96" w:rsidRDefault="00422EFD">
      <w:pPr>
        <w:pStyle w:val="SDMPara"/>
      </w:pPr>
      <w:bookmarkStart w:id="641" w:name="_Ref215683409"/>
      <w:bookmarkStart w:id="642" w:name="_Ref220953076"/>
      <w:r w:rsidRPr="00780E96">
        <w:t xml:space="preserve">The simple adjusted OM </w:t>
      </w:r>
      <w:r w:rsidR="007B07E5" w:rsidRPr="00780E96">
        <w:t xml:space="preserve">emission factor </w:t>
      </w:r>
      <w:r w:rsidR="00A35E36" w:rsidRPr="00780E96">
        <w:t>shall</w:t>
      </w:r>
      <w:r w:rsidRPr="00780E96">
        <w:t xml:space="preserve"> be applied </w:t>
      </w:r>
      <w:r w:rsidR="00EB67CC" w:rsidRPr="00780E96">
        <w:t xml:space="preserve">only </w:t>
      </w:r>
      <w:r w:rsidRPr="00780E96">
        <w:t xml:space="preserve">where the necessary data </w:t>
      </w:r>
      <w:r w:rsidR="00EB67CC" w:rsidRPr="00780E96">
        <w:t xml:space="preserve">are </w:t>
      </w:r>
      <w:r w:rsidRPr="00780E96">
        <w:t>available.</w:t>
      </w:r>
      <w:r w:rsidR="002A2CD2" w:rsidRPr="00780E96">
        <w:t xml:space="preserve"> </w:t>
      </w:r>
      <w:r w:rsidR="00B14BC4" w:rsidRPr="00780E96">
        <w:t xml:space="preserve">It may be applied to both </w:t>
      </w:r>
      <w:r w:rsidR="00EB67CC" w:rsidRPr="00780E96">
        <w:rPr>
          <w:b/>
          <w:bCs/>
        </w:rPr>
        <w:t>case </w:t>
      </w:r>
      <w:r w:rsidR="00B14BC4" w:rsidRPr="00780E96">
        <w:rPr>
          <w:b/>
          <w:bCs/>
        </w:rPr>
        <w:t>1</w:t>
      </w:r>
      <w:r w:rsidR="00B14BC4" w:rsidRPr="00780E96">
        <w:t xml:space="preserve"> and </w:t>
      </w:r>
      <w:r w:rsidR="00EB67CC" w:rsidRPr="00780E96">
        <w:rPr>
          <w:b/>
          <w:bCs/>
        </w:rPr>
        <w:t>case </w:t>
      </w:r>
      <w:r w:rsidR="00B14BC4" w:rsidRPr="00780E96">
        <w:rPr>
          <w:b/>
          <w:bCs/>
        </w:rPr>
        <w:t>2</w:t>
      </w:r>
      <w:r w:rsidR="00B14BC4" w:rsidRPr="00780E96">
        <w:t xml:space="preserve"> and to any type of electricity generation or consumption source</w:t>
      </w:r>
      <w:r w:rsidR="00B105D8" w:rsidRPr="00780E96">
        <w:t>,</w:t>
      </w:r>
      <w:r w:rsidR="00B14BC4" w:rsidRPr="00780E96">
        <w:t xml:space="preserve"> including</w:t>
      </w:r>
      <w:r w:rsidR="00B14BC4" w:rsidRPr="00780E96" w:rsidDel="00B105D8">
        <w:t xml:space="preserve"> </w:t>
      </w:r>
      <w:r w:rsidR="00B14BC4" w:rsidRPr="00780E96">
        <w:t>intermittent and non-intermittent electricity generation sources and electricity consumption sources depending</w:t>
      </w:r>
      <w:r w:rsidR="00B105D8" w:rsidRPr="00780E96">
        <w:t xml:space="preserve"> on,</w:t>
      </w:r>
      <w:r w:rsidR="00B14BC4" w:rsidRPr="00780E96">
        <w:t xml:space="preserve"> or not depending on</w:t>
      </w:r>
      <w:r w:rsidR="00B105D8" w:rsidRPr="00780E96">
        <w:t>,</w:t>
      </w:r>
      <w:r w:rsidR="00B14BC4" w:rsidRPr="00780E96">
        <w:t xml:space="preserve"> intermittent generation</w:t>
      </w:r>
      <w:bookmarkEnd w:id="641"/>
      <w:r w:rsidR="0021043D" w:rsidRPr="00780E96">
        <w:t>.</w:t>
      </w:r>
      <w:bookmarkEnd w:id="642"/>
    </w:p>
    <w:p w14:paraId="50A2AA77" w14:textId="2E8BFEAB" w:rsidR="00726FDC" w:rsidRPr="00780E96" w:rsidRDefault="00873456" w:rsidP="00F62D64">
      <w:pPr>
        <w:pStyle w:val="SDMPara"/>
        <w:keepNext/>
      </w:pPr>
      <w:r w:rsidRPr="00780E96">
        <w:t xml:space="preserve">This </w:t>
      </w:r>
      <w:r w:rsidR="00C114C6" w:rsidRPr="00780E96">
        <w:t xml:space="preserve">methodological </w:t>
      </w:r>
      <w:r w:rsidRPr="00780E96">
        <w:t xml:space="preserve">tool provides two options </w:t>
      </w:r>
      <w:r w:rsidR="00B105D8" w:rsidRPr="00780E96">
        <w:t>for calculating</w:t>
      </w:r>
      <w:r w:rsidR="00E615D7" w:rsidRPr="00780E96">
        <w:t xml:space="preserve"> the </w:t>
      </w:r>
      <w:r w:rsidR="00665D86" w:rsidRPr="00780E96">
        <w:t xml:space="preserve">simple </w:t>
      </w:r>
      <w:r w:rsidR="00E615D7" w:rsidRPr="00780E96">
        <w:t>adjusted OM</w:t>
      </w:r>
      <w:r w:rsidR="00665D86" w:rsidRPr="00780E96">
        <w:t xml:space="preserve"> emission factor</w:t>
      </w:r>
      <w:r w:rsidR="00E6040F" w:rsidRPr="00780E96">
        <w:t>:</w:t>
      </w:r>
    </w:p>
    <w:p w14:paraId="0B726AB4" w14:textId="2E3C2657" w:rsidR="00873456" w:rsidRPr="00780E96" w:rsidRDefault="50810A02" w:rsidP="00B15AC9">
      <w:pPr>
        <w:pStyle w:val="SDMSubPara1"/>
      </w:pPr>
      <w:r w:rsidRPr="00780E96">
        <w:rPr>
          <w:b/>
          <w:bCs/>
        </w:rPr>
        <w:t>Option</w:t>
      </w:r>
      <w:r w:rsidR="602BECC0" w:rsidRPr="00780E96">
        <w:rPr>
          <w:b/>
          <w:bCs/>
        </w:rPr>
        <w:t> </w:t>
      </w:r>
      <w:r w:rsidRPr="00780E96">
        <w:rPr>
          <w:b/>
          <w:bCs/>
        </w:rPr>
        <w:t>1:</w:t>
      </w:r>
      <w:r w:rsidR="252EBE53" w:rsidRPr="00780E96" w:rsidDel="00B105D8">
        <w:t xml:space="preserve"> </w:t>
      </w:r>
      <w:r w:rsidR="00B105D8" w:rsidRPr="00780E96">
        <w:t xml:space="preserve">based </w:t>
      </w:r>
      <w:r w:rsidR="252EBE53" w:rsidRPr="00780E96">
        <w:t>on</w:t>
      </w:r>
      <w:r w:rsidR="73F9B15B" w:rsidRPr="00780E96">
        <w:t xml:space="preserve"> </w:t>
      </w:r>
      <w:r w:rsidR="62988611" w:rsidRPr="00780E96">
        <w:t xml:space="preserve">(i) </w:t>
      </w:r>
      <w:r w:rsidR="73F9B15B" w:rsidRPr="00780E96">
        <w:t xml:space="preserve">hourly data on </w:t>
      </w:r>
      <w:r w:rsidR="62988611" w:rsidRPr="00780E96">
        <w:t>the</w:t>
      </w:r>
      <w:r w:rsidR="5C44246C" w:rsidRPr="00780E96">
        <w:t xml:space="preserve"> </w:t>
      </w:r>
      <w:r w:rsidR="73F9B15B" w:rsidRPr="00780E96">
        <w:t>electricity generation or consumption from all sources </w:t>
      </w:r>
      <w:r w:rsidR="73F9B15B" w:rsidRPr="00780E96">
        <w:rPr>
          <w:i/>
          <w:iCs/>
        </w:rPr>
        <w:t>s</w:t>
      </w:r>
      <w:r w:rsidR="62988611" w:rsidRPr="00780E96">
        <w:t>,</w:t>
      </w:r>
      <w:r w:rsidR="73F9B15B" w:rsidRPr="00780E96">
        <w:t xml:space="preserve"> </w:t>
      </w:r>
      <w:r w:rsidR="5C44246C" w:rsidRPr="00780E96">
        <w:t>(ii)</w:t>
      </w:r>
      <w:r w:rsidR="252EBE53" w:rsidRPr="00780E96">
        <w:t xml:space="preserve"> </w:t>
      </w:r>
      <w:r w:rsidR="62988611" w:rsidRPr="00780E96">
        <w:t xml:space="preserve">hourly data </w:t>
      </w:r>
      <w:r w:rsidR="00204860" w:rsidRPr="00780E96">
        <w:t xml:space="preserve">indicating </w:t>
      </w:r>
      <w:r w:rsidR="1920D7C1" w:rsidRPr="00780E96">
        <w:t xml:space="preserve">whether </w:t>
      </w:r>
      <w:r w:rsidR="00F76132" w:rsidRPr="00780E96">
        <w:t>renewable electricity generation is curtailed because available output exceeded what the electricity system could absorb</w:t>
      </w:r>
      <w:r w:rsidR="00B81E27" w:rsidRPr="00780E96">
        <w:t>,</w:t>
      </w:r>
      <w:r w:rsidR="00B212F5" w:rsidRPr="00780E96">
        <w:t xml:space="preserve"> </w:t>
      </w:r>
      <w:r w:rsidR="00B81E27" w:rsidRPr="00780E96">
        <w:t xml:space="preserve">(iii) hourly </w:t>
      </w:r>
      <w:r w:rsidR="00DE76B0" w:rsidRPr="00780E96">
        <w:t xml:space="preserve">data </w:t>
      </w:r>
      <w:r w:rsidR="00B81E27" w:rsidRPr="00780E96">
        <w:t xml:space="preserve">indicating whether </w:t>
      </w:r>
      <w:r w:rsidR="00E323AD" w:rsidRPr="00780E96">
        <w:t xml:space="preserve">the </w:t>
      </w:r>
      <w:r w:rsidR="365E4473" w:rsidRPr="00780E96">
        <w:t>electricity system operates solely based on renewable, nuclear, and/or storage power units</w:t>
      </w:r>
      <w:r w:rsidR="11839791" w:rsidRPr="00780E96">
        <w:t>, and (i</w:t>
      </w:r>
      <w:r w:rsidR="00B81E27" w:rsidRPr="00780E96">
        <w:t>v</w:t>
      </w:r>
      <w:r w:rsidR="11839791" w:rsidRPr="00780E96">
        <w:t xml:space="preserve">) annual </w:t>
      </w:r>
      <w:r w:rsidR="255FD9DC" w:rsidRPr="00780E96">
        <w:t xml:space="preserve">data </w:t>
      </w:r>
      <w:r w:rsidR="009247E8" w:rsidRPr="00780E96">
        <w:t xml:space="preserve">used </w:t>
      </w:r>
      <w:r w:rsidR="255FD9DC" w:rsidRPr="00780E96">
        <w:t xml:space="preserve">to calculate the </w:t>
      </w:r>
      <w:r w:rsidR="11839791" w:rsidRPr="00780E96">
        <w:t>simple OM emission factor</w:t>
      </w:r>
      <w:r w:rsidR="5E27C544" w:rsidRPr="00780E96">
        <w:t>;</w:t>
      </w:r>
      <w:r w:rsidR="009247E8" w:rsidRPr="00780E96">
        <w:t xml:space="preserve"> or</w:t>
      </w:r>
    </w:p>
    <w:p w14:paraId="3F743C34" w14:textId="045D1703" w:rsidR="00E6040F" w:rsidRPr="00780E96" w:rsidRDefault="00E6040F" w:rsidP="00F65332">
      <w:pPr>
        <w:pStyle w:val="SDMSubPara1"/>
      </w:pPr>
      <w:r w:rsidRPr="00780E96">
        <w:rPr>
          <w:b/>
        </w:rPr>
        <w:t>Option</w:t>
      </w:r>
      <w:r w:rsidR="006A3F26" w:rsidRPr="00780E96">
        <w:rPr>
          <w:b/>
        </w:rPr>
        <w:t> </w:t>
      </w:r>
      <w:r w:rsidRPr="00780E96">
        <w:rPr>
          <w:b/>
        </w:rPr>
        <w:t>2:</w:t>
      </w:r>
      <w:r w:rsidRPr="00780E96" w:rsidDel="00B105D8">
        <w:t xml:space="preserve"> </w:t>
      </w:r>
      <w:r w:rsidR="00B105D8" w:rsidRPr="00780E96">
        <w:t xml:space="preserve">based </w:t>
      </w:r>
      <w:r w:rsidRPr="00780E96">
        <w:t xml:space="preserve">on </w:t>
      </w:r>
      <w:r w:rsidR="00EF44D1" w:rsidRPr="00780E96">
        <w:t>annual data on electricity generation or consumption from all sources </w:t>
      </w:r>
      <w:r w:rsidR="00EF44D1" w:rsidRPr="00780E96">
        <w:rPr>
          <w:i/>
        </w:rPr>
        <w:t>s</w:t>
      </w:r>
      <w:r w:rsidR="00EF44D1" w:rsidRPr="00780E96">
        <w:t xml:space="preserve"> and </w:t>
      </w:r>
      <w:r w:rsidR="00FF49EB" w:rsidRPr="00780E96">
        <w:t xml:space="preserve">aggregated information </w:t>
      </w:r>
      <w:r w:rsidR="00A77D27" w:rsidRPr="00780E96">
        <w:t xml:space="preserve">on the number of hours </w:t>
      </w:r>
      <w:r w:rsidR="00EF44D1" w:rsidRPr="00780E96">
        <w:t xml:space="preserve">in which the </w:t>
      </w:r>
      <w:r w:rsidR="00F5447B" w:rsidRPr="00780E96">
        <w:t>renewable electricity generation is curtailed because available output exceeded what the electricity system could absorb</w:t>
      </w:r>
      <w:r w:rsidR="00B212F5" w:rsidRPr="00780E96">
        <w:t xml:space="preserve"> </w:t>
      </w:r>
      <w:r w:rsidR="00974E28" w:rsidRPr="00780E96">
        <w:t>and/</w:t>
      </w:r>
      <w:r w:rsidR="00B212F5" w:rsidRPr="00780E96">
        <w:t xml:space="preserve">or </w:t>
      </w:r>
      <w:r w:rsidR="00F93889" w:rsidRPr="00780E96">
        <w:t>the</w:t>
      </w:r>
      <w:r w:rsidR="00B212F5" w:rsidRPr="00780E96">
        <w:t xml:space="preserve"> </w:t>
      </w:r>
      <w:r w:rsidR="00EF44D1" w:rsidRPr="00780E96">
        <w:t>electricity system operates solely based on renewable, nuclear, and/or storage power units.</w:t>
      </w:r>
    </w:p>
    <w:p w14:paraId="6936754C" w14:textId="01ED2133" w:rsidR="00232FB0" w:rsidRPr="00780E96" w:rsidRDefault="6F404E8F">
      <w:pPr>
        <w:pStyle w:val="SDMPara"/>
      </w:pPr>
      <w:bookmarkStart w:id="643" w:name="_Ref220953125"/>
      <w:r w:rsidRPr="00780E96">
        <w:rPr>
          <w:b/>
          <w:bCs/>
        </w:rPr>
        <w:t>Option</w:t>
      </w:r>
      <w:r w:rsidR="62EC0823" w:rsidRPr="00780E96">
        <w:rPr>
          <w:b/>
          <w:bCs/>
        </w:rPr>
        <w:t> </w:t>
      </w:r>
      <w:r w:rsidR="49A6BF5B" w:rsidRPr="00780E96">
        <w:rPr>
          <w:b/>
          <w:bCs/>
        </w:rPr>
        <w:t>1</w:t>
      </w:r>
      <w:r w:rsidR="49A6BF5B" w:rsidRPr="00780E96">
        <w:t xml:space="preserve"> may be applied in all situations. </w:t>
      </w:r>
      <w:r w:rsidR="49A6BF5B" w:rsidRPr="00780E96">
        <w:rPr>
          <w:b/>
          <w:bCs/>
        </w:rPr>
        <w:t>Option 2</w:t>
      </w:r>
      <w:r w:rsidR="60481E3E" w:rsidRPr="00780E96">
        <w:t xml:space="preserve"> shall be applied</w:t>
      </w:r>
      <w:r w:rsidR="704DD7C5" w:rsidRPr="00780E96">
        <w:t xml:space="preserve"> </w:t>
      </w:r>
      <w:r w:rsidR="61199671" w:rsidRPr="00780E96">
        <w:t xml:space="preserve">only </w:t>
      </w:r>
      <w:r w:rsidR="704DD7C5" w:rsidRPr="00780E96">
        <w:t>to non-intermittent electricity generation sources or electricity consumption sources not depending on intermittent generation.</w:t>
      </w:r>
      <w:r w:rsidR="2E125146" w:rsidRPr="00780E96">
        <w:t xml:space="preserve"> </w:t>
      </w:r>
      <w:r w:rsidR="663C0CBD" w:rsidRPr="00780E96">
        <w:t xml:space="preserve">Furthermore, </w:t>
      </w:r>
      <w:r w:rsidR="61199671" w:rsidRPr="00780E96">
        <w:rPr>
          <w:b/>
          <w:bCs/>
        </w:rPr>
        <w:t>option </w:t>
      </w:r>
      <w:r w:rsidR="1E0886A7" w:rsidRPr="00780E96">
        <w:rPr>
          <w:b/>
          <w:bCs/>
        </w:rPr>
        <w:t>1</w:t>
      </w:r>
      <w:r w:rsidR="1E0886A7" w:rsidRPr="00780E96">
        <w:t xml:space="preserve"> </w:t>
      </w:r>
      <w:r w:rsidR="2188580A" w:rsidRPr="00780E96">
        <w:t>shall be</w:t>
      </w:r>
      <w:r w:rsidR="1E0886A7" w:rsidRPr="00780E96">
        <w:t xml:space="preserve"> determined using the ex</w:t>
      </w:r>
      <w:r w:rsidR="13ABDAB7" w:rsidRPr="00780E96">
        <w:t>-</w:t>
      </w:r>
      <w:r w:rsidR="1E0886A7" w:rsidRPr="00780E96">
        <w:t xml:space="preserve">post option, as </w:t>
      </w:r>
      <w:r w:rsidR="0375730C" w:rsidRPr="00780E96">
        <w:t>described</w:t>
      </w:r>
      <w:r w:rsidR="65F0504B" w:rsidRPr="00780E96">
        <w:t xml:space="preserve"> for the simple OM emission factor in section</w:t>
      </w:r>
      <w:r w:rsidR="5DAD7E2D" w:rsidRPr="00780E96">
        <w:t xml:space="preserve"> </w:t>
      </w:r>
      <w:r w:rsidR="00751200" w:rsidRPr="00780E96">
        <w:fldChar w:fldCharType="begin"/>
      </w:r>
      <w:r w:rsidR="00751200" w:rsidRPr="00780E96">
        <w:instrText xml:space="preserve"> REF _Ref215683293 \w \h </w:instrText>
      </w:r>
      <w:r w:rsidR="00780E96">
        <w:instrText xml:space="preserve"> \* MERGEFORMAT </w:instrText>
      </w:r>
      <w:r w:rsidR="00751200" w:rsidRPr="00780E96">
        <w:fldChar w:fldCharType="separate"/>
      </w:r>
      <w:r w:rsidR="003B0135" w:rsidRPr="00780E96">
        <w:rPr>
          <w:cs/>
        </w:rPr>
        <w:t>‎</w:t>
      </w:r>
      <w:r w:rsidR="003B0135" w:rsidRPr="00780E96">
        <w:t>5.7.1.2.2</w:t>
      </w:r>
      <w:r w:rsidR="00751200" w:rsidRPr="00780E96">
        <w:fldChar w:fldCharType="end"/>
      </w:r>
      <w:r w:rsidR="65F0504B" w:rsidRPr="00780E96">
        <w:t xml:space="preserve">. </w:t>
      </w:r>
      <w:r w:rsidR="7DA65395" w:rsidRPr="00780E96">
        <w:rPr>
          <w:b/>
          <w:bCs/>
        </w:rPr>
        <w:t>Option 2</w:t>
      </w:r>
      <w:r w:rsidR="7DA65395" w:rsidRPr="00780E96">
        <w:t xml:space="preserve"> may be</w:t>
      </w:r>
      <w:r w:rsidR="2188580A" w:rsidRPr="00780E96">
        <w:t xml:space="preserve"> determined using either the ex</w:t>
      </w:r>
      <w:r w:rsidR="3EF4C534" w:rsidRPr="00780E96">
        <w:t>-</w:t>
      </w:r>
      <w:r w:rsidR="2188580A" w:rsidRPr="00780E96">
        <w:t>ante option or the ex</w:t>
      </w:r>
      <w:r w:rsidR="06463F8A" w:rsidRPr="00780E96">
        <w:t>-</w:t>
      </w:r>
      <w:r w:rsidR="2188580A" w:rsidRPr="00780E96">
        <w:t>post option, as described for the simple OM emission factor</w:t>
      </w:r>
      <w:r w:rsidR="1034CF8E" w:rsidRPr="00780E96">
        <w:t xml:space="preserve"> in section </w:t>
      </w:r>
      <w:bookmarkEnd w:id="643"/>
      <w:r w:rsidR="00570436" w:rsidRPr="00780E96">
        <w:fldChar w:fldCharType="begin"/>
      </w:r>
      <w:r w:rsidR="00570436" w:rsidRPr="00780E96">
        <w:instrText xml:space="preserve"> REF _Ref215683293 \w \h </w:instrText>
      </w:r>
      <w:r w:rsidR="00780E96">
        <w:instrText xml:space="preserve"> \* MERGEFORMAT </w:instrText>
      </w:r>
      <w:r w:rsidR="00570436" w:rsidRPr="00780E96">
        <w:fldChar w:fldCharType="separate"/>
      </w:r>
      <w:r w:rsidR="003B0135" w:rsidRPr="00780E96">
        <w:rPr>
          <w:cs/>
        </w:rPr>
        <w:t>‎</w:t>
      </w:r>
      <w:r w:rsidR="003B0135" w:rsidRPr="00780E96">
        <w:t>5.7.1.2.2</w:t>
      </w:r>
      <w:r w:rsidR="00570436" w:rsidRPr="00780E96">
        <w:fldChar w:fldCharType="end"/>
      </w:r>
      <w:r w:rsidR="46152BCC" w:rsidRPr="00780E96">
        <w:t>.</w:t>
      </w:r>
    </w:p>
    <w:p w14:paraId="693EDFB7" w14:textId="1DDBD42A" w:rsidR="00633E90" w:rsidRPr="00780E96" w:rsidRDefault="00436176" w:rsidP="00F62D64">
      <w:pPr>
        <w:pStyle w:val="SDMPara"/>
        <w:keepNext/>
      </w:pPr>
      <w:r w:rsidRPr="00780E96">
        <w:t xml:space="preserve">Under both options, </w:t>
      </w:r>
      <w:r w:rsidR="002E1B6C" w:rsidRPr="00780E96">
        <w:t xml:space="preserve">the simple adjusted OM emission factor </w:t>
      </w:r>
      <w:r w:rsidR="00403450" w:rsidRPr="00780E96">
        <w:t xml:space="preserve">shall be </w:t>
      </w:r>
      <w:r w:rsidR="002E1B6C" w:rsidRPr="00780E96">
        <w:t xml:space="preserve">determined by </w:t>
      </w:r>
      <w:r w:rsidR="00403450" w:rsidRPr="00780E96">
        <w:t xml:space="preserve">applying </w:t>
      </w:r>
      <w:r w:rsidR="002E1B6C" w:rsidRPr="00780E96">
        <w:t>an adjustment to the simple OM emission factor</w:t>
      </w:r>
      <w:r w:rsidR="00633E90" w:rsidRPr="00780E96">
        <w:t xml:space="preserve">, </w:t>
      </w:r>
      <w:r w:rsidR="002E1B6C" w:rsidRPr="00780E96">
        <w:t>as follows:</w:t>
      </w:r>
    </w:p>
    <w:p w14:paraId="2C195A08" w14:textId="427234F8" w:rsidR="00071251" w:rsidRPr="00780E96" w:rsidRDefault="00AA35AD" w:rsidP="00F62D64">
      <w:pPr>
        <w:pStyle w:val="SDMSubPara1"/>
        <w:keepNext/>
      </w:pPr>
      <w:r w:rsidRPr="00780E96">
        <w:rPr>
          <w:b/>
        </w:rPr>
        <w:t>Option</w:t>
      </w:r>
      <w:r w:rsidR="0060151F" w:rsidRPr="00780E96">
        <w:rPr>
          <w:b/>
        </w:rPr>
        <w:t> </w:t>
      </w:r>
      <w:r w:rsidRPr="00780E96">
        <w:rPr>
          <w:b/>
        </w:rPr>
        <w:t>1:</w:t>
      </w:r>
      <w:r w:rsidR="003925A6" w:rsidRPr="00780E96">
        <w:t xml:space="preserve"> </w:t>
      </w:r>
      <w:r w:rsidR="006F015C" w:rsidRPr="00780E96">
        <w:t xml:space="preserve">an </w:t>
      </w:r>
      <w:r w:rsidR="008E5DA0" w:rsidRPr="00780E96">
        <w:t xml:space="preserve">emission factor of zero </w:t>
      </w:r>
      <w:r w:rsidR="006F015C" w:rsidRPr="00780E96">
        <w:t>shall be applied</w:t>
      </w:r>
      <w:r w:rsidR="008E5DA0" w:rsidRPr="00780E96">
        <w:t xml:space="preserve"> </w:t>
      </w:r>
      <w:r w:rsidR="00071251" w:rsidRPr="00780E96">
        <w:t>for each hour </w:t>
      </w:r>
      <w:r w:rsidR="00071251" w:rsidRPr="00780E96">
        <w:rPr>
          <w:i/>
        </w:rPr>
        <w:t>h</w:t>
      </w:r>
      <w:r w:rsidR="00071251" w:rsidRPr="00780E96">
        <w:t xml:space="preserve"> in which </w:t>
      </w:r>
      <w:r w:rsidR="00304CBB" w:rsidRPr="00780E96">
        <w:t xml:space="preserve">either (i) </w:t>
      </w:r>
      <w:r w:rsidR="00BC6CDC" w:rsidRPr="00780E96">
        <w:t xml:space="preserve">renewable electricity generation in </w:t>
      </w:r>
      <w:r w:rsidR="00071251" w:rsidRPr="00780E96">
        <w:t xml:space="preserve">the electricity system </w:t>
      </w:r>
      <w:r w:rsidR="00BC6CDC" w:rsidRPr="00780E96">
        <w:t xml:space="preserve">is curtailed because </w:t>
      </w:r>
      <w:r w:rsidR="00622974" w:rsidRPr="00780E96">
        <w:t>available output exceeded what the electricity system could absorb</w:t>
      </w:r>
      <w:r w:rsidR="007F1DED" w:rsidRPr="00780E96">
        <w:t xml:space="preserve"> </w:t>
      </w:r>
      <w:r w:rsidR="00071251" w:rsidRPr="00780E96">
        <w:t xml:space="preserve">or </w:t>
      </w:r>
      <w:r w:rsidR="007F1DED" w:rsidRPr="00780E96">
        <w:t xml:space="preserve">(ii) the electricity system </w:t>
      </w:r>
      <w:r w:rsidR="00071251" w:rsidRPr="00780E96">
        <w:t>operates solely based on renewable, nuclear, and/or storage power units</w:t>
      </w:r>
      <w:r w:rsidR="002D7149" w:rsidRPr="00780E96">
        <w:t>. In all other hours </w:t>
      </w:r>
      <w:r w:rsidR="002D7149" w:rsidRPr="00780E96">
        <w:rPr>
          <w:i/>
        </w:rPr>
        <w:t>h</w:t>
      </w:r>
      <w:r w:rsidR="002D7149" w:rsidRPr="00780E96">
        <w:t xml:space="preserve">, the </w:t>
      </w:r>
      <w:r w:rsidR="00FB4B38" w:rsidRPr="00780E96">
        <w:t>annual</w:t>
      </w:r>
      <w:r w:rsidR="002D7149" w:rsidRPr="00780E96">
        <w:t xml:space="preserve"> simple OM emission factor </w:t>
      </w:r>
      <w:r w:rsidR="00E418C4" w:rsidRPr="00780E96">
        <w:t>shall be applied</w:t>
      </w:r>
      <w:r w:rsidR="002D7149" w:rsidRPr="00780E96">
        <w:t>.</w:t>
      </w:r>
      <w:r w:rsidR="00B4396B" w:rsidRPr="00780E96">
        <w:t xml:space="preserve"> This is expressed through the term </w:t>
      </w:r>
      <w:r w:rsidR="00B4396B" w:rsidRPr="00780E96">
        <w:rPr>
          <w:i/>
          <w:iCs/>
        </w:rPr>
        <w:t>S</w:t>
      </w:r>
      <w:r w:rsidR="00B4396B" w:rsidRPr="00780E96">
        <w:rPr>
          <w:i/>
          <w:iCs/>
          <w:vertAlign w:val="subscript"/>
        </w:rPr>
        <w:t>h</w:t>
      </w:r>
      <w:r w:rsidR="00E418C4" w:rsidRPr="00780E96">
        <w:t xml:space="preserve">, </w:t>
      </w:r>
      <w:r w:rsidR="00B4396B" w:rsidRPr="00780E96">
        <w:t xml:space="preserve">which </w:t>
      </w:r>
      <w:r w:rsidR="00B95F4B" w:rsidRPr="00780E96">
        <w:t xml:space="preserve">shall </w:t>
      </w:r>
      <w:r w:rsidR="001C0149" w:rsidRPr="00780E96">
        <w:t xml:space="preserve">be </w:t>
      </w:r>
      <w:r w:rsidR="00B4396B" w:rsidRPr="00780E96">
        <w:t xml:space="preserve">equal to </w:t>
      </w:r>
      <w:r w:rsidR="00B95F4B" w:rsidRPr="00780E96">
        <w:t xml:space="preserve">zero for hours in which </w:t>
      </w:r>
      <w:r w:rsidR="00172E60" w:rsidRPr="00780E96">
        <w:t xml:space="preserve">either </w:t>
      </w:r>
      <w:r w:rsidR="00AF28E2" w:rsidRPr="00780E96">
        <w:t>renewable electricity generation is curtailed because available output exceeded what the electricity system could absorb</w:t>
      </w:r>
      <w:r w:rsidR="00172E60" w:rsidRPr="00780E96">
        <w:t xml:space="preserve"> or </w:t>
      </w:r>
      <w:r w:rsidR="00B95F4B" w:rsidRPr="00780E96">
        <w:t xml:space="preserve">the electricity system operates solely based on renewable, nuclear, and/or storage power units and </w:t>
      </w:r>
      <w:r w:rsidR="001C0149" w:rsidRPr="00780E96">
        <w:t xml:space="preserve">equal </w:t>
      </w:r>
      <w:r w:rsidR="00B95F4B" w:rsidRPr="00780E96">
        <w:t xml:space="preserve">to one for </w:t>
      </w:r>
      <w:r w:rsidR="005D2436" w:rsidRPr="00780E96">
        <w:t xml:space="preserve">all </w:t>
      </w:r>
      <w:r w:rsidR="00B95F4B" w:rsidRPr="00780E96">
        <w:t>other hours:</w:t>
      </w:r>
    </w:p>
    <w:tbl>
      <w:tblPr>
        <w:tblStyle w:val="SDMMethTableEquation"/>
        <w:tblW w:w="8188" w:type="dxa"/>
        <w:tblInd w:w="1310" w:type="dxa"/>
        <w:tblLook w:val="0600" w:firstRow="0" w:lastRow="0" w:firstColumn="0" w:lastColumn="0" w:noHBand="1" w:noVBand="1"/>
      </w:tblPr>
      <w:tblGrid>
        <w:gridCol w:w="6770"/>
        <w:gridCol w:w="1418"/>
      </w:tblGrid>
      <w:tr w:rsidR="00FB7670" w:rsidRPr="00780E96" w14:paraId="1A03976C" w14:textId="77777777" w:rsidTr="00E4000C">
        <w:tc>
          <w:tcPr>
            <w:tcW w:w="6770" w:type="dxa"/>
          </w:tcPr>
          <w:p w14:paraId="639FA39F" w14:textId="77777777" w:rsidR="00FB7670" w:rsidRPr="00780E96" w:rsidRDefault="003F6646" w:rsidP="00CC3EC0">
            <w:pPr>
              <w:pStyle w:val="SDMMethEquation"/>
            </w:pPr>
            <m:oMathPara>
              <m:oMathParaPr>
                <m:jc m:val="left"/>
              </m:oMathParaPr>
              <m:oMath>
                <m:sSub>
                  <m:sSubPr>
                    <m:ctrlPr>
                      <w:rPr>
                        <w:rFonts w:ascii="Cambria Math" w:hAnsi="Cambria Math"/>
                        <w:i/>
                      </w:rPr>
                    </m:ctrlPr>
                  </m:sSubPr>
                  <m:e>
                    <m:r>
                      <w:rPr>
                        <w:rFonts w:ascii="Cambria Math" w:hAnsi="Cambria Math"/>
                      </w:rPr>
                      <m:t>EF</m:t>
                    </m:r>
                  </m:e>
                  <m:sub>
                    <m:r>
                      <w:rPr>
                        <w:rFonts w:ascii="Cambria Math" w:hAnsi="Cambria Math"/>
                      </w:rPr>
                      <m:t>OM,adj,h</m:t>
                    </m:r>
                  </m:sub>
                </m:sSub>
                <m:r>
                  <w:rPr>
                    <w:rFonts w:ascii="Cambria Math" w:hAnsi="Cambria Math"/>
                  </w:rPr>
                  <m:t>=</m:t>
                </m:r>
                <m:sSub>
                  <m:sSubPr>
                    <m:ctrlPr>
                      <w:rPr>
                        <w:rFonts w:ascii="Cambria Math" w:hAnsi="Cambria Math"/>
                        <w:i/>
                      </w:rPr>
                    </m:ctrlPr>
                  </m:sSubPr>
                  <m:e>
                    <m:r>
                      <w:rPr>
                        <w:rFonts w:ascii="Cambria Math" w:hAnsi="Cambria Math"/>
                      </w:rPr>
                      <m:t>S</m:t>
                    </m:r>
                  </m:e>
                  <m:sub>
                    <m:r>
                      <w:rPr>
                        <w:rFonts w:ascii="Cambria Math" w:hAnsi="Cambria Math"/>
                      </w:rPr>
                      <m:t>h</m:t>
                    </m:r>
                  </m:sub>
                </m:sSub>
                <m:r>
                  <w:rPr>
                    <w:rFonts w:ascii="Cambria Math" w:hAnsi="Cambria Math"/>
                  </w:rPr>
                  <m:t>×</m:t>
                </m:r>
                <m:sSub>
                  <m:sSubPr>
                    <m:ctrlPr>
                      <w:rPr>
                        <w:rFonts w:ascii="Cambria Math" w:hAnsi="Cambria Math"/>
                        <w:i/>
                      </w:rPr>
                    </m:ctrlPr>
                  </m:sSubPr>
                  <m:e>
                    <m:r>
                      <w:rPr>
                        <w:rFonts w:ascii="Cambria Math" w:hAnsi="Cambria Math"/>
                      </w:rPr>
                      <m:t>EF</m:t>
                    </m:r>
                  </m:e>
                  <m:sub>
                    <m:r>
                      <w:rPr>
                        <w:rFonts w:ascii="Cambria Math" w:hAnsi="Cambria Math"/>
                      </w:rPr>
                      <m:t>OM,simple,y</m:t>
                    </m:r>
                  </m:sub>
                </m:sSub>
              </m:oMath>
            </m:oMathPara>
          </w:p>
        </w:tc>
        <w:tc>
          <w:tcPr>
            <w:tcW w:w="1418" w:type="dxa"/>
          </w:tcPr>
          <w:p w14:paraId="7E54E5DF" w14:textId="77777777" w:rsidR="00FB7670" w:rsidRPr="00780E96" w:rsidRDefault="00FB7670">
            <w:pPr>
              <w:pStyle w:val="SDMMethEquationNr"/>
              <w:numPr>
                <w:ilvl w:val="0"/>
                <w:numId w:val="6"/>
              </w:numPr>
            </w:pPr>
          </w:p>
        </w:tc>
      </w:tr>
    </w:tbl>
    <w:p w14:paraId="16D4C402" w14:textId="32819396" w:rsidR="00AA35AD" w:rsidRPr="00780E96" w:rsidRDefault="00AA35AD" w:rsidP="00F62D64">
      <w:pPr>
        <w:pStyle w:val="SDMSubPara1"/>
        <w:keepNext/>
      </w:pPr>
      <w:r w:rsidRPr="00780E96">
        <w:rPr>
          <w:b/>
        </w:rPr>
        <w:t>Option</w:t>
      </w:r>
      <w:r w:rsidR="0060151F" w:rsidRPr="00780E96">
        <w:rPr>
          <w:b/>
        </w:rPr>
        <w:t> </w:t>
      </w:r>
      <w:r w:rsidRPr="00780E96">
        <w:rPr>
          <w:b/>
        </w:rPr>
        <w:t>2:</w:t>
      </w:r>
      <w:r w:rsidR="00310F89" w:rsidRPr="00780E96">
        <w:t xml:space="preserve"> </w:t>
      </w:r>
      <w:r w:rsidR="000D167D" w:rsidRPr="00780E96">
        <w:t xml:space="preserve">the </w:t>
      </w:r>
      <w:r w:rsidR="00310F89" w:rsidRPr="00780E96">
        <w:t xml:space="preserve">simple adjusted OM emission factor </w:t>
      </w:r>
      <w:r w:rsidR="00A81371" w:rsidRPr="00780E96">
        <w:t xml:space="preserve">shall be </w:t>
      </w:r>
      <w:r w:rsidR="00310F89" w:rsidRPr="00780E96">
        <w:t>determined for calendar year </w:t>
      </w:r>
      <w:r w:rsidR="00310F89" w:rsidRPr="00780E96">
        <w:rPr>
          <w:i/>
        </w:rPr>
        <w:t>y</w:t>
      </w:r>
      <w:r w:rsidR="00BE1E6D" w:rsidRPr="00780E96">
        <w:t xml:space="preserve"> </w:t>
      </w:r>
      <w:r w:rsidR="00365500" w:rsidRPr="00780E96">
        <w:t>by</w:t>
      </w:r>
      <w:r w:rsidR="009455F1" w:rsidRPr="00780E96">
        <w:t xml:space="preserve"> </w:t>
      </w:r>
      <w:r w:rsidR="006662F8" w:rsidRPr="00780E96">
        <w:t xml:space="preserve">adjusting for the fraction of time in which </w:t>
      </w:r>
      <w:r w:rsidR="00895EDA" w:rsidRPr="00780E96">
        <w:t>renewable electricity generation is curtailed because available output exceeded what the electricity system could absorb</w:t>
      </w:r>
      <w:r w:rsidR="00884F88" w:rsidRPr="00780E96">
        <w:t xml:space="preserve"> </w:t>
      </w:r>
      <w:r w:rsidR="00AD7E54" w:rsidRPr="00780E96">
        <w:t>and/</w:t>
      </w:r>
      <w:r w:rsidR="00884F88" w:rsidRPr="00780E96">
        <w:t xml:space="preserve">or </w:t>
      </w:r>
      <w:r w:rsidR="006662F8" w:rsidRPr="00780E96">
        <w:t>the electricity system operates solely based on renewable, nuclear, and/or storage power units</w:t>
      </w:r>
      <w:r w:rsidR="002E34D8" w:rsidRPr="00780E96">
        <w:t>, as follows:</w:t>
      </w:r>
    </w:p>
    <w:tbl>
      <w:tblPr>
        <w:tblStyle w:val="SDMMethTableEquation"/>
        <w:tblW w:w="8151" w:type="dxa"/>
        <w:tblInd w:w="1310" w:type="dxa"/>
        <w:tblLook w:val="0600" w:firstRow="0" w:lastRow="0" w:firstColumn="0" w:lastColumn="0" w:noHBand="1" w:noVBand="1"/>
      </w:tblPr>
      <w:tblGrid>
        <w:gridCol w:w="6487"/>
        <w:gridCol w:w="1664"/>
      </w:tblGrid>
      <w:tr w:rsidR="00AA35AD" w:rsidRPr="00780E96" w14:paraId="76977142" w14:textId="77777777" w:rsidTr="00E4000C">
        <w:tc>
          <w:tcPr>
            <w:tcW w:w="6487" w:type="dxa"/>
          </w:tcPr>
          <w:p w14:paraId="7B7035EC" w14:textId="77777777" w:rsidR="00AA35AD" w:rsidRPr="00780E96" w:rsidRDefault="003F6646" w:rsidP="0060151F">
            <w:pPr>
              <w:pStyle w:val="SDMMethEquation"/>
              <w:jc w:val="left"/>
              <w:rPr>
                <w:sz w:val="20"/>
                <w:szCs w:val="20"/>
              </w:rPr>
            </w:pPr>
            <m:oMathPara>
              <m:oMathParaPr>
                <m:jc m:val="left"/>
              </m:oMathParaPr>
              <m:oMath>
                <m:sSub>
                  <m:sSubPr>
                    <m:ctrlPr>
                      <w:rPr>
                        <w:rFonts w:ascii="Cambria Math" w:hAnsi="Cambria Math"/>
                        <w:i/>
                        <w:sz w:val="20"/>
                        <w:szCs w:val="20"/>
                      </w:rPr>
                    </m:ctrlPr>
                  </m:sSubPr>
                  <m:e>
                    <m:r>
                      <w:rPr>
                        <w:rFonts w:ascii="Cambria Math" w:hAnsi="Cambria Math"/>
                        <w:sz w:val="20"/>
                        <w:szCs w:val="20"/>
                      </w:rPr>
                      <m:t>EF</m:t>
                    </m:r>
                  </m:e>
                  <m:sub>
                    <m:r>
                      <w:rPr>
                        <w:rFonts w:ascii="Cambria Math" w:hAnsi="Cambria Math"/>
                        <w:sz w:val="20"/>
                        <w:szCs w:val="20"/>
                      </w:rPr>
                      <m:t>OM,adj,y</m:t>
                    </m:r>
                  </m:sub>
                </m:sSub>
                <m:r>
                  <w:rPr>
                    <w:rFonts w:ascii="Cambria Math" w:hAnsi="Cambria Math"/>
                    <w:sz w:val="20"/>
                    <w:szCs w:val="20"/>
                  </w:rPr>
                  <m:t>=</m:t>
                </m:r>
                <m:d>
                  <m:dPr>
                    <m:ctrlPr>
                      <w:rPr>
                        <w:rFonts w:ascii="Cambria Math" w:hAnsi="Cambria Math"/>
                        <w:i/>
                        <w:sz w:val="20"/>
                        <w:szCs w:val="20"/>
                      </w:rPr>
                    </m:ctrlPr>
                  </m:dPr>
                  <m:e>
                    <m:r>
                      <w:rPr>
                        <w:rFonts w:ascii="Cambria Math" w:hAnsi="Cambria Math"/>
                        <w:sz w:val="20"/>
                        <w:szCs w:val="20"/>
                      </w:rPr>
                      <m:t>1-</m:t>
                    </m:r>
                    <m:sSub>
                      <m:sSubPr>
                        <m:ctrlPr>
                          <w:rPr>
                            <w:rFonts w:ascii="Cambria Math" w:hAnsi="Cambria Math"/>
                            <w:i/>
                            <w:sz w:val="20"/>
                            <w:szCs w:val="20"/>
                          </w:rPr>
                        </m:ctrlPr>
                      </m:sSubPr>
                      <m:e>
                        <m:r>
                          <w:rPr>
                            <w:rFonts w:ascii="Cambria Math" w:hAnsi="Cambria Math"/>
                            <w:sz w:val="20"/>
                            <w:szCs w:val="20"/>
                          </w:rPr>
                          <m:t>λ</m:t>
                        </m:r>
                      </m:e>
                      <m:sub>
                        <m:r>
                          <w:rPr>
                            <w:rFonts w:ascii="Cambria Math" w:hAnsi="Cambria Math"/>
                            <w:sz w:val="20"/>
                            <w:szCs w:val="20"/>
                          </w:rPr>
                          <m:t>y</m:t>
                        </m:r>
                      </m:sub>
                    </m:sSub>
                  </m:e>
                </m:d>
                <m:r>
                  <w:rPr>
                    <w:rFonts w:ascii="Cambria Math" w:hAnsi="Cambria Math"/>
                    <w:sz w:val="20"/>
                    <w:szCs w:val="20"/>
                  </w:rPr>
                  <m:t>×</m:t>
                </m:r>
                <m:sSub>
                  <m:sSubPr>
                    <m:ctrlPr>
                      <w:rPr>
                        <w:rFonts w:ascii="Cambria Math" w:hAnsi="Cambria Math"/>
                        <w:i/>
                      </w:rPr>
                    </m:ctrlPr>
                  </m:sSubPr>
                  <m:e>
                    <m:r>
                      <w:rPr>
                        <w:rFonts w:ascii="Cambria Math" w:hAnsi="Cambria Math"/>
                      </w:rPr>
                      <m:t>EF</m:t>
                    </m:r>
                  </m:e>
                  <m:sub>
                    <m:r>
                      <w:rPr>
                        <w:rFonts w:ascii="Cambria Math" w:hAnsi="Cambria Math"/>
                      </w:rPr>
                      <m:t>OM,simple,y</m:t>
                    </m:r>
                  </m:sub>
                </m:sSub>
              </m:oMath>
            </m:oMathPara>
          </w:p>
        </w:tc>
        <w:tc>
          <w:tcPr>
            <w:tcW w:w="1664" w:type="dxa"/>
          </w:tcPr>
          <w:p w14:paraId="1AD19D97" w14:textId="77777777" w:rsidR="00AA35AD" w:rsidRPr="00780E96" w:rsidRDefault="00AA35AD">
            <w:pPr>
              <w:pStyle w:val="SDMMethEquationNr"/>
              <w:numPr>
                <w:ilvl w:val="0"/>
                <w:numId w:val="6"/>
              </w:numPr>
            </w:pPr>
          </w:p>
        </w:tc>
      </w:tr>
    </w:tbl>
    <w:p w14:paraId="2AE0F527" w14:textId="77777777" w:rsidR="00FB7670" w:rsidRPr="00780E96" w:rsidRDefault="00FB7670" w:rsidP="00F62D64">
      <w:pPr>
        <w:pStyle w:val="SDMMethCaptionEquationParametersTable"/>
        <w:ind w:left="2665"/>
      </w:pPr>
      <w:r w:rsidRPr="00780E96">
        <w:t>Where:</w:t>
      </w:r>
    </w:p>
    <w:tbl>
      <w:tblPr>
        <w:tblStyle w:val="SDMMethTableEquationParameters"/>
        <w:tblW w:w="8760" w:type="dxa"/>
        <w:tblInd w:w="1310" w:type="dxa"/>
        <w:tblLook w:val="04A0" w:firstRow="1" w:lastRow="0" w:firstColumn="1" w:lastColumn="0" w:noHBand="0" w:noVBand="1"/>
      </w:tblPr>
      <w:tblGrid>
        <w:gridCol w:w="1404"/>
        <w:gridCol w:w="776"/>
        <w:gridCol w:w="6580"/>
      </w:tblGrid>
      <w:tr w:rsidR="00FB7670" w:rsidRPr="00780E96" w14:paraId="0F0F4DD0" w14:textId="77777777" w:rsidTr="00C90E7A">
        <w:tc>
          <w:tcPr>
            <w:tcW w:w="1404" w:type="dxa"/>
            <w:vAlign w:val="top"/>
          </w:tcPr>
          <w:p w14:paraId="13299C88" w14:textId="2369B6A3" w:rsidR="00FB7670" w:rsidRPr="00780E96" w:rsidRDefault="003F6646" w:rsidP="009C00E7">
            <w:pPr>
              <w:pStyle w:val="SDMTableBoxParaNotNumbered"/>
              <w:rPr>
                <w:rFonts w:cs="Arial"/>
                <w:i/>
              </w:rPr>
            </w:pPr>
            <m:oMathPara>
              <m:oMathParaPr>
                <m:jc m:val="left"/>
              </m:oMathParaPr>
              <m:oMath>
                <m:sSub>
                  <m:sSubPr>
                    <m:ctrlPr>
                      <w:rPr>
                        <w:rFonts w:ascii="Cambria Math" w:hAnsi="Cambria Math" w:cs="Arial"/>
                        <w:i/>
                      </w:rPr>
                    </m:ctrlPr>
                  </m:sSubPr>
                  <m:e>
                    <m:r>
                      <w:rPr>
                        <w:rFonts w:ascii="Cambria Math" w:hAnsi="Cambria Math" w:cs="Arial"/>
                      </w:rPr>
                      <m:t>EF</m:t>
                    </m:r>
                  </m:e>
                  <m:sub>
                    <m:r>
                      <w:rPr>
                        <w:rFonts w:ascii="Cambria Math" w:hAnsi="Cambria Math" w:cs="Arial"/>
                      </w:rPr>
                      <m:t>OM,adj,y</m:t>
                    </m:r>
                  </m:sub>
                </m:sSub>
              </m:oMath>
            </m:oMathPara>
          </w:p>
        </w:tc>
        <w:tc>
          <w:tcPr>
            <w:tcW w:w="776" w:type="dxa"/>
            <w:vAlign w:val="top"/>
          </w:tcPr>
          <w:p w14:paraId="3E66CC32" w14:textId="77777777" w:rsidR="00FB7670" w:rsidRPr="00780E96" w:rsidRDefault="00FB7670" w:rsidP="009C00E7">
            <w:pPr>
              <w:pStyle w:val="SDMTableBoxParaNotNumbered"/>
              <w:rPr>
                <w:rFonts w:cs="Arial"/>
              </w:rPr>
            </w:pPr>
            <w:r w:rsidRPr="00780E96">
              <w:rPr>
                <w:rFonts w:cs="Arial"/>
              </w:rPr>
              <w:t>=</w:t>
            </w:r>
          </w:p>
        </w:tc>
        <w:tc>
          <w:tcPr>
            <w:tcW w:w="6580" w:type="dxa"/>
            <w:vAlign w:val="top"/>
          </w:tcPr>
          <w:p w14:paraId="08B47C40" w14:textId="759222C1" w:rsidR="00FB7670" w:rsidRPr="00780E96" w:rsidRDefault="00FB7670" w:rsidP="009C00E7">
            <w:pPr>
              <w:pStyle w:val="SDMTableBoxParaNotNumbered"/>
              <w:rPr>
                <w:rFonts w:cs="Arial"/>
              </w:rPr>
            </w:pPr>
            <w:r w:rsidRPr="00780E96">
              <w:rPr>
                <w:rFonts w:cs="Arial"/>
              </w:rPr>
              <w:t xml:space="preserve">Simple adjusted </w:t>
            </w:r>
            <w:r w:rsidR="00BA5C60" w:rsidRPr="00780E96">
              <w:rPr>
                <w:rFonts w:cs="Arial"/>
              </w:rPr>
              <w:t>OM</w:t>
            </w:r>
            <w:r w:rsidRPr="00780E96">
              <w:rPr>
                <w:rFonts w:cs="Arial"/>
              </w:rPr>
              <w:t xml:space="preserve"> CO</w:t>
            </w:r>
            <w:r w:rsidRPr="00780E96">
              <w:rPr>
                <w:rFonts w:cs="Arial"/>
                <w:vertAlign w:val="subscript"/>
              </w:rPr>
              <w:t>2</w:t>
            </w:r>
            <w:r w:rsidRPr="00780E96">
              <w:rPr>
                <w:rFonts w:cs="Arial"/>
              </w:rPr>
              <w:t xml:space="preserve"> emission factor in year</w:t>
            </w:r>
            <w:r w:rsidR="00B94C51" w:rsidRPr="00780E96">
              <w:rPr>
                <w:rFonts w:cs="Arial"/>
              </w:rPr>
              <w:t> </w:t>
            </w:r>
            <w:r w:rsidR="00CB52F3" w:rsidRPr="00780E96">
              <w:rPr>
                <w:rFonts w:cs="Arial"/>
                <w:i/>
              </w:rPr>
              <w:t>y</w:t>
            </w:r>
            <w:r w:rsidR="094EAF2A" w:rsidRPr="00780E96">
              <w:rPr>
                <w:rFonts w:cs="Arial"/>
                <w:i/>
              </w:rPr>
              <w:t xml:space="preserve"> </w:t>
            </w:r>
            <w:r w:rsidRPr="00780E96">
              <w:rPr>
                <w:rFonts w:cs="Arial"/>
              </w:rPr>
              <w:t>(t CO</w:t>
            </w:r>
            <w:r w:rsidRPr="00780E96">
              <w:rPr>
                <w:rFonts w:cs="Arial"/>
                <w:vertAlign w:val="subscript"/>
              </w:rPr>
              <w:t>2</w:t>
            </w:r>
            <w:r w:rsidR="00C27DEF" w:rsidRPr="00780E96">
              <w:rPr>
                <w:rFonts w:cs="Arial"/>
              </w:rPr>
              <w:t> / </w:t>
            </w:r>
            <w:r w:rsidRPr="00780E96">
              <w:rPr>
                <w:rFonts w:cs="Arial"/>
              </w:rPr>
              <w:t>MWh)</w:t>
            </w:r>
          </w:p>
        </w:tc>
      </w:tr>
      <w:tr w:rsidR="00F47A24" w:rsidRPr="00780E96" w14:paraId="273AD5A4" w14:textId="77777777" w:rsidTr="00C90E7A">
        <w:trPr>
          <w:trHeight w:val="510"/>
        </w:trPr>
        <w:tc>
          <w:tcPr>
            <w:tcW w:w="1404" w:type="dxa"/>
            <w:vAlign w:val="top"/>
          </w:tcPr>
          <w:p w14:paraId="5928DEA1" w14:textId="4855D6E1" w:rsidR="00F47A24" w:rsidRPr="00780E96" w:rsidRDefault="003F6646" w:rsidP="009C00E7">
            <w:pPr>
              <w:pStyle w:val="SDMTableBoxParaNotNumbered"/>
              <w:rPr>
                <w:rFonts w:cs="Arial"/>
                <w:i/>
              </w:rPr>
            </w:pPr>
            <m:oMathPara>
              <m:oMathParaPr>
                <m:jc m:val="left"/>
              </m:oMathParaPr>
              <m:oMath>
                <m:sSub>
                  <m:sSubPr>
                    <m:ctrlPr>
                      <w:rPr>
                        <w:rFonts w:ascii="Cambria Math" w:hAnsi="Cambria Math" w:cs="Arial"/>
                        <w:i/>
                      </w:rPr>
                    </m:ctrlPr>
                  </m:sSubPr>
                  <m:e>
                    <m:r>
                      <w:rPr>
                        <w:rFonts w:ascii="Cambria Math" w:hAnsi="Cambria Math" w:cs="Arial"/>
                      </w:rPr>
                      <m:t>S</m:t>
                    </m:r>
                  </m:e>
                  <m:sub>
                    <m:r>
                      <w:rPr>
                        <w:rFonts w:ascii="Cambria Math" w:hAnsi="Cambria Math" w:cs="Arial"/>
                      </w:rPr>
                      <m:t>h</m:t>
                    </m:r>
                  </m:sub>
                </m:sSub>
              </m:oMath>
            </m:oMathPara>
          </w:p>
        </w:tc>
        <w:tc>
          <w:tcPr>
            <w:tcW w:w="776" w:type="dxa"/>
            <w:vAlign w:val="top"/>
          </w:tcPr>
          <w:p w14:paraId="0FF1BDED" w14:textId="77777777" w:rsidR="00F47A24" w:rsidRPr="00780E96" w:rsidRDefault="00F47A24" w:rsidP="009C00E7">
            <w:pPr>
              <w:pStyle w:val="SDMTableBoxParaNotNumbered"/>
              <w:rPr>
                <w:rFonts w:cs="Arial"/>
              </w:rPr>
            </w:pPr>
            <w:r w:rsidRPr="00780E96">
              <w:rPr>
                <w:rFonts w:cs="Arial"/>
              </w:rPr>
              <w:t>=</w:t>
            </w:r>
          </w:p>
        </w:tc>
        <w:tc>
          <w:tcPr>
            <w:tcW w:w="6580" w:type="dxa"/>
            <w:vAlign w:val="top"/>
          </w:tcPr>
          <w:p w14:paraId="480FF51B" w14:textId="29A42361" w:rsidR="00F47A24" w:rsidRPr="00780E96" w:rsidRDefault="00561411" w:rsidP="009C00E7">
            <w:pPr>
              <w:pStyle w:val="SDMTableBoxParaNotNumbered"/>
              <w:rPr>
                <w:rFonts w:cs="Arial"/>
              </w:rPr>
            </w:pPr>
            <w:r w:rsidRPr="00780E96">
              <w:rPr>
                <w:rFonts w:cs="Arial"/>
              </w:rPr>
              <w:t>Binary parameter</w:t>
            </w:r>
            <w:r w:rsidR="00417EA1" w:rsidRPr="00780E96" w:rsidDel="001A17F9">
              <w:rPr>
                <w:rFonts w:cs="Arial"/>
              </w:rPr>
              <w:t xml:space="preserve"> </w:t>
            </w:r>
            <w:r w:rsidR="001A17F9" w:rsidRPr="00780E96">
              <w:rPr>
                <w:rFonts w:cs="Arial"/>
              </w:rPr>
              <w:t xml:space="preserve">indicating </w:t>
            </w:r>
            <w:r w:rsidR="00417EA1" w:rsidRPr="00780E96">
              <w:rPr>
                <w:rFonts w:cs="Arial"/>
              </w:rPr>
              <w:t xml:space="preserve">whether </w:t>
            </w:r>
            <w:r w:rsidR="00E17B26" w:rsidRPr="00780E96">
              <w:rPr>
                <w:rFonts w:cs="Arial"/>
              </w:rPr>
              <w:t>during hour </w:t>
            </w:r>
            <w:r w:rsidR="00E17B26" w:rsidRPr="00780E96">
              <w:rPr>
                <w:rFonts w:cs="Arial"/>
                <w:i/>
              </w:rPr>
              <w:t>h</w:t>
            </w:r>
            <w:r w:rsidR="00E17B26" w:rsidRPr="00780E96">
              <w:rPr>
                <w:rFonts w:cs="Arial"/>
              </w:rPr>
              <w:t xml:space="preserve"> </w:t>
            </w:r>
            <w:r w:rsidR="00DE655A" w:rsidRPr="00780E96">
              <w:rPr>
                <w:rFonts w:cs="Arial"/>
              </w:rPr>
              <w:t>renewable electricity generation in the electricity system is curtailed because available output exceeded what the electricity system could absorb</w:t>
            </w:r>
            <w:r w:rsidR="0047659C" w:rsidRPr="00780E96">
              <w:rPr>
                <w:rFonts w:cs="Arial"/>
              </w:rPr>
              <w:t xml:space="preserve"> </w:t>
            </w:r>
            <w:r w:rsidR="00216F7A" w:rsidRPr="00780E96">
              <w:rPr>
                <w:rFonts w:cs="Arial"/>
              </w:rPr>
              <w:t>and/</w:t>
            </w:r>
            <w:r w:rsidR="0047659C" w:rsidRPr="00780E96">
              <w:rPr>
                <w:rFonts w:cs="Arial"/>
              </w:rPr>
              <w:t xml:space="preserve">or </w:t>
            </w:r>
            <w:r w:rsidR="00D11BDB" w:rsidRPr="00780E96">
              <w:rPr>
                <w:rFonts w:cs="Arial"/>
              </w:rPr>
              <w:t>the electricity system operates solely based on renewable, nuclear, and/or storage power units (</w:t>
            </w:r>
            <w:r w:rsidR="00D11BDB" w:rsidRPr="00780E96">
              <w:rPr>
                <w:rFonts w:cs="Arial"/>
                <w:i/>
                <w:iCs/>
              </w:rPr>
              <w:t>S</w:t>
            </w:r>
            <w:r w:rsidR="00D11BDB" w:rsidRPr="00780E96">
              <w:rPr>
                <w:rFonts w:cs="Arial"/>
                <w:i/>
                <w:iCs/>
                <w:vertAlign w:val="subscript"/>
              </w:rPr>
              <w:t>h</w:t>
            </w:r>
            <w:r w:rsidR="00D11BDB" w:rsidRPr="00780E96">
              <w:rPr>
                <w:rFonts w:cs="Arial"/>
              </w:rPr>
              <w:t> = </w:t>
            </w:r>
            <w:r w:rsidR="4111CD86" w:rsidRPr="00780E96">
              <w:rPr>
                <w:rFonts w:cs="Arial"/>
              </w:rPr>
              <w:t>0</w:t>
            </w:r>
            <w:r w:rsidR="00D41841" w:rsidRPr="00780E96">
              <w:rPr>
                <w:rFonts w:cs="Arial"/>
              </w:rPr>
              <w:t xml:space="preserve"> in this case; </w:t>
            </w:r>
            <w:r w:rsidR="00D11BDB" w:rsidRPr="00780E96">
              <w:rPr>
                <w:rFonts w:cs="Arial"/>
              </w:rPr>
              <w:t xml:space="preserve">otherwise </w:t>
            </w:r>
            <w:r w:rsidR="00D11BDB" w:rsidRPr="00780E96">
              <w:rPr>
                <w:rFonts w:cs="Arial"/>
                <w:i/>
                <w:iCs/>
              </w:rPr>
              <w:t>S</w:t>
            </w:r>
            <w:r w:rsidR="00D11BDB" w:rsidRPr="00780E96">
              <w:rPr>
                <w:rFonts w:cs="Arial"/>
                <w:i/>
                <w:iCs/>
                <w:vertAlign w:val="subscript"/>
              </w:rPr>
              <w:t>h</w:t>
            </w:r>
            <w:r w:rsidR="00D11BDB" w:rsidRPr="00780E96">
              <w:rPr>
                <w:rFonts w:cs="Arial"/>
              </w:rPr>
              <w:t> = </w:t>
            </w:r>
            <w:r w:rsidR="4B531894" w:rsidRPr="00780E96">
              <w:rPr>
                <w:rFonts w:cs="Arial"/>
              </w:rPr>
              <w:t>1</w:t>
            </w:r>
            <w:r w:rsidR="00D11BDB" w:rsidRPr="00780E96">
              <w:rPr>
                <w:rFonts w:cs="Arial"/>
              </w:rPr>
              <w:t>)</w:t>
            </w:r>
          </w:p>
        </w:tc>
      </w:tr>
      <w:tr w:rsidR="0091164F" w:rsidRPr="00780E96" w14:paraId="31586D76" w14:textId="77777777" w:rsidTr="00C90E7A">
        <w:tc>
          <w:tcPr>
            <w:tcW w:w="1404" w:type="dxa"/>
            <w:vAlign w:val="top"/>
          </w:tcPr>
          <w:p w14:paraId="1722BD56" w14:textId="1FB5C1F4" w:rsidR="0091164F" w:rsidRPr="00780E96" w:rsidRDefault="003F6646" w:rsidP="009C00E7">
            <w:pPr>
              <w:pStyle w:val="SDMTableBoxParaNotNumbered"/>
              <w:rPr>
                <w:rFonts w:cs="Arial"/>
                <w:i/>
              </w:rPr>
            </w:pPr>
            <m:oMathPara>
              <m:oMathParaPr>
                <m:jc m:val="left"/>
              </m:oMathParaPr>
              <m:oMath>
                <m:sSub>
                  <m:sSubPr>
                    <m:ctrlPr>
                      <w:rPr>
                        <w:rFonts w:ascii="Cambria Math" w:hAnsi="Cambria Math" w:cs="Arial"/>
                        <w:i/>
                      </w:rPr>
                    </m:ctrlPr>
                  </m:sSubPr>
                  <m:e>
                    <m:r>
                      <w:rPr>
                        <w:rFonts w:ascii="Cambria Math" w:hAnsi="Cambria Math" w:cs="Arial"/>
                      </w:rPr>
                      <m:t>EF</m:t>
                    </m:r>
                  </m:e>
                  <m:sub>
                    <m:r>
                      <w:rPr>
                        <w:rFonts w:ascii="Cambria Math" w:hAnsi="Cambria Math" w:cs="Arial"/>
                      </w:rPr>
                      <m:t>OM,simple,y</m:t>
                    </m:r>
                  </m:sub>
                </m:sSub>
              </m:oMath>
            </m:oMathPara>
          </w:p>
        </w:tc>
        <w:tc>
          <w:tcPr>
            <w:tcW w:w="776" w:type="dxa"/>
            <w:vAlign w:val="top"/>
          </w:tcPr>
          <w:p w14:paraId="2AC64E08" w14:textId="77777777" w:rsidR="0091164F" w:rsidRPr="00780E96" w:rsidRDefault="0091164F" w:rsidP="009C00E7">
            <w:pPr>
              <w:pStyle w:val="SDMTableBoxParaNotNumbered"/>
              <w:rPr>
                <w:rFonts w:cs="Arial"/>
              </w:rPr>
            </w:pPr>
            <w:r w:rsidRPr="00780E96">
              <w:rPr>
                <w:rFonts w:cs="Arial"/>
              </w:rPr>
              <w:t>=</w:t>
            </w:r>
          </w:p>
        </w:tc>
        <w:tc>
          <w:tcPr>
            <w:tcW w:w="6580" w:type="dxa"/>
            <w:vAlign w:val="top"/>
          </w:tcPr>
          <w:p w14:paraId="14AC4ED1" w14:textId="20C0B1D7" w:rsidR="0091164F" w:rsidRPr="00780E96" w:rsidRDefault="00FB1C17" w:rsidP="009C00E7">
            <w:pPr>
              <w:pStyle w:val="SDMTableBoxParaNotNumbered"/>
              <w:rPr>
                <w:rFonts w:cs="Arial"/>
              </w:rPr>
            </w:pPr>
            <w:r w:rsidRPr="00780E96">
              <w:rPr>
                <w:rFonts w:cs="Arial"/>
              </w:rPr>
              <w:t xml:space="preserve">Simple </w:t>
            </w:r>
            <w:r w:rsidR="003C4FBC" w:rsidRPr="00780E96">
              <w:rPr>
                <w:rFonts w:cs="Arial"/>
              </w:rPr>
              <w:t>OM</w:t>
            </w:r>
            <w:r w:rsidRPr="00780E96">
              <w:rPr>
                <w:rFonts w:cs="Arial"/>
              </w:rPr>
              <w:t xml:space="preserve"> CO</w:t>
            </w:r>
            <w:r w:rsidRPr="00780E96">
              <w:rPr>
                <w:rFonts w:cs="Arial"/>
                <w:vertAlign w:val="subscript"/>
              </w:rPr>
              <w:t>2</w:t>
            </w:r>
            <w:r w:rsidRPr="00780E96">
              <w:rPr>
                <w:rFonts w:cs="Arial"/>
              </w:rPr>
              <w:t xml:space="preserve"> emission factor in year </w:t>
            </w:r>
            <w:r w:rsidRPr="00780E96">
              <w:rPr>
                <w:rFonts w:cs="Arial"/>
                <w:i/>
              </w:rPr>
              <w:t xml:space="preserve">y </w:t>
            </w:r>
            <w:r w:rsidRPr="00780E96">
              <w:rPr>
                <w:rFonts w:cs="Arial"/>
              </w:rPr>
              <w:t>(t CO</w:t>
            </w:r>
            <w:r w:rsidRPr="00780E96">
              <w:rPr>
                <w:rFonts w:cs="Arial"/>
                <w:vertAlign w:val="subscript"/>
              </w:rPr>
              <w:t>2</w:t>
            </w:r>
            <w:r w:rsidR="00C27DEF" w:rsidRPr="00780E96">
              <w:rPr>
                <w:rFonts w:cs="Arial"/>
              </w:rPr>
              <w:t> / </w:t>
            </w:r>
            <w:r w:rsidRPr="00780E96">
              <w:rPr>
                <w:rFonts w:cs="Arial"/>
              </w:rPr>
              <w:t>MWh)</w:t>
            </w:r>
          </w:p>
        </w:tc>
      </w:tr>
      <w:tr w:rsidR="00FB7670" w:rsidRPr="00780E96" w14:paraId="7C081EB6" w14:textId="77777777" w:rsidTr="00C90E7A">
        <w:trPr>
          <w:trHeight w:val="510"/>
        </w:trPr>
        <w:tc>
          <w:tcPr>
            <w:tcW w:w="1404" w:type="dxa"/>
            <w:vAlign w:val="top"/>
          </w:tcPr>
          <w:p w14:paraId="286C10ED" w14:textId="00DF85C6" w:rsidR="00FB7670" w:rsidRPr="00780E96" w:rsidRDefault="003F6646" w:rsidP="009C00E7">
            <w:pPr>
              <w:pStyle w:val="SDMTableBoxParaNotNumbered"/>
              <w:rPr>
                <w:rFonts w:cs="Arial"/>
                <w:i/>
              </w:rPr>
            </w:pPr>
            <m:oMathPara>
              <m:oMathParaPr>
                <m:jc m:val="left"/>
              </m:oMathParaPr>
              <m:oMath>
                <m:sSub>
                  <m:sSubPr>
                    <m:ctrlPr>
                      <w:rPr>
                        <w:rFonts w:ascii="Cambria Math" w:hAnsi="Cambria Math" w:cs="Arial"/>
                        <w:i/>
                      </w:rPr>
                    </m:ctrlPr>
                  </m:sSubPr>
                  <m:e>
                    <m:r>
                      <w:rPr>
                        <w:rFonts w:ascii="Cambria Math" w:hAnsi="Cambria Math" w:cs="Arial"/>
                      </w:rPr>
                      <m:t>λ</m:t>
                    </m:r>
                  </m:e>
                  <m:sub>
                    <m:r>
                      <w:rPr>
                        <w:rFonts w:ascii="Cambria Math" w:hAnsi="Cambria Math" w:cs="Arial"/>
                      </w:rPr>
                      <m:t>y</m:t>
                    </m:r>
                  </m:sub>
                </m:sSub>
              </m:oMath>
            </m:oMathPara>
          </w:p>
        </w:tc>
        <w:tc>
          <w:tcPr>
            <w:tcW w:w="776" w:type="dxa"/>
            <w:vAlign w:val="top"/>
          </w:tcPr>
          <w:p w14:paraId="54D20B65" w14:textId="77777777" w:rsidR="00FB7670" w:rsidRPr="00780E96" w:rsidRDefault="00FB7670" w:rsidP="009C00E7">
            <w:pPr>
              <w:pStyle w:val="SDMTableBoxParaNotNumbered"/>
              <w:rPr>
                <w:rFonts w:cs="Arial"/>
              </w:rPr>
            </w:pPr>
            <w:r w:rsidRPr="00780E96">
              <w:rPr>
                <w:rFonts w:cs="Arial"/>
              </w:rPr>
              <w:t>=</w:t>
            </w:r>
          </w:p>
        </w:tc>
        <w:tc>
          <w:tcPr>
            <w:tcW w:w="6580" w:type="dxa"/>
            <w:vAlign w:val="top"/>
          </w:tcPr>
          <w:p w14:paraId="190BFD7B" w14:textId="55C7083F" w:rsidR="00FB7670" w:rsidRPr="00780E96" w:rsidRDefault="00F85CBB" w:rsidP="009C00E7">
            <w:pPr>
              <w:pStyle w:val="SDMTableBoxParaNotNumbered"/>
              <w:rPr>
                <w:rFonts w:cs="Arial"/>
              </w:rPr>
            </w:pPr>
            <w:r w:rsidRPr="00780E96">
              <w:rPr>
                <w:rFonts w:cs="Arial"/>
              </w:rPr>
              <w:t>F</w:t>
            </w:r>
            <w:r w:rsidR="004F0511" w:rsidRPr="00780E96">
              <w:rPr>
                <w:rFonts w:cs="Arial"/>
              </w:rPr>
              <w:t>raction</w:t>
            </w:r>
            <w:r w:rsidR="00FB7670" w:rsidRPr="00780E96">
              <w:rPr>
                <w:rFonts w:cs="Arial"/>
              </w:rPr>
              <w:t xml:space="preserve"> of time</w:t>
            </w:r>
            <w:r w:rsidR="00EB5AAE" w:rsidRPr="00780E96" w:rsidDel="00F85CBB">
              <w:rPr>
                <w:rFonts w:cs="Arial"/>
              </w:rPr>
              <w:t xml:space="preserve"> </w:t>
            </w:r>
            <w:r w:rsidR="00787886" w:rsidRPr="00780E96">
              <w:rPr>
                <w:rFonts w:cs="Arial"/>
              </w:rPr>
              <w:t>in year </w:t>
            </w:r>
            <w:r w:rsidR="00787886" w:rsidRPr="00780E96">
              <w:rPr>
                <w:rFonts w:cs="Arial"/>
                <w:i/>
              </w:rPr>
              <w:t>y</w:t>
            </w:r>
            <w:r w:rsidR="00787886" w:rsidRPr="00780E96">
              <w:rPr>
                <w:rFonts w:cs="Arial"/>
              </w:rPr>
              <w:t xml:space="preserve"> </w:t>
            </w:r>
            <w:r w:rsidRPr="00780E96">
              <w:rPr>
                <w:rFonts w:cs="Arial"/>
              </w:rPr>
              <w:t xml:space="preserve">during which </w:t>
            </w:r>
            <w:r w:rsidR="00DE655A" w:rsidRPr="00780E96">
              <w:rPr>
                <w:rFonts w:cs="Arial"/>
              </w:rPr>
              <w:t>renewable electricity generation in the electricity system is curtailed because available output exceeded what the electricity system could absorb</w:t>
            </w:r>
            <w:r w:rsidR="00756116" w:rsidRPr="00780E96">
              <w:rPr>
                <w:rFonts w:cs="Arial"/>
              </w:rPr>
              <w:t xml:space="preserve"> </w:t>
            </w:r>
            <w:r w:rsidR="009E0793" w:rsidRPr="00780E96">
              <w:rPr>
                <w:rFonts w:cs="Arial"/>
              </w:rPr>
              <w:t>and/</w:t>
            </w:r>
            <w:r w:rsidR="00756116" w:rsidRPr="00780E96">
              <w:rPr>
                <w:rFonts w:cs="Arial"/>
              </w:rPr>
              <w:t xml:space="preserve">or the electricity system </w:t>
            </w:r>
            <w:r w:rsidR="00787886" w:rsidRPr="00780E96">
              <w:rPr>
                <w:rFonts w:cs="Arial"/>
              </w:rPr>
              <w:t xml:space="preserve">or the electricity system </w:t>
            </w:r>
            <w:r w:rsidR="00EB5AAE" w:rsidRPr="00780E96">
              <w:rPr>
                <w:rFonts w:cs="Arial"/>
              </w:rPr>
              <w:t>operates solely based on renewable, nuclear, and/or storage power units</w:t>
            </w:r>
          </w:p>
        </w:tc>
      </w:tr>
      <w:tr w:rsidR="00811D6E" w:rsidRPr="00780E96" w14:paraId="62934A77" w14:textId="77777777" w:rsidTr="00C90E7A">
        <w:tc>
          <w:tcPr>
            <w:tcW w:w="1404" w:type="dxa"/>
            <w:vAlign w:val="top"/>
          </w:tcPr>
          <w:p w14:paraId="6B6CECBE" w14:textId="77777777" w:rsidR="00811D6E" w:rsidRPr="00780E96" w:rsidRDefault="00811D6E" w:rsidP="009C00E7">
            <w:pPr>
              <w:pStyle w:val="SDMTableBoxParaNotNumbered"/>
              <w:rPr>
                <w:rFonts w:cs="Arial"/>
                <w:i/>
              </w:rPr>
            </w:pPr>
            <m:oMathPara>
              <m:oMathParaPr>
                <m:jc m:val="left"/>
              </m:oMathParaPr>
              <m:oMath>
                <m:r>
                  <w:rPr>
                    <w:rFonts w:ascii="Cambria Math" w:hAnsi="Cambria Math" w:cs="Arial"/>
                  </w:rPr>
                  <m:t>y</m:t>
                </m:r>
              </m:oMath>
            </m:oMathPara>
          </w:p>
        </w:tc>
        <w:tc>
          <w:tcPr>
            <w:tcW w:w="776" w:type="dxa"/>
            <w:vAlign w:val="top"/>
          </w:tcPr>
          <w:p w14:paraId="4CC32EEE" w14:textId="77777777" w:rsidR="00811D6E" w:rsidRPr="00780E96" w:rsidRDefault="00811D6E" w:rsidP="009C00E7">
            <w:pPr>
              <w:pStyle w:val="SDMTableBoxParaNotNumbered"/>
              <w:rPr>
                <w:rFonts w:cs="Arial"/>
              </w:rPr>
            </w:pPr>
            <w:r w:rsidRPr="00780E96">
              <w:rPr>
                <w:rFonts w:cs="Arial"/>
              </w:rPr>
              <w:t>=</w:t>
            </w:r>
          </w:p>
        </w:tc>
        <w:tc>
          <w:tcPr>
            <w:tcW w:w="6580" w:type="dxa"/>
            <w:vAlign w:val="top"/>
          </w:tcPr>
          <w:p w14:paraId="76EC4EAD" w14:textId="77777777" w:rsidR="00811D6E" w:rsidRPr="00780E96" w:rsidRDefault="00811D6E" w:rsidP="009C00E7">
            <w:pPr>
              <w:pStyle w:val="SDMTableBoxParaNotNumbered"/>
              <w:rPr>
                <w:rFonts w:cs="Arial"/>
              </w:rPr>
            </w:pPr>
            <w:r w:rsidRPr="00780E96">
              <w:rPr>
                <w:rFonts w:cs="Arial"/>
              </w:rPr>
              <w:t>Calendar year of the crediting period for which emission reductions are determined</w:t>
            </w:r>
          </w:p>
        </w:tc>
      </w:tr>
    </w:tbl>
    <w:p w14:paraId="479CAEBE" w14:textId="2CE523BF" w:rsidR="00F122AE" w:rsidRPr="00780E96" w:rsidRDefault="00596692" w:rsidP="008913C4">
      <w:pPr>
        <w:pStyle w:val="SDMPara"/>
      </w:pPr>
      <w:bookmarkStart w:id="644" w:name="_Ref220953201"/>
      <w:r w:rsidRPr="00780E96">
        <w:rPr>
          <w:lang w:eastAsia="ja-JP"/>
        </w:rPr>
        <w:t>For the purpose of determining whether the electricity system operates solely based on renewable, nuclear, and/or storage power units, t</w:t>
      </w:r>
      <w:r w:rsidR="00FB7670" w:rsidRPr="00780E96">
        <w:rPr>
          <w:lang w:eastAsia="ja-JP"/>
        </w:rPr>
        <w:t xml:space="preserve">he </w:t>
      </w:r>
      <w:r w:rsidR="00136F88" w:rsidRPr="00780E96">
        <w:t>parameter</w:t>
      </w:r>
      <w:r w:rsidR="00B948EF" w:rsidRPr="00780E96">
        <w:t xml:space="preserve">s </w:t>
      </w:r>
      <w:r w:rsidR="00B948EF" w:rsidRPr="00780E96">
        <w:rPr>
          <w:i/>
          <w:iCs/>
        </w:rPr>
        <w:t>S</w:t>
      </w:r>
      <w:r w:rsidR="00B948EF" w:rsidRPr="00780E96">
        <w:rPr>
          <w:i/>
          <w:iCs/>
          <w:vertAlign w:val="subscript"/>
        </w:rPr>
        <w:t>h</w:t>
      </w:r>
      <w:r w:rsidR="00B948EF" w:rsidRPr="00780E96">
        <w:t xml:space="preserve"> and</w:t>
      </w:r>
      <w:r w:rsidR="00136F88" w:rsidRPr="00780E96">
        <w:t xml:space="preserve"> </w:t>
      </w:r>
      <w:r w:rsidR="00FB7670" w:rsidRPr="00780E96">
        <w:rPr>
          <w:rFonts w:ascii="Symbol" w:eastAsia="Symbol" w:hAnsi="Symbol" w:cs="Symbol"/>
          <w:i/>
          <w:iCs/>
          <w:lang w:eastAsia="ja-JP"/>
        </w:rPr>
        <w:t></w:t>
      </w:r>
      <w:r w:rsidR="00FB7670" w:rsidRPr="00780E96">
        <w:rPr>
          <w:i/>
          <w:iCs/>
          <w:vertAlign w:val="subscript"/>
          <w:lang w:eastAsia="ja-JP"/>
        </w:rPr>
        <w:t>y</w:t>
      </w:r>
      <w:r w:rsidR="001461E7" w:rsidRPr="00780E96">
        <w:t xml:space="preserve"> </w:t>
      </w:r>
      <w:r w:rsidR="00045276" w:rsidRPr="00780E96">
        <w:t xml:space="preserve">shall be determined differently depending </w:t>
      </w:r>
      <w:r w:rsidR="00F122AE" w:rsidRPr="00780E96">
        <w:t>on which case applies, as follows:</w:t>
      </w:r>
      <w:r w:rsidR="00BA1E18" w:rsidRPr="00780E96">
        <w:rPr>
          <w:rStyle w:val="FootnoteReference"/>
        </w:rPr>
        <w:footnoteReference w:id="22"/>
      </w:r>
      <w:bookmarkEnd w:id="644"/>
    </w:p>
    <w:p w14:paraId="60E87DFF" w14:textId="313D997D" w:rsidR="00F122AE" w:rsidRPr="00780E96" w:rsidRDefault="00F122AE" w:rsidP="00F65332">
      <w:pPr>
        <w:pStyle w:val="SDMSubPara1"/>
      </w:pPr>
      <w:r w:rsidRPr="00780E96">
        <w:t xml:space="preserve">Where </w:t>
      </w:r>
      <w:r w:rsidR="000A6F59" w:rsidRPr="00780E96">
        <w:rPr>
          <w:b/>
        </w:rPr>
        <w:t>case</w:t>
      </w:r>
      <w:r w:rsidR="0060151F" w:rsidRPr="00780E96">
        <w:rPr>
          <w:b/>
        </w:rPr>
        <w:t> </w:t>
      </w:r>
      <w:r w:rsidRPr="00780E96">
        <w:rPr>
          <w:b/>
        </w:rPr>
        <w:t xml:space="preserve">1 </w:t>
      </w:r>
      <w:r w:rsidRPr="00780E96">
        <w:t xml:space="preserve">applies, </w:t>
      </w:r>
      <w:r w:rsidR="006D22A1" w:rsidRPr="00780E96">
        <w:t>th</w:t>
      </w:r>
      <w:r w:rsidR="00F57550" w:rsidRPr="00780E96">
        <w:t xml:space="preserve">is shall refer to the fraction of time </w:t>
      </w:r>
      <w:r w:rsidR="000A6F59" w:rsidRPr="00780E96">
        <w:t>during which</w:t>
      </w:r>
      <w:r w:rsidR="00A40492" w:rsidRPr="00780E96">
        <w:t xml:space="preserve"> only</w:t>
      </w:r>
      <w:r w:rsidR="000A6F59" w:rsidRPr="00780E96">
        <w:t xml:space="preserve"> </w:t>
      </w:r>
      <w:r w:rsidR="00F57550" w:rsidRPr="00780E96">
        <w:t>the following type</w:t>
      </w:r>
      <w:r w:rsidR="00A40492" w:rsidRPr="00780E96">
        <w:t>s</w:t>
      </w:r>
      <w:r w:rsidR="00F57550" w:rsidRPr="00780E96">
        <w:t xml:space="preserve"> of power </w:t>
      </w:r>
      <w:r w:rsidR="000F73E6" w:rsidRPr="00780E96">
        <w:t>units</w:t>
      </w:r>
      <w:r w:rsidR="00F57550" w:rsidRPr="00780E96">
        <w:t xml:space="preserve"> operate: </w:t>
      </w:r>
      <w:r w:rsidR="00824DF8" w:rsidRPr="00780E96">
        <w:t>hydro</w:t>
      </w:r>
      <w:r w:rsidR="00BA61E3" w:rsidRPr="00780E96">
        <w:t>, solar, wind, tidal, wave</w:t>
      </w:r>
      <w:r w:rsidR="00205EB3" w:rsidRPr="00780E96">
        <w:t>, geothermal</w:t>
      </w:r>
      <w:r w:rsidR="00522526" w:rsidRPr="00780E96">
        <w:t xml:space="preserve"> nuclear</w:t>
      </w:r>
      <w:r w:rsidR="00A40492" w:rsidRPr="00780E96">
        <w:t>,</w:t>
      </w:r>
      <w:r w:rsidR="00522526" w:rsidRPr="00780E96">
        <w:t xml:space="preserve"> and hydro or battery storage power </w:t>
      </w:r>
      <w:r w:rsidR="000F73E6" w:rsidRPr="00780E96">
        <w:t>units</w:t>
      </w:r>
      <w:r w:rsidR="00A204D3" w:rsidRPr="00780E96">
        <w:t>;</w:t>
      </w:r>
      <w:r w:rsidR="004F342C" w:rsidRPr="00780E96">
        <w:t xml:space="preserve"> and</w:t>
      </w:r>
    </w:p>
    <w:p w14:paraId="52368AB5" w14:textId="6B59A076" w:rsidR="00A204D3" w:rsidRPr="00780E96" w:rsidRDefault="00A204D3" w:rsidP="00F65332">
      <w:pPr>
        <w:pStyle w:val="SDMSubPara1"/>
      </w:pPr>
      <w:r w:rsidRPr="00780E96">
        <w:t xml:space="preserve">Where </w:t>
      </w:r>
      <w:r w:rsidR="004F342C" w:rsidRPr="00780E96">
        <w:rPr>
          <w:b/>
        </w:rPr>
        <w:t>case</w:t>
      </w:r>
      <w:r w:rsidR="0060151F" w:rsidRPr="00780E96">
        <w:rPr>
          <w:b/>
        </w:rPr>
        <w:t> </w:t>
      </w:r>
      <w:r w:rsidRPr="00780E96">
        <w:rPr>
          <w:b/>
        </w:rPr>
        <w:t xml:space="preserve">2 </w:t>
      </w:r>
      <w:r w:rsidRPr="00780E96">
        <w:t xml:space="preserve">applies, this shall refer to the fraction of time </w:t>
      </w:r>
      <w:r w:rsidR="004F342C" w:rsidRPr="00780E96">
        <w:t>during which only</w:t>
      </w:r>
      <w:r w:rsidRPr="00780E96">
        <w:t xml:space="preserve"> </w:t>
      </w:r>
      <w:r w:rsidR="00417CD1" w:rsidRPr="00780E96">
        <w:t>the following type</w:t>
      </w:r>
      <w:r w:rsidR="00A76EAF" w:rsidRPr="00780E96">
        <w:t>s</w:t>
      </w:r>
      <w:r w:rsidR="00417CD1" w:rsidRPr="00780E96">
        <w:t xml:space="preserve"> of power </w:t>
      </w:r>
      <w:r w:rsidR="000F73E6" w:rsidRPr="00780E96">
        <w:t>units</w:t>
      </w:r>
      <w:r w:rsidR="00417CD1" w:rsidRPr="00780E96">
        <w:t xml:space="preserve"> operate: </w:t>
      </w:r>
      <w:r w:rsidR="00941F47" w:rsidRPr="00780E96">
        <w:t>hydro, solar</w:t>
      </w:r>
      <w:r w:rsidR="009D1102" w:rsidRPr="00780E96">
        <w:t>, wind, tidal, wave, geothermal, nuclear</w:t>
      </w:r>
      <w:r w:rsidR="009C537C" w:rsidRPr="00780E96">
        <w:t>, biomass</w:t>
      </w:r>
      <w:r w:rsidR="00407903" w:rsidRPr="00780E96">
        <w:t xml:space="preserve"> </w:t>
      </w:r>
      <w:r w:rsidR="006B2087" w:rsidRPr="00780E96">
        <w:t xml:space="preserve">or biomass-derived fuels, hydrogen or hydrogen-derived fuels, </w:t>
      </w:r>
      <w:r w:rsidR="00EA475D" w:rsidRPr="00780E96">
        <w:t xml:space="preserve">and </w:t>
      </w:r>
      <w:r w:rsidR="00A034D4" w:rsidRPr="00780E96">
        <w:t xml:space="preserve">any type of storage power </w:t>
      </w:r>
      <w:r w:rsidR="000F73E6" w:rsidRPr="00780E96">
        <w:t>units</w:t>
      </w:r>
      <w:r w:rsidR="00A034D4" w:rsidRPr="00780E96">
        <w:t>.</w:t>
      </w:r>
    </w:p>
    <w:p w14:paraId="11743140" w14:textId="77777777" w:rsidR="00FB7670" w:rsidRPr="00780E96" w:rsidRDefault="00BF14D1">
      <w:pPr>
        <w:pStyle w:val="SDMHead5"/>
      </w:pPr>
      <w:bookmarkStart w:id="645" w:name="_Toc497298259"/>
      <w:bookmarkStart w:id="646" w:name="_Toc497399028"/>
      <w:bookmarkStart w:id="647" w:name="_Toc516136280"/>
      <w:bookmarkStart w:id="648" w:name="_Ref215683234"/>
      <w:bookmarkStart w:id="649" w:name="_Ref215683683"/>
      <w:bookmarkStart w:id="650" w:name="_Ref221037618"/>
      <w:bookmarkStart w:id="651" w:name="_Ref221037800"/>
      <w:r w:rsidRPr="00780E96">
        <w:t xml:space="preserve">Method </w:t>
      </w:r>
      <w:r w:rsidR="00C75A26" w:rsidRPr="00780E96">
        <w:t>(</w:t>
      </w:r>
      <w:r w:rsidRPr="00780E96">
        <w:t>d)</w:t>
      </w:r>
      <w:r w:rsidR="00C75A26" w:rsidRPr="00780E96">
        <w:t>:</w:t>
      </w:r>
      <w:r w:rsidRPr="00780E96">
        <w:t xml:space="preserve"> </w:t>
      </w:r>
      <w:r w:rsidR="00FB7670" w:rsidRPr="00780E96">
        <w:t>Average OM</w:t>
      </w:r>
      <w:bookmarkEnd w:id="645"/>
      <w:bookmarkEnd w:id="646"/>
      <w:bookmarkEnd w:id="647"/>
      <w:bookmarkEnd w:id="648"/>
      <w:bookmarkEnd w:id="649"/>
      <w:bookmarkEnd w:id="650"/>
      <w:bookmarkEnd w:id="651"/>
    </w:p>
    <w:p w14:paraId="31922284" w14:textId="692504FE" w:rsidR="00852318" w:rsidRPr="00780E96" w:rsidRDefault="00500075">
      <w:pPr>
        <w:pStyle w:val="SDMPara"/>
      </w:pPr>
      <w:r w:rsidRPr="00780E96">
        <w:t xml:space="preserve">The average </w:t>
      </w:r>
      <w:r w:rsidR="00B603D2" w:rsidRPr="00780E96">
        <w:t>OM emission factor (</w:t>
      </w:r>
      <w:r w:rsidR="00B603D2" w:rsidRPr="00780E96">
        <w:rPr>
          <w:i/>
          <w:iCs/>
        </w:rPr>
        <w:t>EF</w:t>
      </w:r>
      <w:r w:rsidR="00A60D2C" w:rsidRPr="00780E96">
        <w:rPr>
          <w:i/>
          <w:iCs/>
          <w:vertAlign w:val="subscript"/>
        </w:rPr>
        <w:t>OM</w:t>
      </w:r>
      <w:r w:rsidR="00B603D2" w:rsidRPr="00780E96">
        <w:rPr>
          <w:i/>
          <w:iCs/>
          <w:vertAlign w:val="subscript"/>
        </w:rPr>
        <w:t>,</w:t>
      </w:r>
      <w:r w:rsidR="003C0811" w:rsidRPr="00780E96">
        <w:rPr>
          <w:i/>
          <w:iCs/>
          <w:vertAlign w:val="subscript"/>
        </w:rPr>
        <w:t>av</w:t>
      </w:r>
      <w:r w:rsidR="008E19B0" w:rsidRPr="00780E96">
        <w:rPr>
          <w:i/>
          <w:iCs/>
          <w:vertAlign w:val="subscript"/>
        </w:rPr>
        <w:t>g</w:t>
      </w:r>
      <w:r w:rsidR="00B603D2" w:rsidRPr="00780E96">
        <w:rPr>
          <w:i/>
          <w:iCs/>
          <w:vertAlign w:val="subscript"/>
        </w:rPr>
        <w:t>,</w:t>
      </w:r>
      <w:r w:rsidR="001B0452" w:rsidRPr="00780E96">
        <w:rPr>
          <w:i/>
          <w:iCs/>
          <w:vertAlign w:val="subscript"/>
        </w:rPr>
        <w:t>y</w:t>
      </w:r>
      <w:r w:rsidR="00B603D2" w:rsidRPr="00780E96">
        <w:t xml:space="preserve">) </w:t>
      </w:r>
      <w:r w:rsidR="009E3DCA" w:rsidRPr="00780E96">
        <w:t xml:space="preserve">shall be </w:t>
      </w:r>
      <w:r w:rsidR="00B603D2" w:rsidRPr="00780E96">
        <w:t xml:space="preserve">determined as the generation-weighted average </w:t>
      </w:r>
      <w:r w:rsidR="00B603D2" w:rsidRPr="00780E96">
        <w:rPr>
          <w:lang w:val="en-US"/>
        </w:rPr>
        <w:t>CO</w:t>
      </w:r>
      <w:r w:rsidR="00B603D2" w:rsidRPr="00780E96">
        <w:rPr>
          <w:vertAlign w:val="subscript"/>
          <w:lang w:val="en-US"/>
        </w:rPr>
        <w:t>2</w:t>
      </w:r>
      <w:r w:rsidR="00B603D2" w:rsidRPr="00780E96">
        <w:t xml:space="preserve"> emission factor per unit of net electricity generation from all power units in the electricity system</w:t>
      </w:r>
      <w:r w:rsidR="001D5322" w:rsidRPr="00780E96">
        <w:t>.</w:t>
      </w:r>
    </w:p>
    <w:p w14:paraId="4E42F99E" w14:textId="008CC135" w:rsidR="00B0355D" w:rsidRPr="00780E96" w:rsidRDefault="00780F0A" w:rsidP="00F62D64">
      <w:pPr>
        <w:pStyle w:val="SDMPara"/>
        <w:keepNext/>
      </w:pPr>
      <w:bookmarkStart w:id="652" w:name="_Ref216176376"/>
      <w:r w:rsidRPr="00780E96">
        <w:t xml:space="preserve">The average </w:t>
      </w:r>
      <w:r w:rsidR="003638E3" w:rsidRPr="00780E96">
        <w:t xml:space="preserve">OM method </w:t>
      </w:r>
      <w:r w:rsidR="77F144C8" w:rsidRPr="00780E96">
        <w:t xml:space="preserve">shall </w:t>
      </w:r>
      <w:r w:rsidRPr="00780E96">
        <w:t xml:space="preserve">be applied </w:t>
      </w:r>
      <w:r w:rsidR="00815C7F" w:rsidRPr="00780E96">
        <w:t xml:space="preserve">only </w:t>
      </w:r>
      <w:r w:rsidRPr="00780E96">
        <w:t xml:space="preserve">where the necessary data </w:t>
      </w:r>
      <w:r w:rsidR="00AE6CDD" w:rsidRPr="00780E96">
        <w:t xml:space="preserve">are </w:t>
      </w:r>
      <w:r w:rsidRPr="00780E96">
        <w:t xml:space="preserve">available. Moreover, it </w:t>
      </w:r>
      <w:r w:rsidR="007D60B7" w:rsidRPr="00780E96">
        <w:t>shall</w:t>
      </w:r>
      <w:r w:rsidRPr="00780E96">
        <w:t xml:space="preserve"> be applied</w:t>
      </w:r>
      <w:r w:rsidR="00AE6CDD" w:rsidRPr="00780E96">
        <w:t xml:space="preserve"> only</w:t>
      </w:r>
      <w:r w:rsidR="00B0355D" w:rsidRPr="00780E96">
        <w:t>:</w:t>
      </w:r>
      <w:bookmarkEnd w:id="652"/>
    </w:p>
    <w:p w14:paraId="7A6F102A" w14:textId="49161233" w:rsidR="007D60B7" w:rsidRPr="00780E96" w:rsidRDefault="00B0355D" w:rsidP="00F65332">
      <w:pPr>
        <w:pStyle w:val="SDMSubPara1"/>
      </w:pPr>
      <w:bookmarkStart w:id="653" w:name="_Ref220953245"/>
      <w:r w:rsidRPr="00780E96">
        <w:t>T</w:t>
      </w:r>
      <w:r w:rsidR="00780F0A" w:rsidRPr="00780E96">
        <w:t xml:space="preserve">o </w:t>
      </w:r>
      <w:r w:rsidR="007D60B7" w:rsidRPr="00780E96">
        <w:t>non-intermittent electricity generation sources and electricity consumption sources not depending on intermittent generation</w:t>
      </w:r>
      <w:r w:rsidRPr="00780E96">
        <w:t>; and</w:t>
      </w:r>
      <w:bookmarkEnd w:id="653"/>
    </w:p>
    <w:p w14:paraId="761FEECD" w14:textId="2BD7EE34" w:rsidR="00780F0A" w:rsidRPr="00780E96" w:rsidRDefault="00B0355D" w:rsidP="00F65332">
      <w:pPr>
        <w:pStyle w:val="SDMSubPara1"/>
      </w:pPr>
      <w:r w:rsidRPr="00780E96">
        <w:t>W</w:t>
      </w:r>
      <w:r w:rsidR="00017C3D" w:rsidRPr="00780E96">
        <w:t xml:space="preserve">here </w:t>
      </w:r>
      <w:r w:rsidR="00AE6CDD" w:rsidRPr="00780E96">
        <w:rPr>
          <w:b/>
        </w:rPr>
        <w:t>case</w:t>
      </w:r>
      <w:r w:rsidR="00204D05" w:rsidRPr="00780E96">
        <w:rPr>
          <w:b/>
        </w:rPr>
        <w:t> </w:t>
      </w:r>
      <w:r w:rsidR="00017C3D" w:rsidRPr="00780E96">
        <w:rPr>
          <w:b/>
        </w:rPr>
        <w:t>2</w:t>
      </w:r>
      <w:r w:rsidR="00017C3D" w:rsidRPr="00780E96">
        <w:t xml:space="preserve"> applies.</w:t>
      </w:r>
    </w:p>
    <w:p w14:paraId="5EDEA8AF" w14:textId="011F64C8" w:rsidR="091E33C7" w:rsidRPr="00780E96" w:rsidRDefault="1D1020D6">
      <w:pPr>
        <w:pStyle w:val="SDMPara"/>
        <w:rPr>
          <w:rFonts w:eastAsia="Arial"/>
        </w:rPr>
      </w:pPr>
      <w:bookmarkStart w:id="654" w:name="_Ref220953222"/>
      <w:r w:rsidRPr="00780E96">
        <w:t>The average OM emission factor (</w:t>
      </w:r>
      <w:r w:rsidRPr="00780E96">
        <w:rPr>
          <w:i/>
          <w:iCs/>
        </w:rPr>
        <w:t>EF</w:t>
      </w:r>
      <w:r w:rsidR="346BCA92" w:rsidRPr="00780E96">
        <w:rPr>
          <w:i/>
          <w:iCs/>
          <w:vertAlign w:val="subscript"/>
        </w:rPr>
        <w:t>O</w:t>
      </w:r>
      <w:r w:rsidRPr="00780E96">
        <w:rPr>
          <w:i/>
          <w:iCs/>
          <w:vertAlign w:val="subscript"/>
        </w:rPr>
        <w:t>M</w:t>
      </w:r>
      <w:r w:rsidR="6422733F" w:rsidRPr="00780E96">
        <w:rPr>
          <w:i/>
          <w:iCs/>
          <w:vertAlign w:val="subscript"/>
        </w:rPr>
        <w:t>,</w:t>
      </w:r>
      <w:r w:rsidRPr="00780E96">
        <w:rPr>
          <w:i/>
          <w:iCs/>
          <w:vertAlign w:val="subscript"/>
        </w:rPr>
        <w:t>av</w:t>
      </w:r>
      <w:r w:rsidR="6F3B75EC" w:rsidRPr="00780E96">
        <w:rPr>
          <w:i/>
          <w:iCs/>
          <w:vertAlign w:val="subscript"/>
        </w:rPr>
        <w:t>g</w:t>
      </w:r>
      <w:r w:rsidRPr="00780E96">
        <w:rPr>
          <w:i/>
          <w:iCs/>
          <w:vertAlign w:val="subscript"/>
        </w:rPr>
        <w:t>,</w:t>
      </w:r>
      <w:r w:rsidR="45EC30B6" w:rsidRPr="00780E96">
        <w:rPr>
          <w:i/>
          <w:iCs/>
          <w:vertAlign w:val="subscript"/>
        </w:rPr>
        <w:t>y</w:t>
      </w:r>
      <w:r w:rsidRPr="00780E96">
        <w:t xml:space="preserve">) </w:t>
      </w:r>
      <w:r w:rsidR="128ED1A8" w:rsidRPr="00780E96">
        <w:t>shall be</w:t>
      </w:r>
      <w:r w:rsidRPr="00780E96">
        <w:t xml:space="preserve"> calculated as the </w:t>
      </w:r>
      <w:r w:rsidR="6EA42E73" w:rsidRPr="00780E96">
        <w:t xml:space="preserve">generation-weighted </w:t>
      </w:r>
      <w:r w:rsidRPr="00780E96">
        <w:t xml:space="preserve">average emission </w:t>
      </w:r>
      <w:r w:rsidR="6EA42E73" w:rsidRPr="00780E96">
        <w:t>factor</w:t>
      </w:r>
      <w:r w:rsidRPr="00780E96">
        <w:t xml:space="preserve"> of all power </w:t>
      </w:r>
      <w:r w:rsidR="6DDF2490" w:rsidRPr="00780E96">
        <w:t>units</w:t>
      </w:r>
      <w:r w:rsidRPr="00780E96">
        <w:t xml:space="preserve"> serving the </w:t>
      </w:r>
      <w:r w:rsidR="6EA42E73" w:rsidRPr="00780E96">
        <w:t>electricity</w:t>
      </w:r>
      <w:r w:rsidR="128ED1A8" w:rsidRPr="00780E96">
        <w:t xml:space="preserve"> system</w:t>
      </w:r>
      <w:r w:rsidRPr="00780E96">
        <w:t xml:space="preserve">, using the </w:t>
      </w:r>
      <w:r w:rsidR="293E2CA0" w:rsidRPr="00780E96">
        <w:t xml:space="preserve">same approaches as for the </w:t>
      </w:r>
      <w:r w:rsidR="1F9861F2" w:rsidRPr="00780E96">
        <w:t>simple OM</w:t>
      </w:r>
      <w:r w:rsidR="2A88A0AB" w:rsidRPr="00780E96">
        <w:t xml:space="preserve"> emission factor</w:t>
      </w:r>
      <w:r w:rsidRPr="00780E96">
        <w:t xml:space="preserve">, but also including </w:t>
      </w:r>
      <w:r w:rsidR="71A4ED26" w:rsidRPr="00780E96">
        <w:t xml:space="preserve">power units designated as </w:t>
      </w:r>
      <w:r w:rsidRPr="00780E96">
        <w:t>must-run in all equations.</w:t>
      </w:r>
      <w:r w:rsidR="039507F4" w:rsidRPr="00780E96">
        <w:t xml:space="preserve"> </w:t>
      </w:r>
      <w:r w:rsidR="45357983" w:rsidRPr="00780E96">
        <w:t>The emission factor shall be determined for each calendar year </w:t>
      </w:r>
      <w:r w:rsidR="45357983" w:rsidRPr="00780E96">
        <w:rPr>
          <w:i/>
          <w:iCs/>
        </w:rPr>
        <w:t>y</w:t>
      </w:r>
      <w:r w:rsidR="45357983" w:rsidRPr="00780E96">
        <w:t xml:space="preserve"> of the crediting period. </w:t>
      </w:r>
      <w:r w:rsidR="039507F4" w:rsidRPr="00780E96">
        <w:t>As for the simple OM</w:t>
      </w:r>
      <w:r w:rsidR="5B3E0202" w:rsidRPr="00780E96">
        <w:t xml:space="preserve"> emission factor</w:t>
      </w:r>
      <w:r w:rsidR="039507F4" w:rsidRPr="00780E96">
        <w:t xml:space="preserve">, </w:t>
      </w:r>
      <w:r w:rsidR="380598E4" w:rsidRPr="00780E96">
        <w:t xml:space="preserve">either </w:t>
      </w:r>
      <w:r w:rsidR="4D576E8F" w:rsidRPr="00780E96">
        <w:t>the ex</w:t>
      </w:r>
      <w:r w:rsidR="5852B268" w:rsidRPr="00780E96">
        <w:t>-</w:t>
      </w:r>
      <w:r w:rsidR="4D576E8F" w:rsidRPr="00780E96">
        <w:t xml:space="preserve">ante </w:t>
      </w:r>
      <w:r w:rsidR="380598E4" w:rsidRPr="00780E96">
        <w:t xml:space="preserve">option </w:t>
      </w:r>
      <w:r w:rsidR="4D576E8F" w:rsidRPr="00780E96">
        <w:t>or the ex</w:t>
      </w:r>
      <w:r w:rsidR="07434C05" w:rsidRPr="00780E96">
        <w:t>-</w:t>
      </w:r>
      <w:r w:rsidR="4D576E8F" w:rsidRPr="00780E96">
        <w:t>post option may be used</w:t>
      </w:r>
      <w:r w:rsidR="7D0AE346" w:rsidRPr="00780E96">
        <w:t xml:space="preserve">, and </w:t>
      </w:r>
      <w:r w:rsidR="21999DF6" w:rsidRPr="00780E96">
        <w:rPr>
          <w:b/>
          <w:bCs/>
        </w:rPr>
        <w:t>approach</w:t>
      </w:r>
      <w:r w:rsidR="5DB6A99E" w:rsidRPr="00780E96">
        <w:rPr>
          <w:b/>
          <w:bCs/>
        </w:rPr>
        <w:t> </w:t>
      </w:r>
      <w:r w:rsidR="039507F4" w:rsidRPr="00780E96">
        <w:rPr>
          <w:b/>
          <w:bCs/>
        </w:rPr>
        <w:t>B</w:t>
      </w:r>
      <w:r w:rsidR="039507F4" w:rsidRPr="00780E96">
        <w:t xml:space="preserve"> shall be used </w:t>
      </w:r>
      <w:r w:rsidR="21999DF6" w:rsidRPr="00780E96">
        <w:t xml:space="preserve">only where </w:t>
      </w:r>
      <w:r w:rsidR="039507F4" w:rsidRPr="00780E96">
        <w:t xml:space="preserve">the necessary data for </w:t>
      </w:r>
      <w:r w:rsidR="59DAF84F" w:rsidRPr="00780E96">
        <w:rPr>
          <w:b/>
          <w:bCs/>
        </w:rPr>
        <w:t>approach</w:t>
      </w:r>
      <w:r w:rsidR="5DB6A99E" w:rsidRPr="00780E96">
        <w:rPr>
          <w:b/>
          <w:bCs/>
        </w:rPr>
        <w:t> </w:t>
      </w:r>
      <w:r w:rsidR="039507F4" w:rsidRPr="00780E96">
        <w:rPr>
          <w:b/>
          <w:bCs/>
        </w:rPr>
        <w:t>A</w:t>
      </w:r>
      <w:r w:rsidR="039507F4" w:rsidRPr="00780E96">
        <w:t xml:space="preserve"> </w:t>
      </w:r>
      <w:r w:rsidR="59DAF84F" w:rsidRPr="00780E96">
        <w:t xml:space="preserve">are </w:t>
      </w:r>
      <w:r w:rsidR="039507F4" w:rsidRPr="00780E96">
        <w:t>not available.</w:t>
      </w:r>
      <w:r w:rsidR="181B5B89" w:rsidRPr="00780E96">
        <w:t xml:space="preserve"> </w:t>
      </w:r>
      <w:r w:rsidR="45E39B6E" w:rsidRPr="00780E96">
        <w:t xml:space="preserve">To account for data vintage, the </w:t>
      </w:r>
      <w:r w:rsidR="2E0D4E8A" w:rsidRPr="00780E96">
        <w:t>respective</w:t>
      </w:r>
      <w:r w:rsidR="45E39B6E" w:rsidRPr="00780E96">
        <w:t xml:space="preserve"> value </w:t>
      </w:r>
      <w:r w:rsidR="79193FE2" w:rsidRPr="00780E96">
        <w:t>for F</w:t>
      </w:r>
      <w:r w:rsidR="79193FE2" w:rsidRPr="00780E96">
        <w:rPr>
          <w:vertAlign w:val="subscript"/>
        </w:rPr>
        <w:t>OM,av</w:t>
      </w:r>
      <w:r w:rsidR="44B0BB15" w:rsidRPr="00780E96">
        <w:rPr>
          <w:vertAlign w:val="subscript"/>
        </w:rPr>
        <w:t>g</w:t>
      </w:r>
      <w:r w:rsidR="2E0D4E8A" w:rsidRPr="00780E96">
        <w:t xml:space="preserve"> in </w:t>
      </w:r>
      <w:r w:rsidR="093085F0" w:rsidRPr="00780E96">
        <w:t>a</w:t>
      </w:r>
      <w:r w:rsidR="2E0D4E8A" w:rsidRPr="00780E96">
        <w:t xml:space="preserve">ppendix 2 shall be used instead of the </w:t>
      </w:r>
      <w:r w:rsidR="30BE2367" w:rsidRPr="00780E96">
        <w:t>value of F</w:t>
      </w:r>
      <w:r w:rsidR="30BE2367" w:rsidRPr="00780E96">
        <w:rPr>
          <w:vertAlign w:val="subscript"/>
        </w:rPr>
        <w:t>OM,simple</w:t>
      </w:r>
      <w:r w:rsidR="30BE2367" w:rsidRPr="00780E96">
        <w:t xml:space="preserve">. </w:t>
      </w:r>
      <w:r w:rsidR="45357983" w:rsidRPr="00780E96">
        <w:t xml:space="preserve">The </w:t>
      </w:r>
      <w:r w:rsidR="59DAF84F" w:rsidRPr="00780E96">
        <w:t xml:space="preserve">relevant </w:t>
      </w:r>
      <w:r w:rsidR="45357983" w:rsidRPr="00780E96">
        <w:t>provisions in section </w:t>
      </w:r>
      <w:r w:rsidR="00FB7670" w:rsidRPr="00780E96">
        <w:fldChar w:fldCharType="begin"/>
      </w:r>
      <w:r w:rsidR="00FB7670" w:rsidRPr="00780E96">
        <w:instrText>REF _Ref215683293 \r</w:instrText>
      </w:r>
      <w:r w:rsidR="00780E96">
        <w:instrText xml:space="preserve"> \* MERGEFORMAT </w:instrText>
      </w:r>
      <w:r w:rsidR="00FB7670" w:rsidRPr="00780E96">
        <w:fldChar w:fldCharType="separate"/>
      </w:r>
      <w:r w:rsidR="003B0135" w:rsidRPr="00780E96">
        <w:rPr>
          <w:cs/>
        </w:rPr>
        <w:t>‎</w:t>
      </w:r>
      <w:r w:rsidR="003B0135" w:rsidRPr="00780E96">
        <w:t>5.7.1.2.2</w:t>
      </w:r>
      <w:r w:rsidR="00FB7670" w:rsidRPr="00780E96">
        <w:fldChar w:fldCharType="end"/>
      </w:r>
      <w:r w:rsidR="45357983" w:rsidRPr="00780E96">
        <w:t xml:space="preserve"> </w:t>
      </w:r>
      <w:r w:rsidR="20D53D22" w:rsidRPr="00780E96">
        <w:t xml:space="preserve">shall </w:t>
      </w:r>
      <w:r w:rsidR="45357983" w:rsidRPr="00780E96">
        <w:t>apply.</w:t>
      </w:r>
      <w:bookmarkEnd w:id="654"/>
    </w:p>
    <w:p w14:paraId="1EFA26BB" w14:textId="7A3F094A" w:rsidR="00C01CD8" w:rsidRPr="00780E96" w:rsidRDefault="00447206">
      <w:pPr>
        <w:pStyle w:val="SDMHead4"/>
      </w:pPr>
      <w:bookmarkStart w:id="655" w:name="_Ref221038996"/>
      <w:r w:rsidRPr="00780E96">
        <w:rPr>
          <w:lang w:eastAsia="zh-CN"/>
        </w:rPr>
        <w:t>Sub</w:t>
      </w:r>
      <w:r w:rsidR="000211CE" w:rsidRPr="00780E96">
        <w:rPr>
          <w:lang w:eastAsia="zh-CN"/>
        </w:rPr>
        <w:t>-</w:t>
      </w:r>
      <w:r w:rsidRPr="00780E96">
        <w:rPr>
          <w:lang w:eastAsia="zh-CN"/>
        </w:rPr>
        <w:t>step</w:t>
      </w:r>
      <w:r w:rsidR="00204D05" w:rsidRPr="00780E96">
        <w:rPr>
          <w:lang w:eastAsia="zh-CN"/>
        </w:rPr>
        <w:t> </w:t>
      </w:r>
      <w:r w:rsidRPr="00780E96">
        <w:rPr>
          <w:lang w:eastAsia="zh-CN"/>
        </w:rPr>
        <w:t xml:space="preserve">b: </w:t>
      </w:r>
      <w:r w:rsidR="004A2B78" w:rsidRPr="00780E96">
        <w:rPr>
          <w:lang w:eastAsia="zh-CN"/>
        </w:rPr>
        <w:t>Determination of</w:t>
      </w:r>
      <w:r w:rsidRPr="00780E96">
        <w:rPr>
          <w:lang w:eastAsia="zh-CN"/>
        </w:rPr>
        <w:t xml:space="preserve"> the BM emission factor </w:t>
      </w:r>
      <w:r w:rsidR="002C7E86" w:rsidRPr="00780E96">
        <w:rPr>
          <w:lang w:eastAsia="zh-CN"/>
        </w:rPr>
        <w:t>(</w:t>
      </w:r>
      <w:r w:rsidRPr="00780E96">
        <w:t>EF</w:t>
      </w:r>
      <w:r w:rsidR="009B7BE3" w:rsidRPr="00780E96">
        <w:rPr>
          <w:vertAlign w:val="subscript"/>
        </w:rPr>
        <w:t>B</w:t>
      </w:r>
      <w:r w:rsidRPr="00780E96">
        <w:rPr>
          <w:vertAlign w:val="subscript"/>
        </w:rPr>
        <w:t>M,y</w:t>
      </w:r>
      <w:r w:rsidR="002C7E86" w:rsidRPr="00780E96">
        <w:t>)</w:t>
      </w:r>
      <w:bookmarkEnd w:id="655"/>
    </w:p>
    <w:p w14:paraId="7DAC8FA6" w14:textId="3E5DDF42" w:rsidR="00580C86" w:rsidRPr="00780E96" w:rsidRDefault="00712339">
      <w:pPr>
        <w:pStyle w:val="SDMPara"/>
        <w:rPr>
          <w:rFonts w:eastAsia="Arial"/>
        </w:rPr>
      </w:pPr>
      <w:r w:rsidRPr="00780E96">
        <w:t>The</w:t>
      </w:r>
      <w:r w:rsidRPr="00780E96">
        <w:rPr>
          <w:rFonts w:eastAsia="Arial"/>
        </w:rPr>
        <w:t xml:space="preserve"> BM</w:t>
      </w:r>
      <w:r w:rsidR="0091791D" w:rsidRPr="00780E96">
        <w:rPr>
          <w:rFonts w:eastAsia="Arial"/>
        </w:rPr>
        <w:t xml:space="preserve"> emission factor </w:t>
      </w:r>
      <w:r w:rsidR="002C7E86" w:rsidRPr="00780E96">
        <w:rPr>
          <w:lang w:eastAsia="zh-CN"/>
        </w:rPr>
        <w:t>(</w:t>
      </w:r>
      <w:r w:rsidR="002C7E86" w:rsidRPr="00780E96">
        <w:rPr>
          <w:i/>
          <w:iCs/>
        </w:rPr>
        <w:t>EF</w:t>
      </w:r>
      <w:r w:rsidR="002C7E86" w:rsidRPr="00780E96">
        <w:rPr>
          <w:i/>
          <w:iCs/>
          <w:vertAlign w:val="subscript"/>
        </w:rPr>
        <w:t>BM,y</w:t>
      </w:r>
      <w:r w:rsidR="002C7E86" w:rsidRPr="00780E96">
        <w:t xml:space="preserve">) </w:t>
      </w:r>
      <w:r w:rsidR="00CF6A2F" w:rsidRPr="00780E96">
        <w:rPr>
          <w:rFonts w:eastAsia="Arial"/>
        </w:rPr>
        <w:t xml:space="preserve">shall be </w:t>
      </w:r>
      <w:r w:rsidR="0091791D" w:rsidRPr="00780E96">
        <w:rPr>
          <w:rFonts w:eastAsia="Arial"/>
        </w:rPr>
        <w:t xml:space="preserve">determined based on the </w:t>
      </w:r>
      <w:r w:rsidR="00C82B3A" w:rsidRPr="00780E96">
        <w:rPr>
          <w:rFonts w:eastAsia="Arial"/>
        </w:rPr>
        <w:t xml:space="preserve">generation-weighted </w:t>
      </w:r>
      <w:r w:rsidR="0091791D" w:rsidRPr="00780E96">
        <w:rPr>
          <w:rFonts w:eastAsia="Arial"/>
        </w:rPr>
        <w:t xml:space="preserve">average emissions intensity of </w:t>
      </w:r>
      <w:r w:rsidR="001A5315" w:rsidRPr="00780E96">
        <w:rPr>
          <w:rFonts w:eastAsia="Arial"/>
        </w:rPr>
        <w:t xml:space="preserve">new </w:t>
      </w:r>
      <w:r w:rsidR="0091791D" w:rsidRPr="00780E96">
        <w:rPr>
          <w:rFonts w:eastAsia="Arial"/>
        </w:rPr>
        <w:t xml:space="preserve">power </w:t>
      </w:r>
      <w:r w:rsidR="00F801F7" w:rsidRPr="00780E96">
        <w:rPr>
          <w:rFonts w:eastAsia="Arial"/>
        </w:rPr>
        <w:t>units</w:t>
      </w:r>
      <w:r w:rsidR="0091791D" w:rsidRPr="00780E96">
        <w:rPr>
          <w:rFonts w:eastAsia="Arial"/>
        </w:rPr>
        <w:t xml:space="preserve"> that start</w:t>
      </w:r>
      <w:r w:rsidR="00056F9E" w:rsidRPr="00780E96">
        <w:rPr>
          <w:rFonts w:eastAsia="Arial"/>
        </w:rPr>
        <w:t>ed</w:t>
      </w:r>
      <w:r w:rsidR="0091791D" w:rsidRPr="00780E96">
        <w:rPr>
          <w:rFonts w:eastAsia="Arial"/>
        </w:rPr>
        <w:t xml:space="preserve"> </w:t>
      </w:r>
      <w:r w:rsidR="00A009B4" w:rsidRPr="00780E96">
        <w:rPr>
          <w:rFonts w:eastAsia="Arial"/>
        </w:rPr>
        <w:t>supplying electricity to the electricity system</w:t>
      </w:r>
      <w:r w:rsidR="005D2B3D" w:rsidRPr="00780E96">
        <w:rPr>
          <w:rFonts w:eastAsia="Arial"/>
        </w:rPr>
        <w:t xml:space="preserve"> </w:t>
      </w:r>
      <w:r w:rsidR="00524E6E" w:rsidRPr="00780E96">
        <w:rPr>
          <w:rFonts w:eastAsia="Arial"/>
        </w:rPr>
        <w:t xml:space="preserve">during </w:t>
      </w:r>
      <w:r w:rsidR="001342D8" w:rsidRPr="00780E96">
        <w:rPr>
          <w:rFonts w:eastAsia="Arial"/>
        </w:rPr>
        <w:t>a reference period.</w:t>
      </w:r>
      <w:r w:rsidR="006D16DB" w:rsidRPr="00780E96">
        <w:rPr>
          <w:rFonts w:eastAsia="Arial"/>
        </w:rPr>
        <w:t xml:space="preserve"> </w:t>
      </w:r>
      <w:r w:rsidR="009856ED" w:rsidRPr="00780E96">
        <w:rPr>
          <w:rFonts w:eastAsia="Arial"/>
        </w:rPr>
        <w:t xml:space="preserve">Where the </w:t>
      </w:r>
      <w:r w:rsidR="00E446A5" w:rsidRPr="00780E96">
        <w:rPr>
          <w:rFonts w:eastAsia="Arial"/>
        </w:rPr>
        <w:t xml:space="preserve">necessary </w:t>
      </w:r>
      <w:r w:rsidR="009856ED" w:rsidRPr="00780E96">
        <w:rPr>
          <w:rFonts w:eastAsia="Arial"/>
        </w:rPr>
        <w:t xml:space="preserve">data </w:t>
      </w:r>
      <w:r w:rsidR="00AB759E" w:rsidRPr="00780E96">
        <w:rPr>
          <w:rFonts w:eastAsia="Arial"/>
        </w:rPr>
        <w:t xml:space="preserve">are </w:t>
      </w:r>
      <w:r w:rsidR="009856ED" w:rsidRPr="00780E96">
        <w:rPr>
          <w:rFonts w:eastAsia="Arial"/>
        </w:rPr>
        <w:t xml:space="preserve">available, the reference period </w:t>
      </w:r>
      <w:r w:rsidR="002319F0" w:rsidRPr="00780E96">
        <w:rPr>
          <w:rFonts w:eastAsia="Arial"/>
        </w:rPr>
        <w:t xml:space="preserve">shall </w:t>
      </w:r>
      <w:r w:rsidR="009856ED" w:rsidRPr="00780E96">
        <w:rPr>
          <w:rFonts w:eastAsia="Arial"/>
        </w:rPr>
        <w:t xml:space="preserve">reflect the </w:t>
      </w:r>
      <w:r w:rsidR="00441FE5" w:rsidRPr="00780E96">
        <w:rPr>
          <w:rFonts w:eastAsia="Arial"/>
        </w:rPr>
        <w:t>period</w:t>
      </w:r>
      <w:r w:rsidR="009856ED" w:rsidRPr="00780E96">
        <w:rPr>
          <w:rFonts w:eastAsia="Arial"/>
        </w:rPr>
        <w:t xml:space="preserve"> </w:t>
      </w:r>
      <w:r w:rsidR="00AB759E" w:rsidRPr="00780E96">
        <w:rPr>
          <w:rFonts w:eastAsia="Arial"/>
        </w:rPr>
        <w:t xml:space="preserve">in which </w:t>
      </w:r>
      <w:r w:rsidR="009856ED" w:rsidRPr="00780E96">
        <w:rPr>
          <w:rFonts w:eastAsia="Arial"/>
        </w:rPr>
        <w:t xml:space="preserve">the Article 6.4 </w:t>
      </w:r>
      <w:r w:rsidR="00D46057" w:rsidRPr="00780E96">
        <w:rPr>
          <w:rFonts w:eastAsia="Arial"/>
        </w:rPr>
        <w:t xml:space="preserve">project or CP </w:t>
      </w:r>
      <w:r w:rsidR="004B28BD" w:rsidRPr="00780E96">
        <w:rPr>
          <w:rFonts w:eastAsia="Arial"/>
        </w:rPr>
        <w:t>starts operation</w:t>
      </w:r>
      <w:r w:rsidR="00B624AB" w:rsidRPr="00780E96">
        <w:rPr>
          <w:rFonts w:eastAsia="Arial"/>
        </w:rPr>
        <w:t xml:space="preserve"> </w:t>
      </w:r>
      <w:r w:rsidR="00DE193A" w:rsidRPr="00780E96">
        <w:rPr>
          <w:rFonts w:eastAsia="Arial"/>
        </w:rPr>
        <w:t>(</w:t>
      </w:r>
      <w:r w:rsidR="009965B0" w:rsidRPr="00780E96">
        <w:rPr>
          <w:rFonts w:eastAsia="Arial"/>
        </w:rPr>
        <w:t xml:space="preserve">hereinafter referred to as </w:t>
      </w:r>
      <w:r w:rsidR="00DE193A" w:rsidRPr="00780E96">
        <w:rPr>
          <w:rFonts w:eastAsia="Arial"/>
        </w:rPr>
        <w:t xml:space="preserve">the </w:t>
      </w:r>
      <w:r w:rsidR="009965B0" w:rsidRPr="00780E96">
        <w:rPr>
          <w:rFonts w:eastAsia="Arial"/>
        </w:rPr>
        <w:t>“</w:t>
      </w:r>
      <w:r w:rsidR="00B40C20" w:rsidRPr="00780E96">
        <w:rPr>
          <w:rFonts w:eastAsia="Arial"/>
          <w:b/>
        </w:rPr>
        <w:t>con</w:t>
      </w:r>
      <w:r w:rsidR="009965B0" w:rsidRPr="00780E96">
        <w:rPr>
          <w:rFonts w:eastAsia="Arial"/>
          <w:b/>
        </w:rPr>
        <w:t>current</w:t>
      </w:r>
      <w:r w:rsidR="00DE193A" w:rsidRPr="00780E96">
        <w:rPr>
          <w:rFonts w:eastAsia="Arial"/>
          <w:b/>
        </w:rPr>
        <w:t xml:space="preserve"> reference period</w:t>
      </w:r>
      <w:r w:rsidR="009965B0" w:rsidRPr="00780E96">
        <w:rPr>
          <w:rFonts w:eastAsia="Arial"/>
        </w:rPr>
        <w:t>”</w:t>
      </w:r>
      <w:r w:rsidR="00136B30" w:rsidRPr="00780E96">
        <w:rPr>
          <w:rFonts w:eastAsia="Arial"/>
        </w:rPr>
        <w:t>)</w:t>
      </w:r>
      <w:r w:rsidR="004B28BD" w:rsidRPr="00780E96">
        <w:rPr>
          <w:rFonts w:eastAsia="Arial"/>
        </w:rPr>
        <w:t xml:space="preserve">. Where </w:t>
      </w:r>
      <w:r w:rsidR="00DE7CB3" w:rsidRPr="00780E96">
        <w:rPr>
          <w:rFonts w:eastAsia="Arial"/>
        </w:rPr>
        <w:t>the relevant</w:t>
      </w:r>
      <w:r w:rsidR="004B28BD" w:rsidRPr="00780E96">
        <w:rPr>
          <w:rFonts w:eastAsia="Arial"/>
        </w:rPr>
        <w:t xml:space="preserve"> data </w:t>
      </w:r>
      <w:r w:rsidR="00136B30" w:rsidRPr="00780E96">
        <w:rPr>
          <w:rFonts w:eastAsia="Arial"/>
        </w:rPr>
        <w:t xml:space="preserve">are </w:t>
      </w:r>
      <w:r w:rsidR="004B28BD" w:rsidRPr="00780E96">
        <w:rPr>
          <w:rFonts w:eastAsia="Arial"/>
        </w:rPr>
        <w:t>not available</w:t>
      </w:r>
      <w:r w:rsidR="00280FA7" w:rsidRPr="00780E96">
        <w:rPr>
          <w:rFonts w:eastAsia="Arial"/>
        </w:rPr>
        <w:t xml:space="preserve"> at the time of calculating the BM</w:t>
      </w:r>
      <w:r w:rsidR="770AF34A" w:rsidRPr="00780E96">
        <w:rPr>
          <w:rFonts w:eastAsia="Arial"/>
        </w:rPr>
        <w:t xml:space="preserve"> emission factor</w:t>
      </w:r>
      <w:r w:rsidR="004B28BD" w:rsidRPr="00780E96">
        <w:rPr>
          <w:rFonts w:eastAsia="Arial"/>
        </w:rPr>
        <w:t xml:space="preserve">, </w:t>
      </w:r>
      <w:r w:rsidR="00DE7CB3" w:rsidRPr="00780E96">
        <w:rPr>
          <w:rFonts w:eastAsia="Arial"/>
        </w:rPr>
        <w:t xml:space="preserve">a </w:t>
      </w:r>
      <w:r w:rsidR="009965B0" w:rsidRPr="00780E96">
        <w:rPr>
          <w:rFonts w:eastAsia="Arial"/>
        </w:rPr>
        <w:t>“</w:t>
      </w:r>
      <w:r w:rsidR="00DE7CB3" w:rsidRPr="00780E96">
        <w:rPr>
          <w:rFonts w:eastAsia="Arial"/>
          <w:b/>
        </w:rPr>
        <w:t>historical reference period</w:t>
      </w:r>
      <w:r w:rsidR="00136B30" w:rsidRPr="00780E96">
        <w:rPr>
          <w:rFonts w:eastAsia="Arial"/>
        </w:rPr>
        <w:t>”</w:t>
      </w:r>
      <w:r w:rsidR="00DE7CB3" w:rsidRPr="00780E96">
        <w:rPr>
          <w:rFonts w:eastAsia="Arial"/>
        </w:rPr>
        <w:t xml:space="preserve"> may be used</w:t>
      </w:r>
      <w:r w:rsidR="00E013A5" w:rsidRPr="00780E96">
        <w:rPr>
          <w:rFonts w:eastAsia="Arial"/>
        </w:rPr>
        <w:t xml:space="preserve">. In the case of </w:t>
      </w:r>
      <w:r w:rsidR="00136B30" w:rsidRPr="00780E96">
        <w:rPr>
          <w:rFonts w:eastAsia="Arial"/>
        </w:rPr>
        <w:t xml:space="preserve">a </w:t>
      </w:r>
      <w:r w:rsidR="00E013A5" w:rsidRPr="00780E96">
        <w:rPr>
          <w:rFonts w:eastAsia="Arial"/>
        </w:rPr>
        <w:t xml:space="preserve">historical reference period, the average emissions intensity of </w:t>
      </w:r>
      <w:r w:rsidR="00B66A47" w:rsidRPr="00780E96">
        <w:rPr>
          <w:rFonts w:eastAsia="Arial"/>
        </w:rPr>
        <w:t xml:space="preserve">new power </w:t>
      </w:r>
      <w:r w:rsidR="00F801F7" w:rsidRPr="00780E96">
        <w:rPr>
          <w:rFonts w:eastAsia="Arial"/>
        </w:rPr>
        <w:t>units</w:t>
      </w:r>
      <w:r w:rsidR="00B66A47" w:rsidRPr="00780E96">
        <w:rPr>
          <w:rFonts w:eastAsia="Arial"/>
        </w:rPr>
        <w:t xml:space="preserve"> </w:t>
      </w:r>
      <w:r w:rsidR="007C0513" w:rsidRPr="00780E96">
        <w:rPr>
          <w:rFonts w:eastAsia="Arial"/>
        </w:rPr>
        <w:t xml:space="preserve">shall be </w:t>
      </w:r>
      <w:r w:rsidR="00B66A47" w:rsidRPr="00780E96">
        <w:rPr>
          <w:rFonts w:eastAsia="Arial"/>
        </w:rPr>
        <w:t>adjusted to account for data vintage, noting that</w:t>
      </w:r>
      <w:r w:rsidR="007C0513" w:rsidRPr="00780E96">
        <w:rPr>
          <w:rFonts w:eastAsia="Arial"/>
        </w:rPr>
        <w:t>,</w:t>
      </w:r>
      <w:r w:rsidR="00B66A47" w:rsidRPr="00780E96">
        <w:rPr>
          <w:rFonts w:eastAsia="Arial"/>
        </w:rPr>
        <w:t xml:space="preserve"> </w:t>
      </w:r>
      <w:r w:rsidR="004515A3" w:rsidRPr="00780E96">
        <w:rPr>
          <w:rFonts w:eastAsia="Arial"/>
        </w:rPr>
        <w:t>in many electricity systems</w:t>
      </w:r>
      <w:r w:rsidR="00ED7C94" w:rsidRPr="00780E96">
        <w:rPr>
          <w:rFonts w:eastAsia="Arial"/>
        </w:rPr>
        <w:t>,</w:t>
      </w:r>
      <w:r w:rsidR="004515A3" w:rsidRPr="00780E96">
        <w:rPr>
          <w:rFonts w:eastAsia="Arial"/>
        </w:rPr>
        <w:t xml:space="preserve"> the </w:t>
      </w:r>
      <w:r w:rsidR="00057C7B" w:rsidRPr="00780E96">
        <w:rPr>
          <w:rFonts w:eastAsia="Arial"/>
        </w:rPr>
        <w:t xml:space="preserve">average emissions intensity of new power </w:t>
      </w:r>
      <w:r w:rsidR="00F801F7" w:rsidRPr="00780E96">
        <w:rPr>
          <w:rFonts w:eastAsia="Arial"/>
        </w:rPr>
        <w:t>units</w:t>
      </w:r>
      <w:r w:rsidR="00057C7B" w:rsidRPr="00780E96">
        <w:rPr>
          <w:rFonts w:eastAsia="Arial"/>
        </w:rPr>
        <w:t xml:space="preserve"> declin</w:t>
      </w:r>
      <w:r w:rsidR="32071B8B" w:rsidRPr="00780E96">
        <w:rPr>
          <w:rFonts w:eastAsia="Arial"/>
        </w:rPr>
        <w:t>es</w:t>
      </w:r>
      <w:r w:rsidR="00057C7B" w:rsidRPr="00780E96">
        <w:rPr>
          <w:rFonts w:eastAsia="Arial"/>
        </w:rPr>
        <w:t xml:space="preserve"> over time </w:t>
      </w:r>
      <w:r w:rsidR="000043AB" w:rsidRPr="00780E96">
        <w:rPr>
          <w:rFonts w:eastAsia="Arial"/>
        </w:rPr>
        <w:t>due to</w:t>
      </w:r>
      <w:r w:rsidR="00057C7B" w:rsidRPr="00780E96">
        <w:rPr>
          <w:rFonts w:eastAsia="Arial"/>
        </w:rPr>
        <w:t xml:space="preserve"> an increasing share of renewable energy power </w:t>
      </w:r>
      <w:r w:rsidR="006715D9" w:rsidRPr="00780E96">
        <w:rPr>
          <w:rFonts w:eastAsia="Arial"/>
        </w:rPr>
        <w:t>units</w:t>
      </w:r>
      <w:r w:rsidR="0068491E" w:rsidRPr="00780E96">
        <w:rPr>
          <w:rFonts w:eastAsia="Arial"/>
        </w:rPr>
        <w:t>,</w:t>
      </w:r>
      <w:r w:rsidR="00436D5C" w:rsidRPr="00780E96">
        <w:rPr>
          <w:rFonts w:eastAsia="Arial"/>
        </w:rPr>
        <w:t xml:space="preserve"> the use of more efficient power </w:t>
      </w:r>
      <w:r w:rsidR="006715D9" w:rsidRPr="00780E96">
        <w:rPr>
          <w:rFonts w:eastAsia="Arial"/>
        </w:rPr>
        <w:t>units</w:t>
      </w:r>
      <w:r w:rsidR="00ED7C94" w:rsidRPr="00780E96">
        <w:rPr>
          <w:rFonts w:eastAsia="Arial"/>
        </w:rPr>
        <w:t>,</w:t>
      </w:r>
      <w:r w:rsidR="00436D5C" w:rsidRPr="00780E96">
        <w:rPr>
          <w:rFonts w:eastAsia="Arial"/>
        </w:rPr>
        <w:t xml:space="preserve"> and the use of less GHG</w:t>
      </w:r>
      <w:r w:rsidR="0068491E" w:rsidRPr="00780E96">
        <w:rPr>
          <w:rFonts w:eastAsia="Arial"/>
        </w:rPr>
        <w:t>-</w:t>
      </w:r>
      <w:r w:rsidR="00436D5C" w:rsidRPr="00780E96">
        <w:rPr>
          <w:rFonts w:eastAsia="Arial"/>
        </w:rPr>
        <w:t>intensive fuels.</w:t>
      </w:r>
    </w:p>
    <w:p w14:paraId="600FCA97" w14:textId="6F08BACF" w:rsidR="00A87164" w:rsidRPr="00780E96" w:rsidRDefault="002C5422" w:rsidP="00F62D64">
      <w:pPr>
        <w:pStyle w:val="SDMPara"/>
        <w:keepNext/>
        <w:rPr>
          <w:rFonts w:eastAsia="Arial"/>
        </w:rPr>
      </w:pPr>
      <w:r w:rsidRPr="00780E96">
        <w:rPr>
          <w:rFonts w:eastAsia="Arial"/>
        </w:rPr>
        <w:t xml:space="preserve">Activity participants shall </w:t>
      </w:r>
      <w:r w:rsidR="00BA2CCC" w:rsidRPr="00780E96">
        <w:rPr>
          <w:rFonts w:eastAsia="Arial"/>
        </w:rPr>
        <w:t>include</w:t>
      </w:r>
      <w:r w:rsidRPr="00780E96">
        <w:rPr>
          <w:rFonts w:eastAsia="Arial"/>
        </w:rPr>
        <w:t xml:space="preserve"> the following power units </w:t>
      </w:r>
      <w:r w:rsidR="00821622" w:rsidRPr="00780E96">
        <w:rPr>
          <w:rFonts w:eastAsia="Arial"/>
          <w:i/>
        </w:rPr>
        <w:t>p</w:t>
      </w:r>
      <w:r w:rsidRPr="00780E96">
        <w:rPr>
          <w:rFonts w:eastAsia="Arial"/>
        </w:rPr>
        <w:t xml:space="preserve"> in </w:t>
      </w:r>
      <w:r w:rsidR="00616FEF" w:rsidRPr="00780E96">
        <w:rPr>
          <w:rFonts w:eastAsia="Arial"/>
        </w:rPr>
        <w:t>the calculation of</w:t>
      </w:r>
      <w:r w:rsidRPr="00780E96">
        <w:rPr>
          <w:rFonts w:eastAsia="Arial"/>
        </w:rPr>
        <w:t xml:space="preserve"> the BM emission factor:</w:t>
      </w:r>
    </w:p>
    <w:p w14:paraId="58DBE349" w14:textId="40A2DDA8" w:rsidR="002C5422" w:rsidRPr="00780E96" w:rsidRDefault="002C5422" w:rsidP="00F65332">
      <w:pPr>
        <w:pStyle w:val="SDMSubPara1"/>
        <w:rPr>
          <w:rFonts w:eastAsia="Arial"/>
        </w:rPr>
      </w:pPr>
      <w:r w:rsidRPr="00780E96">
        <w:rPr>
          <w:rFonts w:eastAsia="Arial"/>
        </w:rPr>
        <w:t>Where</w:t>
      </w:r>
      <w:r w:rsidRPr="00780E96" w:rsidDel="00D44C39">
        <w:rPr>
          <w:rFonts w:eastAsia="Arial"/>
        </w:rPr>
        <w:t xml:space="preserve"> </w:t>
      </w:r>
      <w:r w:rsidR="00D44C39" w:rsidRPr="00780E96">
        <w:rPr>
          <w:rFonts w:eastAsia="Arial"/>
          <w:b/>
        </w:rPr>
        <w:t>case</w:t>
      </w:r>
      <w:r w:rsidR="00204D05" w:rsidRPr="00780E96">
        <w:rPr>
          <w:rFonts w:eastAsia="Arial"/>
          <w:b/>
        </w:rPr>
        <w:t> </w:t>
      </w:r>
      <w:r w:rsidRPr="00780E96">
        <w:rPr>
          <w:rFonts w:eastAsia="Arial"/>
          <w:b/>
        </w:rPr>
        <w:t>1</w:t>
      </w:r>
      <w:r w:rsidRPr="00780E96">
        <w:rPr>
          <w:rFonts w:eastAsia="Arial"/>
        </w:rPr>
        <w:t xml:space="preserve"> applies</w:t>
      </w:r>
      <w:r w:rsidR="00011BBD" w:rsidRPr="00780E96">
        <w:rPr>
          <w:rFonts w:eastAsia="Arial"/>
        </w:rPr>
        <w:t xml:space="preserve"> and</w:t>
      </w:r>
      <w:r w:rsidRPr="00780E96">
        <w:rPr>
          <w:rFonts w:eastAsia="Arial"/>
        </w:rPr>
        <w:t xml:space="preserve"> the </w:t>
      </w:r>
      <w:r w:rsidR="008D4B92" w:rsidRPr="00780E96">
        <w:rPr>
          <w:rFonts w:eastAsia="Arial"/>
        </w:rPr>
        <w:t xml:space="preserve">electricity generation </w:t>
      </w:r>
      <w:r w:rsidR="0001624C" w:rsidRPr="00780E96">
        <w:rPr>
          <w:rFonts w:eastAsia="Arial"/>
        </w:rPr>
        <w:t xml:space="preserve">source is </w:t>
      </w:r>
      <w:r w:rsidR="0001624C" w:rsidRPr="00780E96" w:rsidDel="00D44C39">
        <w:rPr>
          <w:rFonts w:eastAsia="Arial"/>
        </w:rPr>
        <w:t>intermittent</w:t>
      </w:r>
      <w:r w:rsidR="00D44C39" w:rsidRPr="00780E96">
        <w:rPr>
          <w:rFonts w:eastAsia="Arial"/>
        </w:rPr>
        <w:t>,</w:t>
      </w:r>
      <w:r w:rsidR="0001624C" w:rsidRPr="00780E96">
        <w:rPr>
          <w:rFonts w:eastAsia="Arial"/>
        </w:rPr>
        <w:t xml:space="preserve"> </w:t>
      </w:r>
      <w:r w:rsidR="008D4B92" w:rsidRPr="00780E96">
        <w:rPr>
          <w:rFonts w:eastAsia="Arial"/>
        </w:rPr>
        <w:t xml:space="preserve">or </w:t>
      </w:r>
      <w:r w:rsidR="0001624C" w:rsidRPr="00780E96">
        <w:rPr>
          <w:rFonts w:eastAsia="Arial"/>
        </w:rPr>
        <w:t xml:space="preserve">the </w:t>
      </w:r>
      <w:r w:rsidR="003D530B" w:rsidRPr="00780E96">
        <w:rPr>
          <w:rFonts w:eastAsia="Arial"/>
        </w:rPr>
        <w:t xml:space="preserve">electricity </w:t>
      </w:r>
      <w:r w:rsidR="008D4B92" w:rsidRPr="00780E96">
        <w:rPr>
          <w:rFonts w:eastAsia="Arial"/>
        </w:rPr>
        <w:t xml:space="preserve">consumption </w:t>
      </w:r>
      <w:r w:rsidR="00A37D2C" w:rsidRPr="00780E96">
        <w:rPr>
          <w:rFonts w:eastAsia="Arial"/>
        </w:rPr>
        <w:t>source</w:t>
      </w:r>
      <w:r w:rsidR="008D4B92" w:rsidRPr="00780E96">
        <w:rPr>
          <w:rFonts w:eastAsia="Arial"/>
        </w:rPr>
        <w:t xml:space="preserve"> </w:t>
      </w:r>
      <w:r w:rsidR="003D530B" w:rsidRPr="00780E96">
        <w:rPr>
          <w:rFonts w:eastAsia="Arial"/>
        </w:rPr>
        <w:t>depends</w:t>
      </w:r>
      <w:r w:rsidR="0001624C" w:rsidRPr="00780E96">
        <w:rPr>
          <w:rFonts w:eastAsia="Arial"/>
        </w:rPr>
        <w:t xml:space="preserve"> on intermittent generation</w:t>
      </w:r>
      <w:r w:rsidR="003D530B" w:rsidRPr="00780E96">
        <w:rPr>
          <w:rFonts w:eastAsia="Arial"/>
        </w:rPr>
        <w:t xml:space="preserve">, </w:t>
      </w:r>
      <w:r w:rsidR="00616FEF" w:rsidRPr="00780E96">
        <w:rPr>
          <w:rFonts w:eastAsia="Arial"/>
        </w:rPr>
        <w:t>include</w:t>
      </w:r>
      <w:r w:rsidR="00646525" w:rsidRPr="00780E96">
        <w:rPr>
          <w:rFonts w:eastAsia="Arial"/>
        </w:rPr>
        <w:t xml:space="preserve"> </w:t>
      </w:r>
      <w:r w:rsidR="00011BBD" w:rsidRPr="00780E96">
        <w:rPr>
          <w:rFonts w:eastAsia="Arial"/>
        </w:rPr>
        <w:t>only</w:t>
      </w:r>
      <w:r w:rsidR="00646525" w:rsidRPr="00780E96">
        <w:rPr>
          <w:rFonts w:eastAsia="Arial"/>
        </w:rPr>
        <w:t xml:space="preserve"> </w:t>
      </w:r>
      <w:r w:rsidR="00B343F7" w:rsidRPr="00780E96">
        <w:rPr>
          <w:rFonts w:eastAsia="Arial"/>
        </w:rPr>
        <w:t xml:space="preserve">non-intermittent </w:t>
      </w:r>
      <w:r w:rsidR="00ED4615" w:rsidRPr="00780E96">
        <w:rPr>
          <w:rFonts w:eastAsia="Arial"/>
        </w:rPr>
        <w:t>electricity generation sources</w:t>
      </w:r>
      <w:r w:rsidR="00FE61D8" w:rsidRPr="00780E96">
        <w:rPr>
          <w:rFonts w:eastAsia="Arial"/>
        </w:rPr>
        <w:t>;</w:t>
      </w:r>
      <w:r w:rsidR="00BA2CCC" w:rsidRPr="00780E96">
        <w:rPr>
          <w:rFonts w:eastAsia="Arial"/>
        </w:rPr>
        <w:t xml:space="preserve"> </w:t>
      </w:r>
      <w:r w:rsidR="00D26582" w:rsidRPr="00780E96">
        <w:rPr>
          <w:rFonts w:eastAsia="Arial"/>
        </w:rPr>
        <w:t>or</w:t>
      </w:r>
    </w:p>
    <w:p w14:paraId="06AB5EF6" w14:textId="3CF39800" w:rsidR="00BA2CCC" w:rsidRPr="00780E96" w:rsidRDefault="00BA2CCC" w:rsidP="00F65332">
      <w:pPr>
        <w:pStyle w:val="SDMSubPara1"/>
        <w:rPr>
          <w:rFonts w:eastAsia="Arial"/>
        </w:rPr>
      </w:pPr>
      <w:r w:rsidRPr="00780E96">
        <w:rPr>
          <w:rFonts w:eastAsia="Arial"/>
        </w:rPr>
        <w:t>In all other situations</w:t>
      </w:r>
      <w:r w:rsidR="00FE61D8" w:rsidRPr="00780E96">
        <w:rPr>
          <w:rFonts w:eastAsia="Arial"/>
        </w:rPr>
        <w:t xml:space="preserve">, </w:t>
      </w:r>
      <w:r w:rsidRPr="00780E96">
        <w:rPr>
          <w:rFonts w:eastAsia="Arial"/>
        </w:rPr>
        <w:t>include all power units</w:t>
      </w:r>
      <w:r w:rsidR="00011BBD" w:rsidRPr="00780E96">
        <w:rPr>
          <w:rFonts w:eastAsia="Arial"/>
        </w:rPr>
        <w:t>.</w:t>
      </w:r>
    </w:p>
    <w:p w14:paraId="7766A502" w14:textId="6D2CEBD4" w:rsidR="00D27A0A" w:rsidRPr="00780E96" w:rsidRDefault="00B82182" w:rsidP="00F62D64">
      <w:pPr>
        <w:pStyle w:val="SDMPara"/>
        <w:keepNext/>
        <w:rPr>
          <w:rFonts w:eastAsia="Arial"/>
        </w:rPr>
      </w:pPr>
      <w:bookmarkStart w:id="656" w:name="_Ref216178663"/>
      <w:r w:rsidRPr="00780E96">
        <w:rPr>
          <w:rFonts w:eastAsia="Arial"/>
        </w:rPr>
        <w:t>A</w:t>
      </w:r>
      <w:r w:rsidR="00B244F6" w:rsidRPr="00780E96">
        <w:rPr>
          <w:rFonts w:eastAsia="Arial"/>
        </w:rPr>
        <w:t>ctivity participants</w:t>
      </w:r>
      <w:r w:rsidR="000C7E52" w:rsidRPr="00780E96">
        <w:rPr>
          <w:rFonts w:eastAsia="Arial"/>
        </w:rPr>
        <w:t xml:space="preserve"> shall determine </w:t>
      </w:r>
      <w:r w:rsidR="00425BFE" w:rsidRPr="00780E96">
        <w:rPr>
          <w:rFonts w:eastAsia="Arial"/>
        </w:rPr>
        <w:t xml:space="preserve">the reference period </w:t>
      </w:r>
      <w:r w:rsidR="00FE61D8" w:rsidRPr="00780E96">
        <w:rPr>
          <w:rFonts w:eastAsia="Arial"/>
        </w:rPr>
        <w:t>for calculating</w:t>
      </w:r>
      <w:r w:rsidR="00425BFE" w:rsidRPr="00780E96">
        <w:rPr>
          <w:rFonts w:eastAsia="Arial"/>
        </w:rPr>
        <w:t xml:space="preserve"> </w:t>
      </w:r>
      <w:r w:rsidR="000C7E52" w:rsidRPr="00780E96">
        <w:rPr>
          <w:rFonts w:eastAsia="Arial"/>
        </w:rPr>
        <w:t>the BM emission factor</w:t>
      </w:r>
      <w:r w:rsidR="00425BFE" w:rsidRPr="00780E96">
        <w:rPr>
          <w:rFonts w:eastAsia="Arial"/>
        </w:rPr>
        <w:t xml:space="preserve"> as follows</w:t>
      </w:r>
      <w:r w:rsidR="000C7E52" w:rsidRPr="00780E96">
        <w:rPr>
          <w:rFonts w:eastAsia="Arial"/>
        </w:rPr>
        <w:t>:</w:t>
      </w:r>
      <w:bookmarkEnd w:id="656"/>
    </w:p>
    <w:p w14:paraId="37D52CEC" w14:textId="324AA970" w:rsidR="004E3382" w:rsidRPr="00780E96" w:rsidRDefault="004E3382" w:rsidP="00F65332">
      <w:pPr>
        <w:pStyle w:val="SDMSubPara1"/>
        <w:rPr>
          <w:rFonts w:eastAsia="Arial"/>
        </w:rPr>
      </w:pPr>
      <w:r w:rsidRPr="00780E96">
        <w:rPr>
          <w:rFonts w:eastAsia="Arial"/>
        </w:rPr>
        <w:t xml:space="preserve">Determine the calendar year in which the Article 6.4 </w:t>
      </w:r>
      <w:r w:rsidR="00D46057" w:rsidRPr="00780E96">
        <w:rPr>
          <w:rFonts w:eastAsia="Arial"/>
        </w:rPr>
        <w:t xml:space="preserve">project or CP </w:t>
      </w:r>
      <w:r w:rsidRPr="00780E96">
        <w:rPr>
          <w:rFonts w:eastAsia="Arial"/>
        </w:rPr>
        <w:t>start</w:t>
      </w:r>
      <w:r w:rsidR="00933A9A" w:rsidRPr="00780E96">
        <w:rPr>
          <w:rFonts w:hint="eastAsia"/>
          <w:lang w:eastAsia="ja-JP"/>
        </w:rPr>
        <w:t>ed</w:t>
      </w:r>
      <w:r w:rsidRPr="00780E96">
        <w:rPr>
          <w:rFonts w:eastAsia="Arial"/>
        </w:rPr>
        <w:t xml:space="preserve"> operation, hereinafter referred to as year</w:t>
      </w:r>
      <w:r w:rsidR="00D5077E" w:rsidRPr="00780E96">
        <w:rPr>
          <w:rFonts w:eastAsia="Arial"/>
        </w:rPr>
        <w:t> </w:t>
      </w:r>
      <w:r w:rsidRPr="00780E96">
        <w:rPr>
          <w:rFonts w:eastAsia="Arial"/>
          <w:i/>
          <w:iCs/>
        </w:rPr>
        <w:t>x</w:t>
      </w:r>
      <w:r w:rsidR="00D5077E" w:rsidRPr="00780E96">
        <w:rPr>
          <w:rFonts w:eastAsia="Arial"/>
        </w:rPr>
        <w:t>;</w:t>
      </w:r>
    </w:p>
    <w:p w14:paraId="342B17C6" w14:textId="77777777" w:rsidR="00924518" w:rsidRPr="00780E96" w:rsidRDefault="00BA42BB" w:rsidP="00F65332">
      <w:pPr>
        <w:pStyle w:val="SDMSubPara1"/>
        <w:rPr>
          <w:rFonts w:eastAsia="Arial"/>
        </w:rPr>
      </w:pPr>
      <w:r w:rsidRPr="00780E96">
        <w:rPr>
          <w:rFonts w:eastAsia="Arial"/>
        </w:rPr>
        <w:t xml:space="preserve">Determine </w:t>
      </w:r>
      <w:r w:rsidR="00AF7B08" w:rsidRPr="00780E96">
        <w:rPr>
          <w:rFonts w:eastAsia="Arial"/>
        </w:rPr>
        <w:t>the most recent calendar year for which data</w:t>
      </w:r>
      <w:r w:rsidR="006F093F" w:rsidRPr="00780E96">
        <w:rPr>
          <w:rFonts w:eastAsia="Arial"/>
        </w:rPr>
        <w:t xml:space="preserve"> </w:t>
      </w:r>
      <w:r w:rsidR="004726B9" w:rsidRPr="00780E96">
        <w:rPr>
          <w:rFonts w:eastAsia="Arial"/>
        </w:rPr>
        <w:t xml:space="preserve">are </w:t>
      </w:r>
      <w:r w:rsidR="006F093F" w:rsidRPr="00780E96">
        <w:rPr>
          <w:rFonts w:eastAsia="Arial"/>
        </w:rPr>
        <w:t>available</w:t>
      </w:r>
      <w:r w:rsidR="00AF7B08" w:rsidRPr="00780E96">
        <w:rPr>
          <w:rFonts w:eastAsia="Arial"/>
        </w:rPr>
        <w:t xml:space="preserve"> on </w:t>
      </w:r>
      <w:r w:rsidR="00B42EF1" w:rsidRPr="00780E96">
        <w:rPr>
          <w:rFonts w:eastAsia="Arial"/>
        </w:rPr>
        <w:t xml:space="preserve">new power units </w:t>
      </w:r>
      <w:r w:rsidR="006F093F" w:rsidRPr="00780E96">
        <w:rPr>
          <w:rFonts w:eastAsia="Arial"/>
        </w:rPr>
        <w:t xml:space="preserve">that </w:t>
      </w:r>
      <w:r w:rsidR="00B42EF1" w:rsidRPr="00780E96">
        <w:rPr>
          <w:rFonts w:eastAsia="Arial"/>
        </w:rPr>
        <w:t>start</w:t>
      </w:r>
      <w:r w:rsidR="006F093F" w:rsidRPr="00780E96">
        <w:rPr>
          <w:rFonts w:eastAsia="Arial"/>
        </w:rPr>
        <w:t xml:space="preserve">ed </w:t>
      </w:r>
      <w:r w:rsidR="004726B9" w:rsidRPr="00780E96">
        <w:rPr>
          <w:rFonts w:eastAsia="Arial"/>
        </w:rPr>
        <w:t>supplying</w:t>
      </w:r>
      <w:r w:rsidR="006F093F" w:rsidRPr="00780E96">
        <w:rPr>
          <w:rFonts w:eastAsia="Arial"/>
        </w:rPr>
        <w:t xml:space="preserve"> electricity to </w:t>
      </w:r>
      <w:r w:rsidR="00B42EF1" w:rsidRPr="00780E96">
        <w:rPr>
          <w:rFonts w:eastAsia="Arial"/>
        </w:rPr>
        <w:t>the electricity system</w:t>
      </w:r>
      <w:r w:rsidR="00240EF5" w:rsidRPr="00780E96">
        <w:rPr>
          <w:rFonts w:eastAsia="Arial"/>
        </w:rPr>
        <w:t>, hereinafter referred to as year</w:t>
      </w:r>
      <w:r w:rsidR="00D5077E" w:rsidRPr="00780E96">
        <w:rPr>
          <w:rFonts w:eastAsia="Arial"/>
        </w:rPr>
        <w:t> </w:t>
      </w:r>
      <w:r w:rsidR="00240EF5" w:rsidRPr="00780E96">
        <w:rPr>
          <w:rFonts w:eastAsia="Arial"/>
          <w:i/>
          <w:iCs/>
        </w:rPr>
        <w:t>z</w:t>
      </w:r>
      <w:r w:rsidR="00D5077E" w:rsidRPr="00780E96">
        <w:rPr>
          <w:rFonts w:eastAsia="Arial"/>
        </w:rPr>
        <w:t>;</w:t>
      </w:r>
    </w:p>
    <w:p w14:paraId="2D1CFD90" w14:textId="59267A35" w:rsidR="00AA4FB8" w:rsidRPr="00780E96" w:rsidRDefault="00AA4FB8" w:rsidP="00F62D64">
      <w:pPr>
        <w:pStyle w:val="SDMSubPara1"/>
        <w:keepNext/>
        <w:rPr>
          <w:rFonts w:eastAsia="Arial"/>
        </w:rPr>
      </w:pPr>
      <w:r w:rsidRPr="00780E96">
        <w:rPr>
          <w:rFonts w:eastAsia="Arial"/>
        </w:rPr>
        <w:t>Determine an initial three</w:t>
      </w:r>
      <w:r w:rsidR="00311774" w:rsidRPr="00780E96">
        <w:rPr>
          <w:rFonts w:eastAsia="Arial"/>
        </w:rPr>
        <w:t>-</w:t>
      </w:r>
      <w:r w:rsidRPr="00780E96">
        <w:rPr>
          <w:rFonts w:eastAsia="Arial"/>
        </w:rPr>
        <w:t xml:space="preserve">year </w:t>
      </w:r>
      <w:r w:rsidR="00311774" w:rsidRPr="00780E96">
        <w:rPr>
          <w:rFonts w:eastAsia="Arial"/>
        </w:rPr>
        <w:t xml:space="preserve">reference </w:t>
      </w:r>
      <w:r w:rsidRPr="00780E96">
        <w:rPr>
          <w:rFonts w:eastAsia="Arial"/>
        </w:rPr>
        <w:t xml:space="preserve">period, either as </w:t>
      </w:r>
      <w:r w:rsidR="004726B9" w:rsidRPr="00780E96">
        <w:rPr>
          <w:rFonts w:eastAsia="Arial"/>
        </w:rPr>
        <w:t xml:space="preserve">a </w:t>
      </w:r>
      <w:r w:rsidR="00B40C20" w:rsidRPr="00780E96">
        <w:rPr>
          <w:rFonts w:eastAsia="Arial"/>
        </w:rPr>
        <w:t>con</w:t>
      </w:r>
      <w:r w:rsidRPr="00780E96">
        <w:rPr>
          <w:rFonts w:eastAsia="Arial"/>
        </w:rPr>
        <w:t>current or historical reference period, as follows:</w:t>
      </w:r>
    </w:p>
    <w:p w14:paraId="4C384338" w14:textId="75530BF2" w:rsidR="00AA4FB8" w:rsidRPr="00780E96" w:rsidRDefault="00B40C20" w:rsidP="00B15AC9">
      <w:pPr>
        <w:pStyle w:val="SDMSubPara2"/>
      </w:pPr>
      <w:r w:rsidRPr="00780E96">
        <w:rPr>
          <w:rFonts w:eastAsia="Arial"/>
          <w:b/>
        </w:rPr>
        <w:t>Conc</w:t>
      </w:r>
      <w:r w:rsidR="00AA4FB8" w:rsidRPr="00780E96">
        <w:rPr>
          <w:rFonts w:eastAsia="Arial"/>
          <w:b/>
        </w:rPr>
        <w:t>urrent reference period</w:t>
      </w:r>
      <w:r w:rsidR="00AA4FB8" w:rsidRPr="00780E96">
        <w:rPr>
          <w:rFonts w:eastAsia="Arial"/>
        </w:rPr>
        <w:t xml:space="preserve">: </w:t>
      </w:r>
      <w:r w:rsidR="004D5EE3" w:rsidRPr="00780E96">
        <w:rPr>
          <w:rFonts w:eastAsia="Arial"/>
        </w:rPr>
        <w:t xml:space="preserve">where </w:t>
      </w:r>
      <w:r w:rsidR="00AA4FB8" w:rsidRPr="00780E96">
        <w:rPr>
          <w:rFonts w:eastAsia="Arial"/>
          <w:i/>
          <w:iCs/>
        </w:rPr>
        <w:t>z</w:t>
      </w:r>
      <w:r w:rsidR="00AA4FB8" w:rsidRPr="00780E96">
        <w:rPr>
          <w:rFonts w:eastAsia="Arial"/>
        </w:rPr>
        <w:t> </w:t>
      </w:r>
      <w:r w:rsidR="005024F3" w:rsidRPr="00780E96">
        <w:rPr>
          <w:rFonts w:eastAsia="Arial"/>
        </w:rPr>
        <w:t>≥</w:t>
      </w:r>
      <w:r w:rsidR="00AA4FB8" w:rsidRPr="00780E96">
        <w:rPr>
          <w:rFonts w:eastAsia="Arial"/>
        </w:rPr>
        <w:t> </w:t>
      </w:r>
      <w:r w:rsidR="00AA4FB8" w:rsidRPr="00780E96">
        <w:rPr>
          <w:rFonts w:eastAsia="Arial"/>
          <w:i/>
          <w:iCs/>
        </w:rPr>
        <w:t>x</w:t>
      </w:r>
      <w:r w:rsidR="00AA4FB8" w:rsidRPr="00780E96">
        <w:rPr>
          <w:rFonts w:eastAsia="Arial"/>
        </w:rPr>
        <w:t>+1, determine the initial reference period as the three-year period covering the calendar year before</w:t>
      </w:r>
      <w:r w:rsidR="00A66907" w:rsidRPr="00780E96">
        <w:rPr>
          <w:rFonts w:eastAsia="Arial"/>
        </w:rPr>
        <w:t>,</w:t>
      </w:r>
      <w:r w:rsidR="00412BF4" w:rsidRPr="00780E96">
        <w:rPr>
          <w:rFonts w:eastAsia="Arial"/>
        </w:rPr>
        <w:t xml:space="preserve"> during,</w:t>
      </w:r>
      <w:r w:rsidR="00AA4FB8" w:rsidRPr="00780E96">
        <w:rPr>
          <w:rFonts w:eastAsia="Arial"/>
        </w:rPr>
        <w:t xml:space="preserve"> and after </w:t>
      </w:r>
      <w:r w:rsidR="00AA4FB8" w:rsidRPr="00780E96" w:rsidDel="00412BF4">
        <w:rPr>
          <w:rFonts w:eastAsia="Arial"/>
        </w:rPr>
        <w:t xml:space="preserve">the </w:t>
      </w:r>
      <w:r w:rsidR="00AA4FB8" w:rsidRPr="00780E96">
        <w:rPr>
          <w:rFonts w:eastAsia="Arial"/>
        </w:rPr>
        <w:t xml:space="preserve">start of operation of the Article 6.4 </w:t>
      </w:r>
      <w:r w:rsidR="00D46057" w:rsidRPr="00780E96">
        <w:rPr>
          <w:rFonts w:eastAsia="Arial"/>
        </w:rPr>
        <w:t xml:space="preserve">project or CP </w:t>
      </w:r>
      <w:r w:rsidR="00AA4FB8" w:rsidRPr="00780E96">
        <w:rPr>
          <w:rFonts w:eastAsia="Arial"/>
        </w:rPr>
        <w:t>(i.e.</w:t>
      </w:r>
      <w:r w:rsidR="6F5A519E" w:rsidRPr="00780E96">
        <w:rPr>
          <w:rFonts w:eastAsia="Arial"/>
        </w:rPr>
        <w:t>,</w:t>
      </w:r>
      <w:r w:rsidR="00AA4FB8" w:rsidRPr="00780E96">
        <w:rPr>
          <w:rFonts w:eastAsia="Arial"/>
        </w:rPr>
        <w:t xml:space="preserve"> the period covering the calendar years </w:t>
      </w:r>
      <w:r w:rsidR="00AA4FB8" w:rsidRPr="00780E96">
        <w:rPr>
          <w:rFonts w:eastAsia="Arial"/>
          <w:i/>
          <w:iCs/>
        </w:rPr>
        <w:t>x-1</w:t>
      </w:r>
      <w:r w:rsidR="00AA4FB8" w:rsidRPr="00780E96">
        <w:rPr>
          <w:rFonts w:eastAsia="Arial"/>
        </w:rPr>
        <w:t xml:space="preserve">, </w:t>
      </w:r>
      <w:r w:rsidR="00AA4FB8" w:rsidRPr="00780E96">
        <w:rPr>
          <w:rFonts w:eastAsia="Arial"/>
          <w:i/>
          <w:iCs/>
        </w:rPr>
        <w:t>x</w:t>
      </w:r>
      <w:r w:rsidR="00AA4FB8" w:rsidRPr="00780E96">
        <w:rPr>
          <w:rFonts w:eastAsia="Arial"/>
        </w:rPr>
        <w:t xml:space="preserve"> and </w:t>
      </w:r>
      <w:r w:rsidR="00AA4FB8" w:rsidRPr="00780E96">
        <w:rPr>
          <w:rFonts w:eastAsia="Arial"/>
          <w:i/>
          <w:iCs/>
        </w:rPr>
        <w:t>x+1</w:t>
      </w:r>
      <w:r w:rsidR="00AA4FB8" w:rsidRPr="00780E96">
        <w:rPr>
          <w:rFonts w:eastAsia="Arial"/>
        </w:rPr>
        <w:t>)</w:t>
      </w:r>
      <w:r w:rsidR="00D5077E" w:rsidRPr="00780E96">
        <w:rPr>
          <w:rFonts w:eastAsia="Arial"/>
        </w:rPr>
        <w:t>;</w:t>
      </w:r>
      <w:r w:rsidR="00EF55FE" w:rsidRPr="00780E96">
        <w:rPr>
          <w:rFonts w:eastAsia="Arial"/>
        </w:rPr>
        <w:t xml:space="preserve"> or</w:t>
      </w:r>
    </w:p>
    <w:p w14:paraId="2577A73E" w14:textId="431E44DB" w:rsidR="00AA4FB8" w:rsidRPr="00780E96" w:rsidRDefault="00AA4FB8" w:rsidP="00F65332">
      <w:pPr>
        <w:pStyle w:val="SDMSubPara2"/>
        <w:rPr>
          <w:rFonts w:eastAsia="Arial"/>
        </w:rPr>
      </w:pPr>
      <w:r w:rsidRPr="00780E96">
        <w:rPr>
          <w:rFonts w:eastAsia="Arial"/>
          <w:b/>
        </w:rPr>
        <w:t>Historical refe</w:t>
      </w:r>
      <w:r w:rsidR="00311774" w:rsidRPr="00780E96">
        <w:rPr>
          <w:rFonts w:eastAsia="Arial"/>
          <w:b/>
        </w:rPr>
        <w:t>re</w:t>
      </w:r>
      <w:r w:rsidRPr="00780E96">
        <w:rPr>
          <w:rFonts w:eastAsia="Arial"/>
          <w:b/>
        </w:rPr>
        <w:t>nce period</w:t>
      </w:r>
      <w:r w:rsidRPr="00780E96">
        <w:rPr>
          <w:rFonts w:eastAsia="Arial"/>
        </w:rPr>
        <w:t xml:space="preserve">: </w:t>
      </w:r>
      <w:r w:rsidR="004D5EE3" w:rsidRPr="00780E96">
        <w:rPr>
          <w:rFonts w:eastAsia="Arial"/>
        </w:rPr>
        <w:t xml:space="preserve">where </w:t>
      </w:r>
      <w:r w:rsidRPr="00780E96">
        <w:rPr>
          <w:rFonts w:eastAsia="Arial"/>
          <w:i/>
          <w:iCs/>
        </w:rPr>
        <w:t>z</w:t>
      </w:r>
      <w:r w:rsidRPr="00780E96">
        <w:rPr>
          <w:rFonts w:eastAsia="Arial"/>
        </w:rPr>
        <w:t> &lt; </w:t>
      </w:r>
      <w:r w:rsidRPr="00780E96">
        <w:rPr>
          <w:rFonts w:eastAsia="Arial"/>
          <w:i/>
          <w:iCs/>
        </w:rPr>
        <w:t>x</w:t>
      </w:r>
      <w:r w:rsidRPr="00780E96">
        <w:rPr>
          <w:rFonts w:eastAsia="Arial"/>
        </w:rPr>
        <w:t xml:space="preserve">+1, determine the initial reference period as the </w:t>
      </w:r>
      <w:r w:rsidR="00010B5E" w:rsidRPr="00780E96">
        <w:rPr>
          <w:rFonts w:eastAsia="Arial"/>
        </w:rPr>
        <w:t xml:space="preserve">most recent </w:t>
      </w:r>
      <w:r w:rsidRPr="00780E96">
        <w:rPr>
          <w:rFonts w:eastAsia="Arial"/>
        </w:rPr>
        <w:t xml:space="preserve">three-year period for which data </w:t>
      </w:r>
      <w:r w:rsidR="00010B5E" w:rsidRPr="00780E96">
        <w:rPr>
          <w:rFonts w:eastAsia="Arial"/>
        </w:rPr>
        <w:t xml:space="preserve">are </w:t>
      </w:r>
      <w:r w:rsidRPr="00780E96">
        <w:rPr>
          <w:rFonts w:eastAsia="Arial"/>
        </w:rPr>
        <w:t>available (i.e.</w:t>
      </w:r>
      <w:r w:rsidR="36FDB849" w:rsidRPr="00780E96">
        <w:rPr>
          <w:rFonts w:eastAsia="Arial"/>
        </w:rPr>
        <w:t>,</w:t>
      </w:r>
      <w:r w:rsidRPr="00780E96">
        <w:rPr>
          <w:rFonts w:eastAsia="Arial"/>
        </w:rPr>
        <w:t xml:space="preserve"> the period covering the calendar years </w:t>
      </w:r>
      <w:r w:rsidRPr="00780E96">
        <w:rPr>
          <w:rFonts w:eastAsia="Arial"/>
          <w:i/>
          <w:iCs/>
        </w:rPr>
        <w:t>z-2</w:t>
      </w:r>
      <w:r w:rsidRPr="00780E96">
        <w:rPr>
          <w:rFonts w:eastAsia="Arial"/>
        </w:rPr>
        <w:t xml:space="preserve">, </w:t>
      </w:r>
      <w:r w:rsidRPr="00780E96">
        <w:rPr>
          <w:rFonts w:eastAsia="Arial"/>
          <w:i/>
          <w:iCs/>
        </w:rPr>
        <w:t>z-1</w:t>
      </w:r>
      <w:r w:rsidRPr="00780E96">
        <w:rPr>
          <w:rFonts w:eastAsia="Arial"/>
        </w:rPr>
        <w:t xml:space="preserve"> and </w:t>
      </w:r>
      <w:r w:rsidRPr="00780E96">
        <w:rPr>
          <w:rFonts w:eastAsia="Arial"/>
          <w:i/>
          <w:iCs/>
        </w:rPr>
        <w:t>z</w:t>
      </w:r>
      <w:r w:rsidRPr="00780E96">
        <w:rPr>
          <w:rFonts w:eastAsia="Arial"/>
        </w:rPr>
        <w:t>)</w:t>
      </w:r>
      <w:r w:rsidR="00EF55FE" w:rsidRPr="00780E96">
        <w:rPr>
          <w:rFonts w:eastAsia="Arial"/>
        </w:rPr>
        <w:t>;</w:t>
      </w:r>
    </w:p>
    <w:p w14:paraId="7A57BE93" w14:textId="6E2F0267" w:rsidR="00506027" w:rsidRPr="00780E96" w:rsidRDefault="00506027" w:rsidP="00F65332">
      <w:pPr>
        <w:pStyle w:val="SDMSubPara1"/>
        <w:rPr>
          <w:rFonts w:eastAsia="Arial"/>
        </w:rPr>
      </w:pPr>
      <w:r w:rsidRPr="00780E96">
        <w:rPr>
          <w:rFonts w:eastAsia="Arial"/>
        </w:rPr>
        <w:t xml:space="preserve">Identify the </w:t>
      </w:r>
      <w:r w:rsidR="00286A6B" w:rsidRPr="00780E96">
        <w:rPr>
          <w:rFonts w:eastAsia="Arial"/>
        </w:rPr>
        <w:t xml:space="preserve">total </w:t>
      </w:r>
      <w:r w:rsidR="00EF55FE" w:rsidRPr="00780E96">
        <w:rPr>
          <w:rFonts w:eastAsia="Arial"/>
        </w:rPr>
        <w:t xml:space="preserve">installed </w:t>
      </w:r>
      <w:r w:rsidRPr="00780E96">
        <w:rPr>
          <w:rFonts w:eastAsia="Arial"/>
        </w:rPr>
        <w:t xml:space="preserve">capacity of all power </w:t>
      </w:r>
      <w:r w:rsidR="00F801F7" w:rsidRPr="00780E96">
        <w:rPr>
          <w:rFonts w:eastAsia="Arial"/>
        </w:rPr>
        <w:t>units</w:t>
      </w:r>
      <w:r w:rsidRPr="00780E96">
        <w:rPr>
          <w:rFonts w:eastAsia="Arial"/>
        </w:rPr>
        <w:t xml:space="preserve"> in the electricity system </w:t>
      </w:r>
      <w:r w:rsidR="00D04179" w:rsidRPr="00780E96">
        <w:rPr>
          <w:rFonts w:eastAsia="Arial"/>
        </w:rPr>
        <w:t>(</w:t>
      </w:r>
      <w:r w:rsidR="00A26334" w:rsidRPr="00780E96">
        <w:rPr>
          <w:rFonts w:eastAsia="Arial"/>
        </w:rPr>
        <w:t>MW</w:t>
      </w:r>
      <w:r w:rsidR="00D04179" w:rsidRPr="00780E96">
        <w:rPr>
          <w:rFonts w:eastAsia="Arial"/>
        </w:rPr>
        <w:t>)</w:t>
      </w:r>
      <w:r w:rsidR="00A26334" w:rsidRPr="00780E96">
        <w:rPr>
          <w:rFonts w:eastAsia="Arial"/>
        </w:rPr>
        <w:t xml:space="preserve"> </w:t>
      </w:r>
      <w:r w:rsidRPr="00780E96">
        <w:rPr>
          <w:rFonts w:eastAsia="Arial"/>
        </w:rPr>
        <w:t xml:space="preserve">at the end of the </w:t>
      </w:r>
      <w:r w:rsidR="008570F4" w:rsidRPr="00780E96">
        <w:rPr>
          <w:rFonts w:eastAsia="Arial"/>
        </w:rPr>
        <w:t xml:space="preserve">initial </w:t>
      </w:r>
      <w:r w:rsidRPr="00780E96">
        <w:rPr>
          <w:rFonts w:eastAsia="Arial"/>
        </w:rPr>
        <w:t>reference perio</w:t>
      </w:r>
      <w:r w:rsidR="00FF54B7" w:rsidRPr="00780E96">
        <w:rPr>
          <w:rFonts w:eastAsia="Arial"/>
        </w:rPr>
        <w:t xml:space="preserve">d, hereinafter referred to as </w:t>
      </w:r>
      <w:r w:rsidR="00FF54B7" w:rsidRPr="00780E96">
        <w:rPr>
          <w:rFonts w:eastAsia="Arial"/>
          <w:i/>
          <w:iCs/>
        </w:rPr>
        <w:t>P</w:t>
      </w:r>
      <w:r w:rsidR="00AF45E6" w:rsidRPr="00780E96">
        <w:rPr>
          <w:rFonts w:eastAsia="Arial"/>
          <w:i/>
          <w:iCs/>
          <w:vertAlign w:val="subscript"/>
        </w:rPr>
        <w:t>EL,total</w:t>
      </w:r>
      <w:r w:rsidR="00D5077E" w:rsidRPr="00780E96">
        <w:rPr>
          <w:rFonts w:eastAsia="Arial"/>
        </w:rPr>
        <w:t>;</w:t>
      </w:r>
    </w:p>
    <w:p w14:paraId="1337116E" w14:textId="47C4F901" w:rsidR="00540AD2" w:rsidRPr="00780E96" w:rsidRDefault="0004696D" w:rsidP="00F65332">
      <w:pPr>
        <w:pStyle w:val="SDMSubPara1"/>
        <w:rPr>
          <w:rFonts w:eastAsia="Arial"/>
        </w:rPr>
      </w:pPr>
      <w:r w:rsidRPr="00780E96">
        <w:rPr>
          <w:rFonts w:eastAsia="Arial"/>
        </w:rPr>
        <w:t xml:space="preserve">Identify all power </w:t>
      </w:r>
      <w:r w:rsidR="00F801F7" w:rsidRPr="00780E96">
        <w:rPr>
          <w:rFonts w:eastAsia="Arial"/>
        </w:rPr>
        <w:t>units</w:t>
      </w:r>
      <w:r w:rsidR="00803F5F" w:rsidRPr="00780E96">
        <w:rPr>
          <w:rFonts w:eastAsia="Arial"/>
        </w:rPr>
        <w:t> </w:t>
      </w:r>
      <w:r w:rsidR="00E05367" w:rsidRPr="00780E96">
        <w:rPr>
          <w:rFonts w:eastAsia="Arial"/>
          <w:i/>
          <w:iCs/>
        </w:rPr>
        <w:t>p</w:t>
      </w:r>
      <w:r w:rsidR="00540AD2" w:rsidRPr="00780E96">
        <w:rPr>
          <w:rFonts w:eastAsia="Arial"/>
        </w:rPr>
        <w:t xml:space="preserve"> that started </w:t>
      </w:r>
      <w:r w:rsidR="00F801F7" w:rsidRPr="00780E96">
        <w:rPr>
          <w:rFonts w:eastAsia="Arial"/>
        </w:rPr>
        <w:t>supply</w:t>
      </w:r>
      <w:r w:rsidR="000B11F4" w:rsidRPr="00780E96">
        <w:rPr>
          <w:rFonts w:eastAsia="Arial"/>
        </w:rPr>
        <w:t>ing</w:t>
      </w:r>
      <w:r w:rsidR="00F801F7" w:rsidRPr="00780E96">
        <w:rPr>
          <w:rFonts w:eastAsia="Arial"/>
        </w:rPr>
        <w:t xml:space="preserve"> electricity to the electricity system </w:t>
      </w:r>
      <w:r w:rsidR="00FE588B" w:rsidRPr="00780E96">
        <w:rPr>
          <w:rFonts w:eastAsia="Arial"/>
        </w:rPr>
        <w:t xml:space="preserve">during </w:t>
      </w:r>
      <w:r w:rsidR="00540AD2" w:rsidRPr="00780E96">
        <w:rPr>
          <w:rFonts w:eastAsia="Arial"/>
        </w:rPr>
        <w:t xml:space="preserve">the </w:t>
      </w:r>
      <w:r w:rsidR="008570F4" w:rsidRPr="00780E96">
        <w:rPr>
          <w:rFonts w:eastAsia="Arial"/>
        </w:rPr>
        <w:t xml:space="preserve">initial </w:t>
      </w:r>
      <w:r w:rsidR="00540AD2" w:rsidRPr="00780E96">
        <w:rPr>
          <w:rFonts w:eastAsia="Arial"/>
        </w:rPr>
        <w:t>reference perio</w:t>
      </w:r>
      <w:r w:rsidR="00BE2046" w:rsidRPr="00780E96">
        <w:rPr>
          <w:rFonts w:eastAsia="Arial"/>
        </w:rPr>
        <w:t>d</w:t>
      </w:r>
      <w:r w:rsidR="00473F4A" w:rsidRPr="00780E96">
        <w:rPr>
          <w:rFonts w:eastAsia="Arial"/>
        </w:rPr>
        <w:t xml:space="preserve"> and </w:t>
      </w:r>
      <w:r w:rsidR="001B76AB" w:rsidRPr="00780E96">
        <w:rPr>
          <w:rFonts w:eastAsia="Arial"/>
        </w:rPr>
        <w:t>determine the</w:t>
      </w:r>
      <w:r w:rsidR="00FE588B" w:rsidRPr="00780E96">
        <w:rPr>
          <w:rFonts w:eastAsia="Arial"/>
        </w:rPr>
        <w:t>ir</w:t>
      </w:r>
      <w:r w:rsidR="001B76AB" w:rsidRPr="00780E96">
        <w:rPr>
          <w:rFonts w:eastAsia="Arial"/>
        </w:rPr>
        <w:t xml:space="preserve"> total </w:t>
      </w:r>
      <w:r w:rsidR="00BF13E5" w:rsidRPr="00780E96">
        <w:rPr>
          <w:rFonts w:eastAsia="Arial"/>
        </w:rPr>
        <w:t>installed</w:t>
      </w:r>
      <w:r w:rsidR="00280ECC" w:rsidRPr="00780E96">
        <w:rPr>
          <w:rFonts w:eastAsia="Arial"/>
        </w:rPr>
        <w:t xml:space="preserve"> capacity </w:t>
      </w:r>
      <w:r w:rsidR="002C28DF" w:rsidRPr="00780E96">
        <w:rPr>
          <w:rFonts w:eastAsia="Arial"/>
        </w:rPr>
        <w:t>(</w:t>
      </w:r>
      <w:r w:rsidR="00280ECC" w:rsidRPr="00780E96">
        <w:rPr>
          <w:rFonts w:eastAsia="Arial"/>
        </w:rPr>
        <w:t>MW</w:t>
      </w:r>
      <w:r w:rsidR="002C28DF" w:rsidRPr="00780E96">
        <w:rPr>
          <w:rFonts w:eastAsia="Arial"/>
        </w:rPr>
        <w:t>)</w:t>
      </w:r>
      <w:r w:rsidR="00280ECC" w:rsidRPr="00780E96">
        <w:rPr>
          <w:rFonts w:eastAsia="Arial"/>
        </w:rPr>
        <w:t xml:space="preserve">, hereinafter referred to as </w:t>
      </w:r>
      <w:r w:rsidR="00280ECC" w:rsidRPr="00780E96">
        <w:rPr>
          <w:rFonts w:eastAsia="Arial"/>
          <w:i/>
          <w:iCs/>
        </w:rPr>
        <w:t>P</w:t>
      </w:r>
      <w:r w:rsidR="00280ECC" w:rsidRPr="00780E96">
        <w:rPr>
          <w:rFonts w:eastAsia="Arial"/>
          <w:i/>
          <w:iCs/>
          <w:vertAlign w:val="subscript"/>
        </w:rPr>
        <w:t>EL</w:t>
      </w:r>
      <w:r w:rsidR="00AF45E6" w:rsidRPr="00780E96">
        <w:rPr>
          <w:rFonts w:eastAsia="Arial"/>
          <w:i/>
          <w:iCs/>
          <w:vertAlign w:val="subscript"/>
        </w:rPr>
        <w:t>,refperiod</w:t>
      </w:r>
      <w:r w:rsidR="00D5077E" w:rsidRPr="00780E96">
        <w:rPr>
          <w:rFonts w:eastAsia="Arial"/>
        </w:rPr>
        <w:t>;</w:t>
      </w:r>
      <w:r w:rsidR="00BB47D4" w:rsidRPr="00780E96">
        <w:rPr>
          <w:rFonts w:eastAsia="Arial"/>
        </w:rPr>
        <w:t xml:space="preserve"> and</w:t>
      </w:r>
    </w:p>
    <w:p w14:paraId="42A45E89" w14:textId="0ABE32D0" w:rsidR="00707097" w:rsidRPr="00780E96" w:rsidRDefault="002C28DF" w:rsidP="00F62D64">
      <w:pPr>
        <w:pStyle w:val="SDMSubPara1"/>
        <w:keepNext/>
        <w:rPr>
          <w:rFonts w:eastAsia="Arial"/>
        </w:rPr>
      </w:pPr>
      <w:r w:rsidRPr="00780E96">
        <w:rPr>
          <w:rFonts w:eastAsia="Arial"/>
        </w:rPr>
        <w:t xml:space="preserve">Where </w:t>
      </w:r>
      <w:r w:rsidR="004D68B3" w:rsidRPr="00780E96">
        <w:rPr>
          <w:rFonts w:eastAsia="Arial"/>
        </w:rPr>
        <w:t>at least five power</w:t>
      </w:r>
      <w:r w:rsidR="00362EAF" w:rsidRPr="00780E96">
        <w:rPr>
          <w:rFonts w:eastAsia="Arial"/>
        </w:rPr>
        <w:t xml:space="preserve"> </w:t>
      </w:r>
      <w:r w:rsidR="00F801F7" w:rsidRPr="00780E96">
        <w:rPr>
          <w:rFonts w:eastAsia="Arial"/>
        </w:rPr>
        <w:t>units</w:t>
      </w:r>
      <w:r w:rsidR="00362EAF" w:rsidRPr="00780E96">
        <w:rPr>
          <w:rFonts w:eastAsia="Arial"/>
        </w:rPr>
        <w:t xml:space="preserve"> have been </w:t>
      </w:r>
      <w:r w:rsidR="001501A5" w:rsidRPr="00780E96">
        <w:rPr>
          <w:rFonts w:eastAsia="Arial"/>
        </w:rPr>
        <w:t>identified</w:t>
      </w:r>
      <w:r w:rsidR="00890FBE" w:rsidRPr="00780E96">
        <w:rPr>
          <w:rFonts w:eastAsia="Arial"/>
        </w:rPr>
        <w:t xml:space="preserve"> </w:t>
      </w:r>
      <w:r w:rsidR="00F84AAC" w:rsidRPr="00780E96">
        <w:rPr>
          <w:rFonts w:eastAsia="Arial"/>
        </w:rPr>
        <w:t xml:space="preserve">under </w:t>
      </w:r>
      <w:r w:rsidR="00137F7C" w:rsidRPr="00780E96">
        <w:rPr>
          <w:rFonts w:eastAsia="Arial"/>
        </w:rPr>
        <w:t>sub-paragraph (</w:t>
      </w:r>
      <w:r w:rsidR="00BE2046" w:rsidRPr="00780E96">
        <w:rPr>
          <w:rFonts w:eastAsia="Arial"/>
        </w:rPr>
        <w:t>e</w:t>
      </w:r>
      <w:r w:rsidR="00137F7C" w:rsidRPr="00780E96">
        <w:rPr>
          <w:rFonts w:eastAsia="Arial"/>
        </w:rPr>
        <w:t xml:space="preserve">) </w:t>
      </w:r>
      <w:r w:rsidR="00890FBE" w:rsidRPr="00780E96">
        <w:rPr>
          <w:rFonts w:eastAsia="Arial"/>
        </w:rPr>
        <w:t xml:space="preserve">and </w:t>
      </w:r>
      <w:r w:rsidR="001501A5" w:rsidRPr="00780E96">
        <w:rPr>
          <w:rFonts w:eastAsia="Arial"/>
          <w:i/>
          <w:iCs/>
        </w:rPr>
        <w:t>P</w:t>
      </w:r>
      <w:r w:rsidR="001501A5" w:rsidRPr="00780E96">
        <w:rPr>
          <w:rFonts w:eastAsia="Arial"/>
          <w:i/>
          <w:iCs/>
          <w:vertAlign w:val="subscript"/>
        </w:rPr>
        <w:t>EL</w:t>
      </w:r>
      <w:r w:rsidR="00642FE2" w:rsidRPr="00780E96">
        <w:rPr>
          <w:rFonts w:eastAsia="Arial"/>
          <w:i/>
          <w:iCs/>
          <w:vertAlign w:val="subscript"/>
        </w:rPr>
        <w:t>,refperiod</w:t>
      </w:r>
      <w:r w:rsidR="00D33A68" w:rsidRPr="00780E96">
        <w:rPr>
          <w:rFonts w:eastAsia="Arial"/>
        </w:rPr>
        <w:t> </w:t>
      </w:r>
      <w:r w:rsidR="0021528F" w:rsidRPr="00780E96">
        <w:rPr>
          <w:rFonts w:eastAsia="Arial"/>
        </w:rPr>
        <w:t>≥</w:t>
      </w:r>
      <w:r w:rsidR="00D33A68" w:rsidRPr="00780E96">
        <w:rPr>
          <w:rFonts w:eastAsia="Arial"/>
        </w:rPr>
        <w:t> </w:t>
      </w:r>
      <w:r w:rsidR="00781522" w:rsidRPr="00780E96">
        <w:rPr>
          <w:rFonts w:eastAsia="Arial"/>
        </w:rPr>
        <w:t>0.05</w:t>
      </w:r>
      <w:r w:rsidR="00D33A68" w:rsidRPr="00780E96">
        <w:rPr>
          <w:rFonts w:eastAsia="Arial"/>
        </w:rPr>
        <w:t> </w:t>
      </w:r>
      <w:r w:rsidR="005D097C" w:rsidRPr="00780E96">
        <w:rPr>
          <w:rFonts w:eastAsia="Arial"/>
        </w:rPr>
        <w:t>×</w:t>
      </w:r>
      <w:r w:rsidR="00D33A68" w:rsidRPr="00780E96">
        <w:rPr>
          <w:rFonts w:eastAsia="Arial"/>
        </w:rPr>
        <w:t> </w:t>
      </w:r>
      <w:r w:rsidR="00781522" w:rsidRPr="00780E96">
        <w:rPr>
          <w:rFonts w:eastAsia="Arial"/>
          <w:i/>
          <w:iCs/>
        </w:rPr>
        <w:t>P</w:t>
      </w:r>
      <w:r w:rsidR="00781522" w:rsidRPr="00780E96">
        <w:rPr>
          <w:rFonts w:eastAsia="Arial"/>
          <w:i/>
          <w:iCs/>
          <w:vertAlign w:val="subscript"/>
        </w:rPr>
        <w:t>EL,total</w:t>
      </w:r>
      <w:r w:rsidR="0036412A" w:rsidRPr="00780E96">
        <w:rPr>
          <w:rFonts w:eastAsia="Arial"/>
        </w:rPr>
        <w:t xml:space="preserve">, </w:t>
      </w:r>
      <w:r w:rsidR="008C7677" w:rsidRPr="00780E96">
        <w:rPr>
          <w:rFonts w:eastAsia="Arial"/>
        </w:rPr>
        <w:t xml:space="preserve">use </w:t>
      </w:r>
      <w:r w:rsidR="0036412A" w:rsidRPr="00780E96">
        <w:rPr>
          <w:rFonts w:eastAsia="Arial"/>
        </w:rPr>
        <w:t xml:space="preserve">the </w:t>
      </w:r>
      <w:r w:rsidR="00CB5EFE" w:rsidRPr="00780E96">
        <w:rPr>
          <w:rFonts w:eastAsia="Arial"/>
        </w:rPr>
        <w:t xml:space="preserve">initial </w:t>
      </w:r>
      <w:r w:rsidR="0036412A" w:rsidRPr="00780E96">
        <w:rPr>
          <w:rFonts w:eastAsia="Arial"/>
        </w:rPr>
        <w:t xml:space="preserve">three-year period </w:t>
      </w:r>
      <w:r w:rsidR="008C7677" w:rsidRPr="00780E96">
        <w:rPr>
          <w:rFonts w:eastAsia="Arial"/>
        </w:rPr>
        <w:t xml:space="preserve">determined </w:t>
      </w:r>
      <w:r w:rsidR="00663FD0" w:rsidRPr="00780E96">
        <w:rPr>
          <w:rFonts w:eastAsia="Arial"/>
        </w:rPr>
        <w:t xml:space="preserve">under </w:t>
      </w:r>
      <w:r w:rsidR="008C7677" w:rsidRPr="00780E96">
        <w:rPr>
          <w:rFonts w:eastAsia="Arial"/>
        </w:rPr>
        <w:t>sub-paragraph (</w:t>
      </w:r>
      <w:r w:rsidR="00CB5EFE" w:rsidRPr="00780E96">
        <w:rPr>
          <w:rFonts w:eastAsia="Arial"/>
        </w:rPr>
        <w:t>c</w:t>
      </w:r>
      <w:r w:rsidR="008C7677" w:rsidRPr="00780E96">
        <w:rPr>
          <w:rFonts w:eastAsia="Arial"/>
        </w:rPr>
        <w:t xml:space="preserve">) </w:t>
      </w:r>
      <w:r w:rsidR="00E00113" w:rsidRPr="00780E96">
        <w:rPr>
          <w:rFonts w:eastAsia="Arial"/>
        </w:rPr>
        <w:t>as the reference period</w:t>
      </w:r>
      <w:r w:rsidR="00EA73F4" w:rsidRPr="00780E96">
        <w:rPr>
          <w:rFonts w:eastAsia="Arial"/>
        </w:rPr>
        <w:t xml:space="preserve">. </w:t>
      </w:r>
      <w:r w:rsidR="00E00113" w:rsidRPr="00780E96">
        <w:rPr>
          <w:rFonts w:eastAsia="Arial"/>
        </w:rPr>
        <w:t xml:space="preserve">Otherwise, </w:t>
      </w:r>
      <w:r w:rsidR="00663FD0" w:rsidRPr="00780E96">
        <w:rPr>
          <w:rFonts w:eastAsia="Arial"/>
        </w:rPr>
        <w:t xml:space="preserve">determine </w:t>
      </w:r>
      <w:r w:rsidR="00DA053E" w:rsidRPr="00780E96">
        <w:rPr>
          <w:rFonts w:eastAsia="Arial"/>
        </w:rPr>
        <w:t>a five-year reference period</w:t>
      </w:r>
      <w:r w:rsidR="00707097" w:rsidRPr="00780E96">
        <w:rPr>
          <w:rFonts w:eastAsia="Arial"/>
        </w:rPr>
        <w:t xml:space="preserve">, either as </w:t>
      </w:r>
      <w:r w:rsidR="00663FD0" w:rsidRPr="00780E96">
        <w:rPr>
          <w:rFonts w:eastAsia="Arial"/>
        </w:rPr>
        <w:t xml:space="preserve">a </w:t>
      </w:r>
      <w:r w:rsidR="00B40C20" w:rsidRPr="00780E96">
        <w:rPr>
          <w:rFonts w:eastAsia="Arial"/>
        </w:rPr>
        <w:t>con</w:t>
      </w:r>
      <w:r w:rsidR="00707097" w:rsidRPr="00780E96">
        <w:rPr>
          <w:rFonts w:eastAsia="Arial"/>
        </w:rPr>
        <w:t xml:space="preserve">current or historical </w:t>
      </w:r>
      <w:r w:rsidR="0077740B" w:rsidRPr="00780E96">
        <w:rPr>
          <w:rFonts w:eastAsia="Arial"/>
        </w:rPr>
        <w:t xml:space="preserve">reference </w:t>
      </w:r>
      <w:r w:rsidR="00707097" w:rsidRPr="00780E96">
        <w:rPr>
          <w:rFonts w:eastAsia="Arial"/>
        </w:rPr>
        <w:t>period,</w:t>
      </w:r>
      <w:r w:rsidR="009E0BC9" w:rsidRPr="00780E96">
        <w:rPr>
          <w:rFonts w:eastAsia="Arial"/>
        </w:rPr>
        <w:t xml:space="preserve"> as follow</w:t>
      </w:r>
      <w:r w:rsidR="00707097" w:rsidRPr="00780E96">
        <w:rPr>
          <w:rFonts w:eastAsia="Arial"/>
        </w:rPr>
        <w:t>s:</w:t>
      </w:r>
    </w:p>
    <w:p w14:paraId="36CB82BD" w14:textId="59E5F691" w:rsidR="00707097" w:rsidRPr="00780E96" w:rsidRDefault="00B40C20" w:rsidP="00B15AC9">
      <w:pPr>
        <w:pStyle w:val="SDMSubPara2"/>
        <w:rPr>
          <w:rFonts w:eastAsia="Arial"/>
        </w:rPr>
      </w:pPr>
      <w:r w:rsidRPr="00780E96">
        <w:rPr>
          <w:rFonts w:eastAsia="Arial"/>
          <w:b/>
          <w:bCs/>
        </w:rPr>
        <w:t>Conc</w:t>
      </w:r>
      <w:r w:rsidR="00707097" w:rsidRPr="00780E96">
        <w:rPr>
          <w:rFonts w:eastAsia="Arial"/>
          <w:b/>
          <w:bCs/>
        </w:rPr>
        <w:t xml:space="preserve">urrent reference </w:t>
      </w:r>
      <w:r w:rsidR="00707097" w:rsidRPr="00780E96">
        <w:rPr>
          <w:rFonts w:eastAsia="Arial"/>
          <w:b/>
        </w:rPr>
        <w:t>period</w:t>
      </w:r>
      <w:r w:rsidR="00707097" w:rsidRPr="00780E96">
        <w:rPr>
          <w:rFonts w:eastAsia="Arial"/>
        </w:rPr>
        <w:t xml:space="preserve">: </w:t>
      </w:r>
      <w:r w:rsidR="004D5EE3" w:rsidRPr="00780E96">
        <w:rPr>
          <w:rFonts w:eastAsia="Arial"/>
        </w:rPr>
        <w:t xml:space="preserve">where </w:t>
      </w:r>
      <w:r w:rsidR="00220FC7" w:rsidRPr="00780E96">
        <w:rPr>
          <w:rFonts w:eastAsia="Arial"/>
          <w:i/>
          <w:iCs/>
        </w:rPr>
        <w:t>z</w:t>
      </w:r>
      <w:r w:rsidR="00707097" w:rsidRPr="00780E96">
        <w:rPr>
          <w:rFonts w:eastAsia="Arial"/>
        </w:rPr>
        <w:t> </w:t>
      </w:r>
      <w:r w:rsidR="005024F3" w:rsidRPr="00780E96">
        <w:rPr>
          <w:rFonts w:eastAsia="Arial"/>
        </w:rPr>
        <w:t>≥</w:t>
      </w:r>
      <w:r w:rsidR="00707097" w:rsidRPr="00780E96">
        <w:rPr>
          <w:rFonts w:eastAsia="Arial"/>
        </w:rPr>
        <w:t> </w:t>
      </w:r>
      <w:r w:rsidR="00220FC7" w:rsidRPr="00780E96">
        <w:rPr>
          <w:rFonts w:eastAsia="Arial"/>
          <w:i/>
          <w:iCs/>
        </w:rPr>
        <w:t>x+2</w:t>
      </w:r>
      <w:r w:rsidR="00220FC7" w:rsidRPr="00780E96">
        <w:rPr>
          <w:rFonts w:eastAsia="Arial"/>
        </w:rPr>
        <w:t xml:space="preserve">, </w:t>
      </w:r>
      <w:r w:rsidR="00DA0713" w:rsidRPr="00780E96">
        <w:rPr>
          <w:rFonts w:eastAsia="Arial"/>
        </w:rPr>
        <w:t xml:space="preserve">determine the reference period as the five-year period covering </w:t>
      </w:r>
      <w:r w:rsidR="002025D4" w:rsidRPr="00780E96">
        <w:rPr>
          <w:rFonts w:eastAsia="Arial"/>
        </w:rPr>
        <w:t>the two calendar years before</w:t>
      </w:r>
      <w:r w:rsidR="0052758C" w:rsidRPr="00780E96">
        <w:rPr>
          <w:rFonts w:eastAsia="Arial"/>
        </w:rPr>
        <w:t xml:space="preserve"> the start of operation of the Article 6.4</w:t>
      </w:r>
      <w:r w:rsidR="00043B0B" w:rsidRPr="00780E96">
        <w:rPr>
          <w:rFonts w:eastAsia="Arial"/>
        </w:rPr>
        <w:t xml:space="preserve"> </w:t>
      </w:r>
      <w:r w:rsidR="00D46057" w:rsidRPr="00780E96">
        <w:rPr>
          <w:rFonts w:eastAsia="Arial"/>
        </w:rPr>
        <w:t>project or CP</w:t>
      </w:r>
      <w:r w:rsidR="00CD6ADA" w:rsidRPr="00780E96">
        <w:rPr>
          <w:rFonts w:eastAsia="Arial"/>
        </w:rPr>
        <w:t xml:space="preserve">, </w:t>
      </w:r>
      <w:r w:rsidR="00807B69" w:rsidRPr="00780E96">
        <w:rPr>
          <w:rFonts w:eastAsia="Arial"/>
        </w:rPr>
        <w:t>the calendar year</w:t>
      </w:r>
      <w:r w:rsidR="00CD6ADA" w:rsidRPr="00780E96">
        <w:rPr>
          <w:rFonts w:eastAsia="Arial"/>
        </w:rPr>
        <w:t xml:space="preserve"> during</w:t>
      </w:r>
      <w:r w:rsidR="00807B69" w:rsidRPr="00780E96">
        <w:rPr>
          <w:rFonts w:eastAsia="Arial"/>
        </w:rPr>
        <w:t xml:space="preserve"> start of operation of the Article 6.4</w:t>
      </w:r>
      <w:r w:rsidR="00043B0B" w:rsidRPr="00780E96">
        <w:rPr>
          <w:rFonts w:eastAsia="Arial"/>
        </w:rPr>
        <w:t xml:space="preserve"> </w:t>
      </w:r>
      <w:r w:rsidR="00D46057" w:rsidRPr="00780E96">
        <w:rPr>
          <w:rFonts w:eastAsia="Arial"/>
        </w:rPr>
        <w:t>project or CP</w:t>
      </w:r>
      <w:r w:rsidR="00CA1FEE" w:rsidRPr="00780E96">
        <w:rPr>
          <w:rFonts w:eastAsia="Arial"/>
        </w:rPr>
        <w:t>,</w:t>
      </w:r>
      <w:r w:rsidR="002025D4" w:rsidRPr="00780E96">
        <w:rPr>
          <w:rFonts w:eastAsia="Arial"/>
        </w:rPr>
        <w:t xml:space="preserve"> and </w:t>
      </w:r>
      <w:r w:rsidR="00807B69" w:rsidRPr="00780E96">
        <w:rPr>
          <w:rFonts w:eastAsia="Arial"/>
        </w:rPr>
        <w:t xml:space="preserve">the two calendar years </w:t>
      </w:r>
      <w:r w:rsidR="002025D4" w:rsidRPr="00780E96">
        <w:rPr>
          <w:rFonts w:eastAsia="Arial"/>
        </w:rPr>
        <w:t xml:space="preserve">after the start of operation of the Article 6.4 </w:t>
      </w:r>
      <w:r w:rsidR="00D46057" w:rsidRPr="00780E96">
        <w:rPr>
          <w:rFonts w:eastAsia="Arial"/>
        </w:rPr>
        <w:t xml:space="preserve">project or CP </w:t>
      </w:r>
      <w:r w:rsidR="002025D4" w:rsidRPr="00780E96">
        <w:rPr>
          <w:rFonts w:eastAsia="Arial"/>
        </w:rPr>
        <w:t>(i.e.</w:t>
      </w:r>
      <w:r w:rsidR="7273E974" w:rsidRPr="00780E96">
        <w:rPr>
          <w:rFonts w:eastAsia="Arial"/>
        </w:rPr>
        <w:t>,</w:t>
      </w:r>
      <w:r w:rsidR="002025D4" w:rsidRPr="00780E96">
        <w:rPr>
          <w:rFonts w:eastAsia="Arial"/>
        </w:rPr>
        <w:t xml:space="preserve"> </w:t>
      </w:r>
      <w:r w:rsidR="006F4FF0" w:rsidRPr="00780E96">
        <w:rPr>
          <w:rFonts w:eastAsia="Arial"/>
        </w:rPr>
        <w:t xml:space="preserve">calendar years </w:t>
      </w:r>
      <w:r w:rsidR="006F4FF0" w:rsidRPr="00780E96">
        <w:rPr>
          <w:rFonts w:eastAsia="Arial"/>
          <w:i/>
          <w:iCs/>
        </w:rPr>
        <w:t>x-2</w:t>
      </w:r>
      <w:r w:rsidR="006F4FF0" w:rsidRPr="00780E96">
        <w:rPr>
          <w:rFonts w:eastAsia="Arial"/>
        </w:rPr>
        <w:t xml:space="preserve">, </w:t>
      </w:r>
      <w:r w:rsidR="006F4FF0" w:rsidRPr="00780E96">
        <w:rPr>
          <w:rFonts w:eastAsia="Arial"/>
          <w:i/>
          <w:iCs/>
        </w:rPr>
        <w:t>x-1</w:t>
      </w:r>
      <w:r w:rsidR="006F4FF0" w:rsidRPr="00780E96">
        <w:rPr>
          <w:rFonts w:eastAsia="Arial"/>
        </w:rPr>
        <w:t xml:space="preserve">, </w:t>
      </w:r>
      <w:r w:rsidR="006F4FF0" w:rsidRPr="00780E96">
        <w:rPr>
          <w:rFonts w:eastAsia="Arial"/>
          <w:i/>
          <w:iCs/>
        </w:rPr>
        <w:t>x</w:t>
      </w:r>
      <w:r w:rsidR="006F4FF0" w:rsidRPr="00780E96">
        <w:rPr>
          <w:rFonts w:eastAsia="Arial"/>
        </w:rPr>
        <w:t xml:space="preserve">, </w:t>
      </w:r>
      <w:r w:rsidR="006F4FF0" w:rsidRPr="00780E96">
        <w:rPr>
          <w:rFonts w:eastAsia="Arial"/>
          <w:i/>
          <w:iCs/>
        </w:rPr>
        <w:t>x+1</w:t>
      </w:r>
      <w:r w:rsidR="00CA1FEE" w:rsidRPr="00780E96">
        <w:rPr>
          <w:rFonts w:eastAsia="Arial"/>
        </w:rPr>
        <w:t>,</w:t>
      </w:r>
      <w:r w:rsidR="00DA0713" w:rsidRPr="00780E96">
        <w:rPr>
          <w:rFonts w:eastAsia="Arial"/>
        </w:rPr>
        <w:t xml:space="preserve"> and </w:t>
      </w:r>
      <w:r w:rsidR="006F4FF0" w:rsidRPr="00780E96">
        <w:rPr>
          <w:rFonts w:eastAsia="Arial"/>
          <w:i/>
          <w:iCs/>
        </w:rPr>
        <w:t>x+2</w:t>
      </w:r>
      <w:r w:rsidR="006F4FF0" w:rsidRPr="00780E96">
        <w:rPr>
          <w:rFonts w:eastAsia="Arial"/>
        </w:rPr>
        <w:t>)</w:t>
      </w:r>
      <w:r w:rsidR="00D5077E" w:rsidRPr="00780E96">
        <w:rPr>
          <w:rFonts w:eastAsia="Arial"/>
        </w:rPr>
        <w:t>;</w:t>
      </w:r>
      <w:r w:rsidR="00663FD0" w:rsidRPr="00780E96">
        <w:rPr>
          <w:rFonts w:eastAsia="Arial"/>
        </w:rPr>
        <w:t xml:space="preserve"> </w:t>
      </w:r>
      <w:r w:rsidR="00CD6ADA" w:rsidRPr="00780E96">
        <w:rPr>
          <w:rFonts w:eastAsia="Arial"/>
        </w:rPr>
        <w:t>or</w:t>
      </w:r>
    </w:p>
    <w:p w14:paraId="386365C0" w14:textId="79C3AEDC" w:rsidR="00E00113" w:rsidRPr="00780E96" w:rsidRDefault="00707097" w:rsidP="00F65332">
      <w:pPr>
        <w:pStyle w:val="SDMSubPara2"/>
        <w:rPr>
          <w:rFonts w:eastAsia="Arial"/>
        </w:rPr>
      </w:pPr>
      <w:r w:rsidRPr="00780E96">
        <w:rPr>
          <w:rFonts w:eastAsia="Arial"/>
          <w:b/>
        </w:rPr>
        <w:t>Historical reference period</w:t>
      </w:r>
      <w:r w:rsidRPr="00780E96">
        <w:rPr>
          <w:rFonts w:eastAsia="Arial"/>
        </w:rPr>
        <w:t xml:space="preserve">: </w:t>
      </w:r>
      <w:r w:rsidR="004D5EE3" w:rsidRPr="00780E96">
        <w:rPr>
          <w:rFonts w:eastAsia="Arial"/>
        </w:rPr>
        <w:t xml:space="preserve">where </w:t>
      </w:r>
      <w:r w:rsidR="00DA0713" w:rsidRPr="00780E96">
        <w:rPr>
          <w:rFonts w:eastAsia="Arial"/>
          <w:i/>
          <w:iCs/>
        </w:rPr>
        <w:t>z</w:t>
      </w:r>
      <w:r w:rsidR="00DA0713" w:rsidRPr="00780E96">
        <w:rPr>
          <w:rFonts w:eastAsia="Arial"/>
        </w:rPr>
        <w:t> </w:t>
      </w:r>
      <w:r w:rsidR="00E110F6" w:rsidRPr="00780E96">
        <w:rPr>
          <w:rFonts w:eastAsia="Arial"/>
        </w:rPr>
        <w:t>&lt;</w:t>
      </w:r>
      <w:r w:rsidR="00DA0713" w:rsidRPr="00780E96">
        <w:rPr>
          <w:rFonts w:eastAsia="Arial"/>
        </w:rPr>
        <w:t> </w:t>
      </w:r>
      <w:r w:rsidR="00DA0713" w:rsidRPr="00780E96">
        <w:rPr>
          <w:rFonts w:eastAsia="Arial"/>
          <w:i/>
          <w:iCs/>
        </w:rPr>
        <w:t>x+2</w:t>
      </w:r>
      <w:r w:rsidR="00DA0713" w:rsidRPr="00780E96">
        <w:rPr>
          <w:rFonts w:eastAsia="Arial"/>
        </w:rPr>
        <w:t xml:space="preserve">, determine the reference period as </w:t>
      </w:r>
      <w:r w:rsidR="006F4FF0" w:rsidRPr="00780E96">
        <w:rPr>
          <w:rFonts w:eastAsia="Arial"/>
        </w:rPr>
        <w:t xml:space="preserve">the </w:t>
      </w:r>
      <w:r w:rsidR="00CA1FEE" w:rsidRPr="00780E96">
        <w:rPr>
          <w:rFonts w:eastAsia="Arial"/>
        </w:rPr>
        <w:t xml:space="preserve">most recent </w:t>
      </w:r>
      <w:r w:rsidR="006F4FF0" w:rsidRPr="00780E96">
        <w:rPr>
          <w:rFonts w:eastAsia="Arial"/>
        </w:rPr>
        <w:t xml:space="preserve">five-year period for which data </w:t>
      </w:r>
      <w:r w:rsidR="00CA1FEE" w:rsidRPr="00780E96">
        <w:rPr>
          <w:rFonts w:eastAsia="Arial"/>
        </w:rPr>
        <w:t xml:space="preserve">are </w:t>
      </w:r>
      <w:r w:rsidR="006F4FF0" w:rsidRPr="00780E96">
        <w:rPr>
          <w:rFonts w:eastAsia="Arial"/>
        </w:rPr>
        <w:t>available (i.e.</w:t>
      </w:r>
      <w:r w:rsidR="6553C5E8" w:rsidRPr="00780E96">
        <w:rPr>
          <w:rFonts w:eastAsia="Arial"/>
        </w:rPr>
        <w:t>,</w:t>
      </w:r>
      <w:r w:rsidR="006F4FF0" w:rsidRPr="00780E96">
        <w:rPr>
          <w:rFonts w:eastAsia="Arial"/>
        </w:rPr>
        <w:t xml:space="preserve"> </w:t>
      </w:r>
      <w:r w:rsidR="006F4FF0" w:rsidRPr="00780E96" w:rsidDel="00CA1FEE">
        <w:rPr>
          <w:rFonts w:eastAsia="Arial"/>
        </w:rPr>
        <w:t xml:space="preserve">the </w:t>
      </w:r>
      <w:r w:rsidR="006F4FF0" w:rsidRPr="00780E96">
        <w:rPr>
          <w:rFonts w:eastAsia="Arial"/>
        </w:rPr>
        <w:t xml:space="preserve">calendar years </w:t>
      </w:r>
      <w:r w:rsidR="000F5AE4" w:rsidRPr="00780E96">
        <w:rPr>
          <w:rFonts w:eastAsia="Arial"/>
          <w:i/>
          <w:iCs/>
        </w:rPr>
        <w:t>z-4</w:t>
      </w:r>
      <w:r w:rsidR="000F5AE4" w:rsidRPr="00780E96">
        <w:rPr>
          <w:rFonts w:eastAsia="Arial"/>
        </w:rPr>
        <w:t xml:space="preserve">, </w:t>
      </w:r>
      <w:r w:rsidR="000F5AE4" w:rsidRPr="00780E96">
        <w:rPr>
          <w:rFonts w:eastAsia="Arial"/>
          <w:i/>
          <w:iCs/>
        </w:rPr>
        <w:t>z-3</w:t>
      </w:r>
      <w:r w:rsidR="000F5AE4" w:rsidRPr="00780E96">
        <w:rPr>
          <w:rFonts w:eastAsia="Arial"/>
        </w:rPr>
        <w:t xml:space="preserve">, </w:t>
      </w:r>
      <w:r w:rsidR="006F4FF0" w:rsidRPr="00780E96">
        <w:rPr>
          <w:rFonts w:eastAsia="Arial"/>
          <w:i/>
          <w:iCs/>
        </w:rPr>
        <w:t>z-2</w:t>
      </w:r>
      <w:r w:rsidR="006F4FF0" w:rsidRPr="00780E96">
        <w:rPr>
          <w:rFonts w:eastAsia="Arial"/>
        </w:rPr>
        <w:t xml:space="preserve">, </w:t>
      </w:r>
      <w:r w:rsidR="006F4FF0" w:rsidRPr="00780E96">
        <w:rPr>
          <w:rFonts w:eastAsia="Arial"/>
          <w:i/>
          <w:iCs/>
        </w:rPr>
        <w:t>z-1</w:t>
      </w:r>
      <w:r w:rsidR="00CA1FEE" w:rsidRPr="00780E96">
        <w:rPr>
          <w:rFonts w:eastAsia="Arial"/>
        </w:rPr>
        <w:t>,</w:t>
      </w:r>
      <w:r w:rsidR="006F4FF0" w:rsidRPr="00780E96">
        <w:rPr>
          <w:rFonts w:eastAsia="Arial"/>
        </w:rPr>
        <w:t xml:space="preserve"> and </w:t>
      </w:r>
      <w:r w:rsidR="006F4FF0" w:rsidRPr="00780E96">
        <w:rPr>
          <w:rFonts w:eastAsia="Arial"/>
          <w:i/>
          <w:iCs/>
        </w:rPr>
        <w:t>z</w:t>
      </w:r>
      <w:r w:rsidR="006F4FF0" w:rsidRPr="00780E96">
        <w:rPr>
          <w:rFonts w:eastAsia="Arial"/>
        </w:rPr>
        <w:t>).</w:t>
      </w:r>
    </w:p>
    <w:p w14:paraId="58434F77" w14:textId="3A01D3FC" w:rsidR="00B33851" w:rsidRPr="00780E96" w:rsidRDefault="00035748" w:rsidP="00F62D64">
      <w:pPr>
        <w:pStyle w:val="SDMPara"/>
        <w:keepNext/>
      </w:pPr>
      <w:r w:rsidRPr="00780E96">
        <w:t>Activity participants shall determine t</w:t>
      </w:r>
      <w:r w:rsidR="00B33851" w:rsidRPr="00780E96">
        <w:t xml:space="preserve">he </w:t>
      </w:r>
      <w:r w:rsidRPr="00780E96">
        <w:t>BM</w:t>
      </w:r>
      <w:r w:rsidR="00B33851" w:rsidRPr="00780E96">
        <w:t xml:space="preserve"> emission factor </w:t>
      </w:r>
      <w:r w:rsidRPr="00780E96">
        <w:t xml:space="preserve">as </w:t>
      </w:r>
      <w:r w:rsidR="00B33851" w:rsidRPr="00780E96">
        <w:t>the generation-weighted average emission factor (t CO</w:t>
      </w:r>
      <w:r w:rsidR="00B33851" w:rsidRPr="00780E96">
        <w:rPr>
          <w:vertAlign w:val="subscript"/>
        </w:rPr>
        <w:t>2</w:t>
      </w:r>
      <w:r w:rsidR="004D2E3B" w:rsidRPr="00780E96">
        <w:t> / </w:t>
      </w:r>
      <w:r w:rsidR="00B33851" w:rsidRPr="00780E96">
        <w:t>MWh) of all power units</w:t>
      </w:r>
      <w:r w:rsidR="009C0775" w:rsidRPr="00780E96">
        <w:t> </w:t>
      </w:r>
      <w:r w:rsidR="002175A8" w:rsidRPr="00780E96">
        <w:rPr>
          <w:i/>
        </w:rPr>
        <w:t>p</w:t>
      </w:r>
      <w:r w:rsidR="00B33851" w:rsidRPr="00780E96">
        <w:t xml:space="preserve"> during the </w:t>
      </w:r>
      <w:r w:rsidRPr="00780E96">
        <w:t>period</w:t>
      </w:r>
      <w:r w:rsidR="00B33851" w:rsidRPr="00780E96">
        <w:t> </w:t>
      </w:r>
      <w:r w:rsidRPr="00780E96">
        <w:rPr>
          <w:i/>
          <w:iCs/>
        </w:rPr>
        <w:t>t</w:t>
      </w:r>
      <w:r w:rsidR="00B33851" w:rsidRPr="00780E96">
        <w:t>, calculated as follows:</w:t>
      </w:r>
    </w:p>
    <w:p w14:paraId="294C6478" w14:textId="4A524CA2" w:rsidR="00E92E8F" w:rsidRPr="00780E96" w:rsidRDefault="00E92E8F" w:rsidP="00F62D64">
      <w:pPr>
        <w:pStyle w:val="SDMSubPara1"/>
        <w:keepNext/>
      </w:pPr>
      <w:r w:rsidRPr="00780E96">
        <w:rPr>
          <w:rFonts w:eastAsia="Arial"/>
        </w:rPr>
        <w:t>For a concurrent reference period:</w:t>
      </w:r>
    </w:p>
    <w:tbl>
      <w:tblPr>
        <w:tblStyle w:val="SDMMethTableEquation"/>
        <w:tblW w:w="8046" w:type="dxa"/>
        <w:tblInd w:w="1310" w:type="dxa"/>
        <w:tblLook w:val="0600" w:firstRow="0" w:lastRow="0" w:firstColumn="0" w:lastColumn="0" w:noHBand="1" w:noVBand="1"/>
      </w:tblPr>
      <w:tblGrid>
        <w:gridCol w:w="6203"/>
        <w:gridCol w:w="1843"/>
      </w:tblGrid>
      <w:tr w:rsidR="00B33851" w:rsidRPr="00780E96" w14:paraId="67A93C83" w14:textId="77777777" w:rsidTr="00C220BF">
        <w:tc>
          <w:tcPr>
            <w:tcW w:w="6203" w:type="dxa"/>
          </w:tcPr>
          <w:bookmarkStart w:id="657" w:name="_Hlk216277955"/>
          <w:p w14:paraId="72B71A12" w14:textId="2DEA7EF9" w:rsidR="00B33851" w:rsidRPr="00780E96" w:rsidRDefault="003F6646" w:rsidP="0045644E">
            <w:pPr>
              <w:pStyle w:val="SDMMethEquation"/>
            </w:pPr>
            <m:oMathPara>
              <m:oMathParaPr>
                <m:jc m:val="left"/>
              </m:oMathParaPr>
              <m:oMath>
                <m:sSub>
                  <m:sSubPr>
                    <m:ctrlPr>
                      <w:rPr>
                        <w:rFonts w:ascii="Cambria Math" w:hAnsi="Cambria Math"/>
                        <w:i/>
                      </w:rPr>
                    </m:ctrlPr>
                  </m:sSubPr>
                  <m:e>
                    <m:r>
                      <w:rPr>
                        <w:rFonts w:ascii="Cambria Math" w:hAnsi="Cambria Math"/>
                      </w:rPr>
                      <m:t>EF</m:t>
                    </m:r>
                  </m:e>
                  <m:sub>
                    <m:r>
                      <w:rPr>
                        <w:rFonts w:ascii="Cambria Math" w:hAnsi="Cambria Math"/>
                      </w:rPr>
                      <m:t>BM,y</m:t>
                    </m:r>
                  </m:sub>
                </m:sSub>
                <m:r>
                  <w:rPr>
                    <w:rFonts w:ascii="Cambria Math" w:hAnsi="Cambria Math"/>
                  </w:rPr>
                  <m:t>=</m:t>
                </m:r>
                <m:f>
                  <m:fPr>
                    <m:ctrlPr>
                      <w:rPr>
                        <w:rFonts w:ascii="Cambria Math" w:hAnsi="Cambria Math"/>
                        <w:i/>
                      </w:rPr>
                    </m:ctrlPr>
                  </m:fPr>
                  <m:num>
                    <m:nary>
                      <m:naryPr>
                        <m:chr m:val="∑"/>
                        <m:limLoc m:val="undOvr"/>
                        <m:supHide m:val="1"/>
                        <m:ctrlPr>
                          <w:rPr>
                            <w:rFonts w:ascii="Cambria Math" w:hAnsi="Cambria Math"/>
                            <w:i/>
                          </w:rPr>
                        </m:ctrlPr>
                      </m:naryPr>
                      <m:sub>
                        <m:r>
                          <w:rPr>
                            <w:rFonts w:ascii="Cambria Math" w:hAnsi="Cambria Math"/>
                          </w:rPr>
                          <m:t>p</m:t>
                        </m:r>
                      </m:sub>
                      <m:sup/>
                      <m:e>
                        <m:sSub>
                          <m:sSubPr>
                            <m:ctrlPr>
                              <w:rPr>
                                <w:rFonts w:ascii="Cambria Math" w:hAnsi="Cambria Math"/>
                                <w:i/>
                              </w:rPr>
                            </m:ctrlPr>
                          </m:sSubPr>
                          <m:e>
                            <m:r>
                              <w:rPr>
                                <w:rFonts w:ascii="Cambria Math" w:hAnsi="Cambria Math"/>
                              </w:rPr>
                              <m:t>EG</m:t>
                            </m:r>
                          </m:e>
                          <m:sub>
                            <m:r>
                              <w:rPr>
                                <w:rFonts w:ascii="Cambria Math" w:hAnsi="Cambria Math"/>
                              </w:rPr>
                              <m:t>p,t</m:t>
                            </m:r>
                          </m:sub>
                        </m:sSub>
                        <m:r>
                          <w:rPr>
                            <w:rFonts w:ascii="Cambria Math" w:hAnsi="Cambria Math"/>
                          </w:rPr>
                          <m:t>×</m:t>
                        </m:r>
                        <m:sSub>
                          <m:sSubPr>
                            <m:ctrlPr>
                              <w:rPr>
                                <w:rFonts w:ascii="Cambria Math" w:hAnsi="Cambria Math"/>
                                <w:i/>
                              </w:rPr>
                            </m:ctrlPr>
                          </m:sSubPr>
                          <m:e>
                            <m:r>
                              <w:rPr>
                                <w:rFonts w:ascii="Cambria Math" w:hAnsi="Cambria Math"/>
                              </w:rPr>
                              <m:t>EF</m:t>
                            </m:r>
                          </m:e>
                          <m:sub>
                            <m:r>
                              <w:rPr>
                                <w:rFonts w:ascii="Cambria Math" w:hAnsi="Cambria Math"/>
                              </w:rPr>
                              <m:t>EL,p,t</m:t>
                            </m:r>
                          </m:sub>
                        </m:sSub>
                      </m:e>
                    </m:nary>
                  </m:num>
                  <m:den>
                    <m:nary>
                      <m:naryPr>
                        <m:chr m:val="∑"/>
                        <m:limLoc m:val="undOvr"/>
                        <m:supHide m:val="1"/>
                        <m:ctrlPr>
                          <w:rPr>
                            <w:rFonts w:ascii="Cambria Math" w:hAnsi="Cambria Math"/>
                            <w:i/>
                          </w:rPr>
                        </m:ctrlPr>
                      </m:naryPr>
                      <m:sub>
                        <m:r>
                          <w:rPr>
                            <w:rFonts w:ascii="Cambria Math" w:hAnsi="Cambria Math"/>
                          </w:rPr>
                          <m:t>p</m:t>
                        </m:r>
                      </m:sub>
                      <m:sup/>
                      <m:e>
                        <m:sSub>
                          <m:sSubPr>
                            <m:ctrlPr>
                              <w:rPr>
                                <w:rFonts w:ascii="Cambria Math" w:hAnsi="Cambria Math"/>
                                <w:i/>
                              </w:rPr>
                            </m:ctrlPr>
                          </m:sSubPr>
                          <m:e>
                            <m:r>
                              <w:rPr>
                                <w:rFonts w:ascii="Cambria Math" w:hAnsi="Cambria Math"/>
                              </w:rPr>
                              <m:t>EG</m:t>
                            </m:r>
                          </m:e>
                          <m:sub>
                            <m:r>
                              <w:rPr>
                                <w:rFonts w:ascii="Cambria Math" w:hAnsi="Cambria Math"/>
                              </w:rPr>
                              <m:t>p,t</m:t>
                            </m:r>
                          </m:sub>
                        </m:sSub>
                      </m:e>
                    </m:nary>
                  </m:den>
                </m:f>
              </m:oMath>
            </m:oMathPara>
          </w:p>
        </w:tc>
        <w:tc>
          <w:tcPr>
            <w:tcW w:w="1843" w:type="dxa"/>
          </w:tcPr>
          <w:p w14:paraId="75701381" w14:textId="77777777" w:rsidR="00B33851" w:rsidRPr="00780E96" w:rsidRDefault="00B33851">
            <w:pPr>
              <w:pStyle w:val="SDMMethEquationNr"/>
              <w:numPr>
                <w:ilvl w:val="0"/>
                <w:numId w:val="6"/>
              </w:numPr>
            </w:pPr>
          </w:p>
        </w:tc>
      </w:tr>
    </w:tbl>
    <w:bookmarkEnd w:id="657"/>
    <w:p w14:paraId="62836925" w14:textId="767D7BBD" w:rsidR="0019487A" w:rsidRPr="00780E96" w:rsidRDefault="0019487A" w:rsidP="00F62D64">
      <w:pPr>
        <w:pStyle w:val="SDMSubPara1"/>
        <w:keepNext/>
        <w:rPr>
          <w:rFonts w:eastAsia="Arial"/>
        </w:rPr>
      </w:pPr>
      <w:r w:rsidRPr="00780E96">
        <w:rPr>
          <w:rFonts w:eastAsia="Arial"/>
        </w:rPr>
        <w:t>For a historical reference period:</w:t>
      </w:r>
    </w:p>
    <w:tbl>
      <w:tblPr>
        <w:tblStyle w:val="SDMMethTableEquation"/>
        <w:tblW w:w="8188" w:type="dxa"/>
        <w:tblInd w:w="1310" w:type="dxa"/>
        <w:tblLook w:val="0600" w:firstRow="0" w:lastRow="0" w:firstColumn="0" w:lastColumn="0" w:noHBand="1" w:noVBand="1"/>
      </w:tblPr>
      <w:tblGrid>
        <w:gridCol w:w="6203"/>
        <w:gridCol w:w="1985"/>
      </w:tblGrid>
      <w:tr w:rsidR="009C0775" w:rsidRPr="0038644B" w14:paraId="44D80AB9" w14:textId="77777777" w:rsidTr="00C220BF">
        <w:tc>
          <w:tcPr>
            <w:tcW w:w="6203" w:type="dxa"/>
          </w:tcPr>
          <w:p w14:paraId="7D264407" w14:textId="07CE0AB0" w:rsidR="009C0775" w:rsidRPr="00780E96" w:rsidRDefault="003F6646" w:rsidP="009C00E7">
            <w:pPr>
              <w:pStyle w:val="SDMMethEquation"/>
              <w:jc w:val="left"/>
            </w:pPr>
            <m:oMathPara>
              <m:oMathParaPr>
                <m:jc m:val="left"/>
              </m:oMathParaPr>
              <m:oMath>
                <m:sSub>
                  <m:sSubPr>
                    <m:ctrlPr>
                      <w:rPr>
                        <w:rFonts w:ascii="Cambria Math" w:hAnsi="Cambria Math"/>
                        <w:i/>
                      </w:rPr>
                    </m:ctrlPr>
                  </m:sSubPr>
                  <m:e>
                    <m:r>
                      <w:rPr>
                        <w:rFonts w:ascii="Cambria Math" w:hAnsi="Cambria Math"/>
                      </w:rPr>
                      <m:t>EF</m:t>
                    </m:r>
                  </m:e>
                  <m:sub>
                    <m:r>
                      <w:rPr>
                        <w:rFonts w:ascii="Cambria Math" w:hAnsi="Cambria Math"/>
                      </w:rPr>
                      <m:t>BM,y</m:t>
                    </m:r>
                  </m:sub>
                </m:sSub>
                <m:r>
                  <w:rPr>
                    <w:rFonts w:ascii="Cambria Math" w:hAnsi="Cambria Math"/>
                  </w:rPr>
                  <m:t>=</m:t>
                </m:r>
                <m:f>
                  <m:fPr>
                    <m:ctrlPr>
                      <w:rPr>
                        <w:rFonts w:ascii="Cambria Math" w:hAnsi="Cambria Math"/>
                        <w:i/>
                      </w:rPr>
                    </m:ctrlPr>
                  </m:fPr>
                  <m:num>
                    <m:nary>
                      <m:naryPr>
                        <m:chr m:val="∑"/>
                        <m:limLoc m:val="undOvr"/>
                        <m:supHide m:val="1"/>
                        <m:ctrlPr>
                          <w:rPr>
                            <w:rFonts w:ascii="Cambria Math" w:hAnsi="Cambria Math"/>
                            <w:i/>
                          </w:rPr>
                        </m:ctrlPr>
                      </m:naryPr>
                      <m:sub>
                        <m:r>
                          <w:rPr>
                            <w:rFonts w:ascii="Cambria Math" w:hAnsi="Cambria Math"/>
                          </w:rPr>
                          <m:t>p</m:t>
                        </m:r>
                      </m:sub>
                      <m:sup/>
                      <m:e>
                        <m:sSub>
                          <m:sSubPr>
                            <m:ctrlPr>
                              <w:rPr>
                                <w:rFonts w:ascii="Cambria Math" w:hAnsi="Cambria Math"/>
                                <w:i/>
                              </w:rPr>
                            </m:ctrlPr>
                          </m:sSubPr>
                          <m:e>
                            <m:r>
                              <w:rPr>
                                <w:rFonts w:ascii="Cambria Math" w:hAnsi="Cambria Math"/>
                              </w:rPr>
                              <m:t>EG</m:t>
                            </m:r>
                          </m:e>
                          <m:sub>
                            <m:r>
                              <w:rPr>
                                <w:rFonts w:ascii="Cambria Math" w:hAnsi="Cambria Math"/>
                              </w:rPr>
                              <m:t>p,t</m:t>
                            </m:r>
                          </m:sub>
                        </m:sSub>
                        <m:r>
                          <w:rPr>
                            <w:rFonts w:ascii="Cambria Math" w:hAnsi="Cambria Math"/>
                          </w:rPr>
                          <m:t>×</m:t>
                        </m:r>
                        <m:sSub>
                          <m:sSubPr>
                            <m:ctrlPr>
                              <w:rPr>
                                <w:rFonts w:ascii="Cambria Math" w:hAnsi="Cambria Math"/>
                                <w:i/>
                              </w:rPr>
                            </m:ctrlPr>
                          </m:sSubPr>
                          <m:e>
                            <m:r>
                              <w:rPr>
                                <w:rFonts w:ascii="Cambria Math" w:hAnsi="Cambria Math"/>
                              </w:rPr>
                              <m:t>EF</m:t>
                            </m:r>
                          </m:e>
                          <m:sub>
                            <m:r>
                              <w:rPr>
                                <w:rFonts w:ascii="Cambria Math" w:hAnsi="Cambria Math"/>
                              </w:rPr>
                              <m:t>EL,p,t</m:t>
                            </m:r>
                          </m:sub>
                        </m:sSub>
                      </m:e>
                    </m:nary>
                  </m:num>
                  <m:den>
                    <m:nary>
                      <m:naryPr>
                        <m:chr m:val="∑"/>
                        <m:limLoc m:val="undOvr"/>
                        <m:supHide m:val="1"/>
                        <m:ctrlPr>
                          <w:rPr>
                            <w:rFonts w:ascii="Cambria Math" w:hAnsi="Cambria Math"/>
                            <w:i/>
                          </w:rPr>
                        </m:ctrlPr>
                      </m:naryPr>
                      <m:sub>
                        <m:r>
                          <w:rPr>
                            <w:rFonts w:ascii="Cambria Math" w:hAnsi="Cambria Math"/>
                          </w:rPr>
                          <m:t>p</m:t>
                        </m:r>
                      </m:sub>
                      <m:sup/>
                      <m:e>
                        <m:sSub>
                          <m:sSubPr>
                            <m:ctrlPr>
                              <w:rPr>
                                <w:rFonts w:ascii="Cambria Math" w:hAnsi="Cambria Math"/>
                                <w:i/>
                              </w:rPr>
                            </m:ctrlPr>
                          </m:sSubPr>
                          <m:e>
                            <m:r>
                              <w:rPr>
                                <w:rFonts w:ascii="Cambria Math" w:hAnsi="Cambria Math"/>
                              </w:rPr>
                              <m:t>EG</m:t>
                            </m:r>
                          </m:e>
                          <m:sub>
                            <m:r>
                              <w:rPr>
                                <w:rFonts w:ascii="Cambria Math" w:hAnsi="Cambria Math"/>
                              </w:rPr>
                              <m:t>p,t</m:t>
                            </m:r>
                          </m:sub>
                        </m:sSub>
                      </m:e>
                    </m:nary>
                  </m:den>
                </m:f>
                <m:r>
                  <w:rPr>
                    <w:rFonts w:ascii="Cambria Math" w:hAnsi="Cambria Math"/>
                  </w:rPr>
                  <m:t>×</m:t>
                </m:r>
                <m:d>
                  <m:dPr>
                    <m:begChr m:val="["/>
                    <m:endChr m:val="]"/>
                    <m:ctrlPr>
                      <w:rPr>
                        <w:rFonts w:ascii="Cambria Math" w:hAnsi="Cambria Math"/>
                        <w:i/>
                      </w:rPr>
                    </m:ctrlPr>
                  </m:dPr>
                  <m:e>
                    <m:r>
                      <w:rPr>
                        <w:rFonts w:ascii="Cambria Math" w:hAnsi="Cambria Math"/>
                      </w:rPr>
                      <m:t>1-</m:t>
                    </m:r>
                    <m:sSub>
                      <m:sSubPr>
                        <m:ctrlPr>
                          <w:rPr>
                            <w:rFonts w:ascii="Cambria Math" w:hAnsi="Cambria Math"/>
                            <w:i/>
                          </w:rPr>
                        </m:ctrlPr>
                      </m:sSubPr>
                      <m:e>
                        <m:r>
                          <w:rPr>
                            <w:rFonts w:ascii="Cambria Math" w:hAnsi="Cambria Math"/>
                          </w:rPr>
                          <m:t>F</m:t>
                        </m:r>
                      </m:e>
                      <m:sub>
                        <m:r>
                          <w:rPr>
                            <w:rFonts w:ascii="Cambria Math" w:hAnsi="Cambria Math"/>
                          </w:rPr>
                          <m:t xml:space="preserve">BM </m:t>
                        </m:r>
                      </m:sub>
                    </m:sSub>
                    <m:r>
                      <w:rPr>
                        <w:rFonts w:ascii="Cambria Math" w:hAnsi="Cambria Math"/>
                      </w:rPr>
                      <m:t>×</m:t>
                    </m:r>
                    <m:d>
                      <m:dPr>
                        <m:ctrlPr>
                          <w:rPr>
                            <w:rFonts w:ascii="Cambria Math" w:hAnsi="Cambria Math"/>
                            <w:i/>
                          </w:rPr>
                        </m:ctrlPr>
                      </m:dPr>
                      <m:e>
                        <m:r>
                          <w:rPr>
                            <w:rFonts w:ascii="Cambria Math" w:hAnsi="Cambria Math"/>
                          </w:rPr>
                          <m:t>x-r</m:t>
                        </m:r>
                      </m:e>
                    </m:d>
                  </m:e>
                </m:d>
              </m:oMath>
            </m:oMathPara>
          </w:p>
        </w:tc>
        <w:tc>
          <w:tcPr>
            <w:tcW w:w="1985" w:type="dxa"/>
          </w:tcPr>
          <w:p w14:paraId="400CC46B" w14:textId="77777777" w:rsidR="009C0775" w:rsidRPr="00780E96" w:rsidRDefault="009C0775">
            <w:pPr>
              <w:pStyle w:val="SDMMethEquationNr"/>
              <w:numPr>
                <w:ilvl w:val="0"/>
                <w:numId w:val="6"/>
              </w:numPr>
            </w:pPr>
          </w:p>
        </w:tc>
      </w:tr>
    </w:tbl>
    <w:p w14:paraId="637BFB0A" w14:textId="77777777" w:rsidR="00B33851" w:rsidRPr="0038644B" w:rsidRDefault="00B33851" w:rsidP="00F62D64">
      <w:pPr>
        <w:pStyle w:val="SDMMethCaptionEquationParametersTable"/>
        <w:ind w:left="2665"/>
      </w:pPr>
      <w:r w:rsidRPr="0038644B">
        <w:t>Where:</w:t>
      </w:r>
    </w:p>
    <w:tbl>
      <w:tblPr>
        <w:tblStyle w:val="SDMMethTableEquationParameters"/>
        <w:tblW w:w="8329" w:type="dxa"/>
        <w:tblInd w:w="1310" w:type="dxa"/>
        <w:tblLook w:val="04A0" w:firstRow="1" w:lastRow="0" w:firstColumn="1" w:lastColumn="0" w:noHBand="0" w:noVBand="1"/>
      </w:tblPr>
      <w:tblGrid>
        <w:gridCol w:w="1852"/>
        <w:gridCol w:w="376"/>
        <w:gridCol w:w="6101"/>
      </w:tblGrid>
      <w:tr w:rsidR="00B33851" w:rsidRPr="007967A9" w14:paraId="134E277F" w14:textId="77777777" w:rsidTr="00C90E7A">
        <w:tc>
          <w:tcPr>
            <w:tcW w:w="1852" w:type="dxa"/>
            <w:vAlign w:val="top"/>
          </w:tcPr>
          <w:p w14:paraId="265A8BFF" w14:textId="570832D0" w:rsidR="00B33851" w:rsidRPr="00AB415C" w:rsidRDefault="003F6646" w:rsidP="007967A9">
            <w:pPr>
              <w:pStyle w:val="SDMTableBoxParaNotNumbered"/>
              <w:rPr>
                <w:rFonts w:cs="Arial"/>
                <w:i/>
              </w:rPr>
            </w:pPr>
            <m:oMathPara>
              <m:oMathParaPr>
                <m:jc m:val="left"/>
              </m:oMathParaPr>
              <m:oMath>
                <m:sSub>
                  <m:sSubPr>
                    <m:ctrlPr>
                      <w:rPr>
                        <w:rFonts w:ascii="Cambria Math" w:hAnsi="Cambria Math" w:cs="Arial"/>
                        <w:i/>
                      </w:rPr>
                    </m:ctrlPr>
                  </m:sSubPr>
                  <m:e>
                    <m:r>
                      <w:rPr>
                        <w:rFonts w:ascii="Cambria Math" w:hAnsi="Cambria Math" w:cs="Arial"/>
                      </w:rPr>
                      <m:t>EF</m:t>
                    </m:r>
                  </m:e>
                  <m:sub>
                    <m:r>
                      <w:rPr>
                        <w:rFonts w:ascii="Cambria Math" w:hAnsi="Cambria Math" w:cs="Arial"/>
                      </w:rPr>
                      <m:t>BM,y</m:t>
                    </m:r>
                  </m:sub>
                </m:sSub>
              </m:oMath>
            </m:oMathPara>
          </w:p>
        </w:tc>
        <w:tc>
          <w:tcPr>
            <w:tcW w:w="376" w:type="dxa"/>
            <w:vAlign w:val="top"/>
          </w:tcPr>
          <w:p w14:paraId="7AB9758C" w14:textId="77777777" w:rsidR="00B33851" w:rsidRPr="007967A9" w:rsidRDefault="00B33851" w:rsidP="007967A9">
            <w:pPr>
              <w:pStyle w:val="SDMTableBoxParaNotNumbered"/>
              <w:rPr>
                <w:rFonts w:cs="Arial"/>
              </w:rPr>
            </w:pPr>
            <w:r w:rsidRPr="007967A9">
              <w:rPr>
                <w:rFonts w:cs="Arial"/>
              </w:rPr>
              <w:t>=</w:t>
            </w:r>
          </w:p>
        </w:tc>
        <w:tc>
          <w:tcPr>
            <w:tcW w:w="6101" w:type="dxa"/>
            <w:vAlign w:val="top"/>
          </w:tcPr>
          <w:p w14:paraId="37DF79BD" w14:textId="3CA40A76" w:rsidR="00B33851" w:rsidRPr="007967A9" w:rsidRDefault="00F3088B" w:rsidP="007967A9">
            <w:pPr>
              <w:pStyle w:val="SDMTableBoxParaNotNumbered"/>
              <w:rPr>
                <w:rFonts w:cs="Arial"/>
              </w:rPr>
            </w:pPr>
            <w:r w:rsidRPr="007967A9">
              <w:rPr>
                <w:rFonts w:cs="Arial"/>
              </w:rPr>
              <w:t>BM</w:t>
            </w:r>
            <w:r w:rsidR="00B33851" w:rsidRPr="007967A9">
              <w:rPr>
                <w:rFonts w:cs="Arial"/>
              </w:rPr>
              <w:t xml:space="preserve"> </w:t>
            </w:r>
            <w:r w:rsidR="37DC108B" w:rsidRPr="007967A9">
              <w:rPr>
                <w:rFonts w:cs="Arial"/>
              </w:rPr>
              <w:t>CO</w:t>
            </w:r>
            <w:r w:rsidR="37DC108B" w:rsidRPr="007967A9">
              <w:rPr>
                <w:rFonts w:cs="Arial"/>
                <w:vertAlign w:val="subscript"/>
              </w:rPr>
              <w:t>2</w:t>
            </w:r>
            <w:r w:rsidR="37DC108B" w:rsidRPr="007967A9">
              <w:rPr>
                <w:rFonts w:cs="Arial"/>
              </w:rPr>
              <w:t xml:space="preserve"> </w:t>
            </w:r>
            <w:r w:rsidR="00B33851" w:rsidRPr="007967A9">
              <w:rPr>
                <w:rFonts w:cs="Arial"/>
              </w:rPr>
              <w:t>emission factor in year </w:t>
            </w:r>
            <w:r w:rsidR="00341743" w:rsidRPr="007967A9">
              <w:rPr>
                <w:rFonts w:cs="Arial"/>
                <w:i/>
                <w:iCs/>
              </w:rPr>
              <w:t>y</w:t>
            </w:r>
            <w:r w:rsidR="00B33851" w:rsidRPr="007967A9">
              <w:rPr>
                <w:rFonts w:cs="Arial"/>
                <w:i/>
              </w:rPr>
              <w:t xml:space="preserve"> </w:t>
            </w:r>
            <w:r w:rsidR="00B33851" w:rsidRPr="007967A9">
              <w:rPr>
                <w:rFonts w:cs="Arial"/>
              </w:rPr>
              <w:t>(t</w:t>
            </w:r>
            <w:r w:rsidR="00303E0B" w:rsidRPr="007967A9">
              <w:rPr>
                <w:rFonts w:cs="Arial"/>
              </w:rPr>
              <w:t> </w:t>
            </w:r>
            <w:r w:rsidR="00B33851" w:rsidRPr="007967A9">
              <w:rPr>
                <w:rFonts w:cs="Arial"/>
              </w:rPr>
              <w:t>CO</w:t>
            </w:r>
            <w:r w:rsidR="00B33851" w:rsidRPr="007967A9">
              <w:rPr>
                <w:rFonts w:cs="Arial"/>
                <w:vertAlign w:val="subscript"/>
              </w:rPr>
              <w:t>2</w:t>
            </w:r>
            <w:r w:rsidR="004D2E3B">
              <w:rPr>
                <w:rFonts w:cs="Arial"/>
              </w:rPr>
              <w:t> / </w:t>
            </w:r>
            <w:r w:rsidR="00B33851" w:rsidRPr="007967A9">
              <w:rPr>
                <w:rFonts w:cs="Arial"/>
              </w:rPr>
              <w:t>MWh)</w:t>
            </w:r>
          </w:p>
        </w:tc>
      </w:tr>
      <w:tr w:rsidR="00B33851" w:rsidRPr="007967A9" w14:paraId="54DB75B7" w14:textId="77777777" w:rsidTr="00C90E7A">
        <w:tc>
          <w:tcPr>
            <w:tcW w:w="1852" w:type="dxa"/>
            <w:vAlign w:val="top"/>
          </w:tcPr>
          <w:p w14:paraId="384DF2D4" w14:textId="010F00B1" w:rsidR="00B33851" w:rsidRPr="00AB415C" w:rsidRDefault="003F6646" w:rsidP="007967A9">
            <w:pPr>
              <w:pStyle w:val="SDMTableBoxParaNotNumbered"/>
              <w:rPr>
                <w:rFonts w:cs="Arial"/>
                <w:i/>
              </w:rPr>
            </w:pPr>
            <m:oMathPara>
              <m:oMathParaPr>
                <m:jc m:val="left"/>
              </m:oMathParaPr>
              <m:oMath>
                <m:sSub>
                  <m:sSubPr>
                    <m:ctrlPr>
                      <w:rPr>
                        <w:rFonts w:ascii="Cambria Math" w:hAnsi="Cambria Math" w:cs="Arial"/>
                        <w:i/>
                      </w:rPr>
                    </m:ctrlPr>
                  </m:sSubPr>
                  <m:e>
                    <m:r>
                      <w:rPr>
                        <w:rFonts w:ascii="Cambria Math" w:hAnsi="Cambria Math" w:cs="Arial"/>
                      </w:rPr>
                      <m:t>EG</m:t>
                    </m:r>
                  </m:e>
                  <m:sub>
                    <m:r>
                      <w:rPr>
                        <w:rFonts w:ascii="Cambria Math" w:hAnsi="Cambria Math" w:cs="Arial"/>
                      </w:rPr>
                      <m:t>p,t</m:t>
                    </m:r>
                  </m:sub>
                </m:sSub>
              </m:oMath>
            </m:oMathPara>
          </w:p>
        </w:tc>
        <w:tc>
          <w:tcPr>
            <w:tcW w:w="376" w:type="dxa"/>
            <w:vAlign w:val="top"/>
          </w:tcPr>
          <w:p w14:paraId="216971A1" w14:textId="77777777" w:rsidR="00B33851" w:rsidRPr="007967A9" w:rsidRDefault="00B33851" w:rsidP="007967A9">
            <w:pPr>
              <w:pStyle w:val="SDMTableBoxParaNotNumbered"/>
              <w:rPr>
                <w:rFonts w:cs="Arial"/>
              </w:rPr>
            </w:pPr>
            <w:r w:rsidRPr="007967A9">
              <w:rPr>
                <w:rFonts w:cs="Arial"/>
              </w:rPr>
              <w:t>=</w:t>
            </w:r>
          </w:p>
        </w:tc>
        <w:tc>
          <w:tcPr>
            <w:tcW w:w="6101" w:type="dxa"/>
            <w:vAlign w:val="top"/>
          </w:tcPr>
          <w:p w14:paraId="6538F352" w14:textId="77777777" w:rsidR="00B33851" w:rsidRPr="007967A9" w:rsidRDefault="00B33851" w:rsidP="007967A9">
            <w:pPr>
              <w:pStyle w:val="SDMTableBoxParaNotNumbered"/>
              <w:rPr>
                <w:rFonts w:cs="Arial"/>
              </w:rPr>
            </w:pPr>
            <w:r w:rsidRPr="007967A9">
              <w:rPr>
                <w:rFonts w:cs="Arial"/>
              </w:rPr>
              <w:t xml:space="preserve">Net quantity of electricity generated and delivered to the </w:t>
            </w:r>
            <w:r w:rsidR="009F2591" w:rsidRPr="007967A9">
              <w:rPr>
                <w:rFonts w:cs="Arial"/>
              </w:rPr>
              <w:t xml:space="preserve">electricity system </w:t>
            </w:r>
            <w:r w:rsidRPr="007967A9">
              <w:rPr>
                <w:rFonts w:cs="Arial"/>
              </w:rPr>
              <w:t>by power unit</w:t>
            </w:r>
            <w:r w:rsidR="00B7378F" w:rsidRPr="007967A9">
              <w:rPr>
                <w:rFonts w:cs="Arial"/>
              </w:rPr>
              <w:t> </w:t>
            </w:r>
            <w:r w:rsidR="007510C1" w:rsidRPr="007967A9">
              <w:rPr>
                <w:rFonts w:cs="Arial"/>
                <w:i/>
              </w:rPr>
              <w:t>p</w:t>
            </w:r>
            <w:r w:rsidRPr="007967A9">
              <w:rPr>
                <w:rFonts w:cs="Arial"/>
                <w:i/>
              </w:rPr>
              <w:t xml:space="preserve"> </w:t>
            </w:r>
            <w:r w:rsidRPr="007967A9">
              <w:rPr>
                <w:rFonts w:cs="Arial"/>
              </w:rPr>
              <w:t xml:space="preserve">in </w:t>
            </w:r>
            <w:r w:rsidR="00341743" w:rsidRPr="007967A9">
              <w:rPr>
                <w:rFonts w:cs="Arial"/>
              </w:rPr>
              <w:t>period </w:t>
            </w:r>
            <w:r w:rsidR="00341743" w:rsidRPr="007967A9">
              <w:rPr>
                <w:rFonts w:cs="Arial"/>
                <w:i/>
                <w:iCs/>
              </w:rPr>
              <w:t>t</w:t>
            </w:r>
            <w:r w:rsidRPr="007967A9">
              <w:rPr>
                <w:rFonts w:cs="Arial"/>
                <w:i/>
              </w:rPr>
              <w:t xml:space="preserve"> </w:t>
            </w:r>
            <w:r w:rsidRPr="007967A9">
              <w:rPr>
                <w:rFonts w:cs="Arial"/>
              </w:rPr>
              <w:t>(MWh)</w:t>
            </w:r>
          </w:p>
        </w:tc>
      </w:tr>
      <w:tr w:rsidR="00B33851" w:rsidRPr="007967A9" w14:paraId="40F9BCC1" w14:textId="77777777" w:rsidTr="00C90E7A">
        <w:tc>
          <w:tcPr>
            <w:tcW w:w="1852" w:type="dxa"/>
            <w:vAlign w:val="top"/>
          </w:tcPr>
          <w:p w14:paraId="023FE106" w14:textId="4EAAA46A" w:rsidR="00B33851" w:rsidRPr="00AB415C" w:rsidRDefault="003F6646" w:rsidP="007967A9">
            <w:pPr>
              <w:pStyle w:val="SDMTableBoxParaNotNumbered"/>
              <w:rPr>
                <w:rFonts w:cs="Arial"/>
                <w:i/>
              </w:rPr>
            </w:pPr>
            <m:oMathPara>
              <m:oMathParaPr>
                <m:jc m:val="left"/>
              </m:oMathParaPr>
              <m:oMath>
                <m:sSub>
                  <m:sSubPr>
                    <m:ctrlPr>
                      <w:rPr>
                        <w:rFonts w:ascii="Cambria Math" w:hAnsi="Cambria Math" w:cs="Arial"/>
                        <w:i/>
                      </w:rPr>
                    </m:ctrlPr>
                  </m:sSubPr>
                  <m:e>
                    <m:r>
                      <w:rPr>
                        <w:rFonts w:ascii="Cambria Math" w:hAnsi="Cambria Math" w:cs="Arial"/>
                      </w:rPr>
                      <m:t>EF</m:t>
                    </m:r>
                  </m:e>
                  <m:sub>
                    <m:r>
                      <w:rPr>
                        <w:rFonts w:ascii="Cambria Math" w:hAnsi="Cambria Math" w:cs="Arial"/>
                      </w:rPr>
                      <m:t>EL,p,t</m:t>
                    </m:r>
                  </m:sub>
                </m:sSub>
              </m:oMath>
            </m:oMathPara>
          </w:p>
        </w:tc>
        <w:tc>
          <w:tcPr>
            <w:tcW w:w="376" w:type="dxa"/>
            <w:vAlign w:val="top"/>
          </w:tcPr>
          <w:p w14:paraId="67A85A1A" w14:textId="77777777" w:rsidR="00B33851" w:rsidRPr="007967A9" w:rsidRDefault="00B33851" w:rsidP="007967A9">
            <w:pPr>
              <w:pStyle w:val="SDMTableBoxParaNotNumbered"/>
              <w:rPr>
                <w:rFonts w:cs="Arial"/>
              </w:rPr>
            </w:pPr>
            <w:r w:rsidRPr="007967A9">
              <w:rPr>
                <w:rFonts w:cs="Arial"/>
              </w:rPr>
              <w:t>=</w:t>
            </w:r>
          </w:p>
        </w:tc>
        <w:tc>
          <w:tcPr>
            <w:tcW w:w="6101" w:type="dxa"/>
            <w:vAlign w:val="top"/>
          </w:tcPr>
          <w:p w14:paraId="409576C2" w14:textId="7B50B452" w:rsidR="00B33851" w:rsidRPr="007967A9" w:rsidRDefault="00B33851" w:rsidP="007967A9">
            <w:pPr>
              <w:pStyle w:val="SDMTableBoxParaNotNumbered"/>
              <w:rPr>
                <w:rFonts w:cs="Arial"/>
              </w:rPr>
            </w:pPr>
            <w:r w:rsidRPr="007967A9">
              <w:rPr>
                <w:rFonts w:cs="Arial"/>
              </w:rPr>
              <w:t>CO</w:t>
            </w:r>
            <w:r w:rsidRPr="007967A9">
              <w:rPr>
                <w:rFonts w:cs="Arial"/>
                <w:vertAlign w:val="subscript"/>
              </w:rPr>
              <w:t>2</w:t>
            </w:r>
            <w:r w:rsidRPr="007967A9">
              <w:rPr>
                <w:rFonts w:cs="Arial"/>
              </w:rPr>
              <w:t xml:space="preserve"> emission factor of power unit</w:t>
            </w:r>
            <w:r w:rsidR="00B7378F" w:rsidRPr="007967A9">
              <w:rPr>
                <w:rFonts w:cs="Arial"/>
              </w:rPr>
              <w:t> </w:t>
            </w:r>
            <w:r w:rsidR="007510C1" w:rsidRPr="007967A9">
              <w:rPr>
                <w:rFonts w:cs="Arial"/>
                <w:i/>
              </w:rPr>
              <w:t>p</w:t>
            </w:r>
            <w:r w:rsidRPr="007967A9">
              <w:rPr>
                <w:rFonts w:cs="Arial"/>
              </w:rPr>
              <w:t xml:space="preserve"> in </w:t>
            </w:r>
            <w:r w:rsidR="00341743" w:rsidRPr="007967A9">
              <w:rPr>
                <w:rFonts w:cs="Arial"/>
              </w:rPr>
              <w:t>period </w:t>
            </w:r>
            <w:r w:rsidR="00341743" w:rsidRPr="007967A9">
              <w:rPr>
                <w:rFonts w:cs="Arial"/>
                <w:i/>
                <w:iCs/>
              </w:rPr>
              <w:t>t</w:t>
            </w:r>
            <w:r w:rsidRPr="007967A9">
              <w:rPr>
                <w:rFonts w:cs="Arial"/>
              </w:rPr>
              <w:t xml:space="preserve"> (t</w:t>
            </w:r>
            <w:r w:rsidR="00303E0B" w:rsidRPr="007967A9">
              <w:rPr>
                <w:rFonts w:cs="Arial"/>
              </w:rPr>
              <w:t> </w:t>
            </w:r>
            <w:r w:rsidRPr="007967A9">
              <w:rPr>
                <w:rFonts w:cs="Arial"/>
              </w:rPr>
              <w:t>CO</w:t>
            </w:r>
            <w:r w:rsidRPr="007967A9">
              <w:rPr>
                <w:rFonts w:cs="Arial"/>
                <w:vertAlign w:val="subscript"/>
              </w:rPr>
              <w:t>2</w:t>
            </w:r>
            <w:r w:rsidR="004D2E3B">
              <w:rPr>
                <w:rFonts w:cs="Arial"/>
              </w:rPr>
              <w:t> / </w:t>
            </w:r>
            <w:r w:rsidRPr="007967A9">
              <w:rPr>
                <w:rFonts w:cs="Arial"/>
              </w:rPr>
              <w:t>MWh)</w:t>
            </w:r>
          </w:p>
        </w:tc>
      </w:tr>
      <w:tr w:rsidR="00B33851" w:rsidRPr="007967A9" w14:paraId="0790CC0B" w14:textId="77777777" w:rsidTr="00C90E7A">
        <w:tc>
          <w:tcPr>
            <w:tcW w:w="1852" w:type="dxa"/>
            <w:vAlign w:val="top"/>
          </w:tcPr>
          <w:p w14:paraId="47CB0E81" w14:textId="77777777" w:rsidR="00B33851" w:rsidRPr="00AB415C" w:rsidRDefault="00E6375D" w:rsidP="007967A9">
            <w:pPr>
              <w:pStyle w:val="SDMTableBoxParaNotNumbered"/>
              <w:keepNext/>
              <w:rPr>
                <w:rFonts w:cs="Arial"/>
                <w:i/>
              </w:rPr>
            </w:pPr>
            <m:oMathPara>
              <m:oMathParaPr>
                <m:jc m:val="left"/>
              </m:oMathParaPr>
              <m:oMath>
                <m:r>
                  <w:rPr>
                    <w:rFonts w:ascii="Cambria Math" w:hAnsi="Cambria Math" w:cs="Arial"/>
                  </w:rPr>
                  <m:t>p</m:t>
                </m:r>
              </m:oMath>
            </m:oMathPara>
          </w:p>
        </w:tc>
        <w:tc>
          <w:tcPr>
            <w:tcW w:w="376" w:type="dxa"/>
            <w:vAlign w:val="top"/>
          </w:tcPr>
          <w:p w14:paraId="53F85543" w14:textId="77777777" w:rsidR="00B33851" w:rsidRPr="007967A9" w:rsidRDefault="00B33851" w:rsidP="007967A9">
            <w:pPr>
              <w:pStyle w:val="SDMTableBoxParaNotNumbered"/>
              <w:rPr>
                <w:rFonts w:cs="Arial"/>
              </w:rPr>
            </w:pPr>
            <w:r w:rsidRPr="007967A9">
              <w:rPr>
                <w:rFonts w:cs="Arial"/>
              </w:rPr>
              <w:t>=</w:t>
            </w:r>
          </w:p>
        </w:tc>
        <w:tc>
          <w:tcPr>
            <w:tcW w:w="6101" w:type="dxa"/>
            <w:vAlign w:val="top"/>
          </w:tcPr>
          <w:p w14:paraId="78EBC27A" w14:textId="44BF17AA" w:rsidR="00B33851" w:rsidRPr="007967A9" w:rsidRDefault="00B33851" w:rsidP="007967A9">
            <w:pPr>
              <w:pStyle w:val="SDMTableBoxParaNotNumbered"/>
              <w:rPr>
                <w:rFonts w:cs="Arial"/>
              </w:rPr>
            </w:pPr>
            <w:r w:rsidRPr="007967A9">
              <w:rPr>
                <w:rFonts w:cs="Arial"/>
              </w:rPr>
              <w:t xml:space="preserve">Power units included in the </w:t>
            </w:r>
            <w:r w:rsidR="009976BC" w:rsidRPr="007967A9">
              <w:rPr>
                <w:rFonts w:cs="Arial"/>
              </w:rPr>
              <w:t>BM</w:t>
            </w:r>
          </w:p>
        </w:tc>
      </w:tr>
      <w:tr w:rsidR="00641F72" w:rsidRPr="007967A9" w14:paraId="7FEA805C" w14:textId="77777777" w:rsidTr="00C90E7A">
        <w:tc>
          <w:tcPr>
            <w:tcW w:w="1852" w:type="dxa"/>
            <w:vAlign w:val="top"/>
          </w:tcPr>
          <w:p w14:paraId="58F07013" w14:textId="73A9EFF9" w:rsidR="00641F72" w:rsidRPr="00AB415C" w:rsidRDefault="00B83228" w:rsidP="007967A9">
            <w:pPr>
              <w:pStyle w:val="SDMTableBoxParaNotNumbered"/>
              <w:rPr>
                <w:rFonts w:cs="Arial"/>
                <w:i/>
                <w:iCs/>
              </w:rPr>
            </w:pPr>
            <m:oMathPara>
              <m:oMathParaPr>
                <m:jc m:val="left"/>
              </m:oMathParaPr>
              <m:oMath>
                <m:r>
                  <w:rPr>
                    <w:rFonts w:ascii="Cambria Math" w:hAnsi="Cambria Math" w:cs="Arial"/>
                  </w:rPr>
                  <m:t>y</m:t>
                </m:r>
              </m:oMath>
            </m:oMathPara>
          </w:p>
        </w:tc>
        <w:tc>
          <w:tcPr>
            <w:tcW w:w="376" w:type="dxa"/>
            <w:vAlign w:val="top"/>
          </w:tcPr>
          <w:p w14:paraId="1B087DF1" w14:textId="77777777" w:rsidR="00641F72" w:rsidRPr="007967A9" w:rsidRDefault="00641F72" w:rsidP="007967A9">
            <w:pPr>
              <w:pStyle w:val="SDMTableBoxParaNotNumbered"/>
              <w:rPr>
                <w:rFonts w:cs="Arial"/>
              </w:rPr>
            </w:pPr>
            <w:r w:rsidRPr="007967A9">
              <w:rPr>
                <w:rFonts w:cs="Arial"/>
              </w:rPr>
              <w:t>=</w:t>
            </w:r>
          </w:p>
        </w:tc>
        <w:tc>
          <w:tcPr>
            <w:tcW w:w="6101" w:type="dxa"/>
            <w:vAlign w:val="top"/>
          </w:tcPr>
          <w:p w14:paraId="2FD455C0" w14:textId="77777777" w:rsidR="00641F72" w:rsidRPr="007967A9" w:rsidRDefault="00641F72" w:rsidP="007967A9">
            <w:pPr>
              <w:pStyle w:val="SDMTableBoxParaNotNumbered"/>
              <w:rPr>
                <w:rFonts w:cs="Arial"/>
              </w:rPr>
            </w:pPr>
            <w:r w:rsidRPr="007967A9">
              <w:rPr>
                <w:rFonts w:cs="Arial"/>
              </w:rPr>
              <w:t>Calendar year of the crediting period</w:t>
            </w:r>
            <w:r w:rsidR="00E6375D" w:rsidRPr="007967A9">
              <w:rPr>
                <w:rFonts w:cs="Arial"/>
              </w:rPr>
              <w:t xml:space="preserve"> for which emission reductions are determined</w:t>
            </w:r>
          </w:p>
        </w:tc>
      </w:tr>
      <w:tr w:rsidR="00B33851" w:rsidRPr="007967A9" w14:paraId="4947EEE9" w14:textId="77777777" w:rsidTr="00C90E7A">
        <w:tc>
          <w:tcPr>
            <w:tcW w:w="1852" w:type="dxa"/>
            <w:vAlign w:val="top"/>
          </w:tcPr>
          <w:p w14:paraId="624B52EA" w14:textId="77777777" w:rsidR="00B33851" w:rsidRPr="00AB415C" w:rsidRDefault="00000936" w:rsidP="007967A9">
            <w:pPr>
              <w:pStyle w:val="SDMTableBoxParaNotNumbered"/>
              <w:rPr>
                <w:rFonts w:cs="Arial"/>
              </w:rPr>
            </w:pPr>
            <m:oMathPara>
              <m:oMathParaPr>
                <m:jc m:val="left"/>
              </m:oMathParaPr>
              <m:oMath>
                <m:r>
                  <w:rPr>
                    <w:rFonts w:ascii="Cambria Math" w:hAnsi="Cambria Math" w:cs="Arial"/>
                  </w:rPr>
                  <m:t>t</m:t>
                </m:r>
              </m:oMath>
            </m:oMathPara>
          </w:p>
        </w:tc>
        <w:tc>
          <w:tcPr>
            <w:tcW w:w="376" w:type="dxa"/>
            <w:vAlign w:val="top"/>
          </w:tcPr>
          <w:p w14:paraId="7EB8C0D5" w14:textId="77777777" w:rsidR="00B33851" w:rsidRPr="007967A9" w:rsidRDefault="00B33851" w:rsidP="007967A9">
            <w:pPr>
              <w:pStyle w:val="SDMTableBoxParaNotNumbered"/>
              <w:rPr>
                <w:rFonts w:cs="Arial"/>
              </w:rPr>
            </w:pPr>
            <w:r w:rsidRPr="007967A9">
              <w:rPr>
                <w:rFonts w:cs="Arial"/>
              </w:rPr>
              <w:t>=</w:t>
            </w:r>
          </w:p>
        </w:tc>
        <w:tc>
          <w:tcPr>
            <w:tcW w:w="6101" w:type="dxa"/>
            <w:vAlign w:val="top"/>
          </w:tcPr>
          <w:p w14:paraId="10CAA5D1" w14:textId="1725344B" w:rsidR="00B33851" w:rsidRPr="007967A9" w:rsidRDefault="00957F1D" w:rsidP="007967A9">
            <w:pPr>
              <w:pStyle w:val="SDMTableBoxParaNotNumbered"/>
              <w:rPr>
                <w:rFonts w:cs="Arial"/>
              </w:rPr>
            </w:pPr>
            <w:r w:rsidRPr="007967A9">
              <w:rPr>
                <w:rFonts w:cs="Arial"/>
              </w:rPr>
              <w:t xml:space="preserve">Period from the start of the reference period up to the </w:t>
            </w:r>
            <w:r w:rsidR="004418CD" w:rsidRPr="007967A9">
              <w:rPr>
                <w:rFonts w:cs="Arial"/>
              </w:rPr>
              <w:t>m</w:t>
            </w:r>
            <w:r w:rsidR="00B33851" w:rsidRPr="007967A9">
              <w:rPr>
                <w:rFonts w:cs="Arial"/>
              </w:rPr>
              <w:t xml:space="preserve">ost recent </w:t>
            </w:r>
            <w:r w:rsidR="004418CD" w:rsidRPr="007967A9">
              <w:rPr>
                <w:rFonts w:cs="Arial"/>
              </w:rPr>
              <w:t xml:space="preserve">calendar </w:t>
            </w:r>
            <w:r w:rsidR="00B33851" w:rsidRPr="007967A9">
              <w:rPr>
                <w:rFonts w:cs="Arial"/>
              </w:rPr>
              <w:t xml:space="preserve">year for which electricity generation data </w:t>
            </w:r>
            <w:r w:rsidR="009976BC" w:rsidRPr="007967A9">
              <w:rPr>
                <w:rFonts w:cs="Arial"/>
              </w:rPr>
              <w:t xml:space="preserve">are </w:t>
            </w:r>
            <w:r w:rsidR="00B33851" w:rsidRPr="007967A9">
              <w:rPr>
                <w:rFonts w:cs="Arial"/>
              </w:rPr>
              <w:t>available</w:t>
            </w:r>
            <w:r w:rsidR="00A66961" w:rsidRPr="007967A9">
              <w:rPr>
                <w:rStyle w:val="FootnoteReference"/>
                <w:rFonts w:cs="Arial"/>
              </w:rPr>
              <w:footnoteReference w:id="23"/>
            </w:r>
          </w:p>
        </w:tc>
      </w:tr>
      <w:tr w:rsidR="009571A3" w:rsidRPr="007967A9" w14:paraId="79C3C8E3" w14:textId="77777777" w:rsidTr="00C90E7A">
        <w:tc>
          <w:tcPr>
            <w:tcW w:w="1852" w:type="dxa"/>
            <w:vAlign w:val="top"/>
          </w:tcPr>
          <w:p w14:paraId="67A52C05" w14:textId="0E668FF8" w:rsidR="009571A3" w:rsidRPr="00AB415C" w:rsidDel="00641F72" w:rsidRDefault="003F6646" w:rsidP="007967A9">
            <w:pPr>
              <w:pStyle w:val="SDMTableBoxParaNotNumbered"/>
              <w:rPr>
                <w:rFonts w:cs="Arial"/>
                <w:i/>
                <w:iCs/>
              </w:rPr>
            </w:pPr>
            <m:oMathPara>
              <m:oMathParaPr>
                <m:jc m:val="left"/>
              </m:oMathParaPr>
              <m:oMath>
                <m:sSub>
                  <m:sSubPr>
                    <m:ctrlPr>
                      <w:rPr>
                        <w:rFonts w:ascii="Cambria Math" w:hAnsi="Cambria Math" w:cs="Arial"/>
                        <w:i/>
                      </w:rPr>
                    </m:ctrlPr>
                  </m:sSubPr>
                  <m:e>
                    <m:r>
                      <w:rPr>
                        <w:rFonts w:ascii="Cambria Math" w:hAnsi="Cambria Math" w:cs="Arial"/>
                      </w:rPr>
                      <m:t>F</m:t>
                    </m:r>
                  </m:e>
                  <m:sub>
                    <m:r>
                      <w:rPr>
                        <w:rFonts w:ascii="Cambria Math" w:hAnsi="Cambria Math" w:cs="Arial"/>
                      </w:rPr>
                      <m:t>BM</m:t>
                    </m:r>
                  </m:sub>
                </m:sSub>
              </m:oMath>
            </m:oMathPara>
          </w:p>
        </w:tc>
        <w:tc>
          <w:tcPr>
            <w:tcW w:w="376" w:type="dxa"/>
            <w:vAlign w:val="top"/>
          </w:tcPr>
          <w:p w14:paraId="4696B1AE" w14:textId="77777777" w:rsidR="009571A3" w:rsidRPr="007967A9" w:rsidRDefault="009571A3" w:rsidP="007967A9">
            <w:pPr>
              <w:pStyle w:val="SDMTableBoxParaNotNumbered"/>
              <w:rPr>
                <w:rFonts w:cs="Arial"/>
              </w:rPr>
            </w:pPr>
            <w:r w:rsidRPr="007967A9">
              <w:rPr>
                <w:rFonts w:cs="Arial"/>
              </w:rPr>
              <w:t>=</w:t>
            </w:r>
          </w:p>
        </w:tc>
        <w:tc>
          <w:tcPr>
            <w:tcW w:w="6101" w:type="dxa"/>
            <w:vAlign w:val="top"/>
          </w:tcPr>
          <w:p w14:paraId="1E2B2F56" w14:textId="0C24BBCD" w:rsidR="009571A3" w:rsidRPr="007967A9" w:rsidRDefault="009571A3" w:rsidP="007967A9">
            <w:pPr>
              <w:pStyle w:val="SDMTableBoxParaNotNumbered"/>
              <w:rPr>
                <w:rFonts w:cs="Arial"/>
              </w:rPr>
            </w:pPr>
            <w:r w:rsidRPr="007967A9">
              <w:rPr>
                <w:rFonts w:cs="Arial"/>
              </w:rPr>
              <w:t>Factor</w:t>
            </w:r>
            <w:r w:rsidR="004F7CEF" w:rsidRPr="007967A9">
              <w:rPr>
                <w:rFonts w:cs="Arial"/>
              </w:rPr>
              <w:t xml:space="preserve"> accounting</w:t>
            </w:r>
            <w:r w:rsidRPr="007967A9">
              <w:rPr>
                <w:rFonts w:cs="Arial"/>
              </w:rPr>
              <w:t xml:space="preserve"> for the likely annual decrease of the BM </w:t>
            </w:r>
            <w:r w:rsidR="00B56E38" w:rsidRPr="007967A9">
              <w:rPr>
                <w:rFonts w:cs="Arial"/>
              </w:rPr>
              <w:t xml:space="preserve">emission factor </w:t>
            </w:r>
            <w:r w:rsidRPr="007967A9">
              <w:rPr>
                <w:rFonts w:cs="Arial"/>
              </w:rPr>
              <w:t>over time</w:t>
            </w:r>
          </w:p>
        </w:tc>
      </w:tr>
      <w:tr w:rsidR="009571A3" w:rsidRPr="00780E96" w14:paraId="3745B333" w14:textId="77777777" w:rsidTr="00C90E7A">
        <w:tc>
          <w:tcPr>
            <w:tcW w:w="1852" w:type="dxa"/>
            <w:vAlign w:val="top"/>
          </w:tcPr>
          <w:p w14:paraId="66FE93B7" w14:textId="7503B55A" w:rsidR="009571A3" w:rsidRPr="00780E96" w:rsidDel="00641F72" w:rsidRDefault="00B83228" w:rsidP="007967A9">
            <w:pPr>
              <w:pStyle w:val="SDMTableBoxParaNotNumbered"/>
              <w:rPr>
                <w:rFonts w:cs="Arial"/>
                <w:i/>
                <w:iCs/>
              </w:rPr>
            </w:pPr>
            <m:oMathPara>
              <m:oMathParaPr>
                <m:jc m:val="left"/>
              </m:oMathParaPr>
              <m:oMath>
                <m:r>
                  <w:rPr>
                    <w:rFonts w:ascii="Cambria Math" w:hAnsi="Cambria Math" w:cs="Arial"/>
                  </w:rPr>
                  <m:t>x</m:t>
                </m:r>
              </m:oMath>
            </m:oMathPara>
          </w:p>
        </w:tc>
        <w:tc>
          <w:tcPr>
            <w:tcW w:w="376" w:type="dxa"/>
            <w:vAlign w:val="top"/>
          </w:tcPr>
          <w:p w14:paraId="4F75B902" w14:textId="77777777" w:rsidR="009571A3" w:rsidRPr="00780E96" w:rsidRDefault="009571A3" w:rsidP="007967A9">
            <w:pPr>
              <w:pStyle w:val="SDMTableBoxParaNotNumbered"/>
              <w:rPr>
                <w:rFonts w:cs="Arial"/>
              </w:rPr>
            </w:pPr>
            <w:r w:rsidRPr="00780E96">
              <w:rPr>
                <w:rFonts w:cs="Arial"/>
              </w:rPr>
              <w:t>=</w:t>
            </w:r>
          </w:p>
        </w:tc>
        <w:tc>
          <w:tcPr>
            <w:tcW w:w="6101" w:type="dxa"/>
            <w:vAlign w:val="top"/>
          </w:tcPr>
          <w:p w14:paraId="72476049" w14:textId="6630EF5E" w:rsidR="009571A3" w:rsidRPr="00780E96" w:rsidRDefault="00700E78" w:rsidP="007967A9">
            <w:pPr>
              <w:pStyle w:val="SDMTableBoxParaNotNumbered"/>
              <w:rPr>
                <w:rFonts w:cs="Arial"/>
              </w:rPr>
            </w:pPr>
            <w:r w:rsidRPr="00780E96">
              <w:rPr>
                <w:rFonts w:cs="Arial"/>
              </w:rPr>
              <w:t xml:space="preserve">Calendar year in which the Article 6.4 </w:t>
            </w:r>
            <w:r w:rsidR="00D24690" w:rsidRPr="00780E96">
              <w:rPr>
                <w:rFonts w:eastAsia="Arial"/>
              </w:rPr>
              <w:t>project or CP</w:t>
            </w:r>
            <w:r w:rsidR="00D24690" w:rsidRPr="00780E96">
              <w:rPr>
                <w:rFonts w:cs="Arial"/>
              </w:rPr>
              <w:t xml:space="preserve"> </w:t>
            </w:r>
            <w:r w:rsidRPr="00780E96">
              <w:rPr>
                <w:rFonts w:cs="Arial"/>
              </w:rPr>
              <w:t>starts operation</w:t>
            </w:r>
          </w:p>
        </w:tc>
      </w:tr>
      <w:tr w:rsidR="00700E78" w:rsidRPr="00780E96" w14:paraId="72AEFD8C" w14:textId="77777777" w:rsidTr="00C90E7A">
        <w:tc>
          <w:tcPr>
            <w:tcW w:w="1852" w:type="dxa"/>
            <w:vAlign w:val="top"/>
          </w:tcPr>
          <w:p w14:paraId="07F88DE9" w14:textId="73A89F29" w:rsidR="00700E78" w:rsidRPr="00780E96" w:rsidRDefault="00B83228" w:rsidP="007967A9">
            <w:pPr>
              <w:pStyle w:val="SDMTableBoxParaNotNumbered"/>
              <w:rPr>
                <w:rFonts w:cs="Arial"/>
                <w:i/>
                <w:iCs/>
              </w:rPr>
            </w:pPr>
            <m:oMathPara>
              <m:oMathParaPr>
                <m:jc m:val="left"/>
              </m:oMathParaPr>
              <m:oMath>
                <m:r>
                  <w:rPr>
                    <w:rFonts w:ascii="Cambria Math" w:hAnsi="Cambria Math" w:cs="Arial"/>
                  </w:rPr>
                  <m:t>r</m:t>
                </m:r>
              </m:oMath>
            </m:oMathPara>
          </w:p>
        </w:tc>
        <w:tc>
          <w:tcPr>
            <w:tcW w:w="376" w:type="dxa"/>
            <w:vAlign w:val="top"/>
          </w:tcPr>
          <w:p w14:paraId="6568EA13" w14:textId="77777777" w:rsidR="00700E78" w:rsidRPr="00780E96" w:rsidRDefault="00700E78" w:rsidP="007967A9">
            <w:pPr>
              <w:pStyle w:val="SDMTableBoxParaNotNumbered"/>
              <w:rPr>
                <w:rFonts w:cs="Arial"/>
              </w:rPr>
            </w:pPr>
            <w:r w:rsidRPr="00780E96">
              <w:rPr>
                <w:rFonts w:cs="Arial"/>
              </w:rPr>
              <w:t>=</w:t>
            </w:r>
          </w:p>
        </w:tc>
        <w:tc>
          <w:tcPr>
            <w:tcW w:w="6101" w:type="dxa"/>
            <w:vAlign w:val="top"/>
          </w:tcPr>
          <w:p w14:paraId="04E8D138" w14:textId="3C1CAA10" w:rsidR="00700E78" w:rsidRPr="00780E96" w:rsidRDefault="00700E78" w:rsidP="007967A9">
            <w:pPr>
              <w:pStyle w:val="SDMTableBoxParaNotNumbered"/>
              <w:rPr>
                <w:rFonts w:cs="Arial"/>
              </w:rPr>
            </w:pPr>
            <w:r w:rsidRPr="00780E96">
              <w:rPr>
                <w:rFonts w:cs="Arial"/>
              </w:rPr>
              <w:t>Central year within the historical reference period</w:t>
            </w:r>
            <w:r w:rsidR="005469C5" w:rsidRPr="00780E96">
              <w:rPr>
                <w:rFonts w:cs="Arial"/>
              </w:rPr>
              <w:t xml:space="preserve"> (</w:t>
            </w:r>
            <w:r w:rsidR="0023186B" w:rsidRPr="00780E96">
              <w:rPr>
                <w:rFonts w:cs="Arial"/>
              </w:rPr>
              <w:t>i.e.,</w:t>
            </w:r>
            <w:r w:rsidR="005469C5" w:rsidRPr="00780E96">
              <w:rPr>
                <w:rFonts w:cs="Arial"/>
              </w:rPr>
              <w:t xml:space="preserve"> </w:t>
            </w:r>
            <w:r w:rsidR="005469C5" w:rsidRPr="00780E96">
              <w:rPr>
                <w:rFonts w:cs="Arial"/>
                <w:i/>
                <w:iCs/>
              </w:rPr>
              <w:t>z</w:t>
            </w:r>
            <w:r w:rsidR="0023186B" w:rsidRPr="00780E96">
              <w:rPr>
                <w:rFonts w:cs="Arial"/>
                <w:i/>
                <w:iCs/>
              </w:rPr>
              <w:t>-1</w:t>
            </w:r>
            <w:r w:rsidR="0023186B" w:rsidRPr="00780E96">
              <w:rPr>
                <w:rFonts w:cs="Arial"/>
              </w:rPr>
              <w:t xml:space="preserve"> for a three-year historical reference period and </w:t>
            </w:r>
            <w:r w:rsidR="0023186B" w:rsidRPr="00780E96">
              <w:rPr>
                <w:rFonts w:cs="Arial"/>
                <w:i/>
                <w:iCs/>
              </w:rPr>
              <w:t>z-3</w:t>
            </w:r>
            <w:r w:rsidR="0023186B" w:rsidRPr="00780E96">
              <w:rPr>
                <w:rFonts w:cs="Arial"/>
              </w:rPr>
              <w:t xml:space="preserve"> for a five-year historical reference period)</w:t>
            </w:r>
          </w:p>
        </w:tc>
      </w:tr>
      <w:tr w:rsidR="00413C78" w:rsidRPr="00780E96" w14:paraId="3F9F052E" w14:textId="77777777" w:rsidTr="00C90E7A">
        <w:tc>
          <w:tcPr>
            <w:tcW w:w="1852" w:type="dxa"/>
            <w:vAlign w:val="top"/>
          </w:tcPr>
          <w:p w14:paraId="03EB308C" w14:textId="64C5A4AB" w:rsidR="00413C78" w:rsidRPr="00780E96" w:rsidRDefault="00E85ABF" w:rsidP="007967A9">
            <w:pPr>
              <w:pStyle w:val="SDMTableBoxParaNotNumbered"/>
              <w:rPr>
                <w:rFonts w:cs="Arial"/>
              </w:rPr>
            </w:pPr>
            <m:oMathPara>
              <m:oMathParaPr>
                <m:jc m:val="left"/>
              </m:oMathParaPr>
              <m:oMath>
                <m:r>
                  <w:rPr>
                    <w:rFonts w:ascii="Cambria Math" w:hAnsi="Cambria Math" w:cs="Arial"/>
                  </w:rPr>
                  <m:t>z</m:t>
                </m:r>
              </m:oMath>
            </m:oMathPara>
          </w:p>
        </w:tc>
        <w:tc>
          <w:tcPr>
            <w:tcW w:w="376" w:type="dxa"/>
            <w:vAlign w:val="top"/>
          </w:tcPr>
          <w:p w14:paraId="70B224B4" w14:textId="336E0797" w:rsidR="00413C78" w:rsidRPr="00780E96" w:rsidRDefault="00E85ABF" w:rsidP="007967A9">
            <w:pPr>
              <w:pStyle w:val="SDMTableBoxParaNotNumbered"/>
              <w:rPr>
                <w:rFonts w:cs="Arial"/>
              </w:rPr>
            </w:pPr>
            <w:r w:rsidRPr="00780E96">
              <w:rPr>
                <w:rFonts w:cs="Arial"/>
              </w:rPr>
              <w:t>=</w:t>
            </w:r>
          </w:p>
        </w:tc>
        <w:tc>
          <w:tcPr>
            <w:tcW w:w="6101" w:type="dxa"/>
            <w:vAlign w:val="top"/>
          </w:tcPr>
          <w:p w14:paraId="7D36EFEB" w14:textId="073B9202" w:rsidR="00413C78" w:rsidRPr="00780E96" w:rsidRDefault="00E85ABF" w:rsidP="007967A9">
            <w:pPr>
              <w:pStyle w:val="SDMTableBoxParaNotNumbered"/>
              <w:rPr>
                <w:rFonts w:cs="Arial"/>
              </w:rPr>
            </w:pPr>
            <w:r w:rsidRPr="00780E96">
              <w:rPr>
                <w:rFonts w:eastAsia="Arial" w:cs="Arial"/>
              </w:rPr>
              <w:t>Most recent calendar year for which data are available on new power units that started supplying electricity to the electricity system</w:t>
            </w:r>
          </w:p>
        </w:tc>
      </w:tr>
    </w:tbl>
    <w:p w14:paraId="0578B484" w14:textId="6AA36905" w:rsidR="000063E7" w:rsidRPr="00780E96" w:rsidRDefault="005B7451">
      <w:pPr>
        <w:pStyle w:val="SDMPara"/>
      </w:pPr>
      <w:bookmarkStart w:id="658" w:name="_Ref221039187"/>
      <w:r w:rsidRPr="00780E96">
        <w:t xml:space="preserve">For </w:t>
      </w:r>
      <w:r w:rsidR="00934EB4" w:rsidRPr="00780E96">
        <w:rPr>
          <w:b/>
          <w:bCs/>
        </w:rPr>
        <w:t>case </w:t>
      </w:r>
      <w:r w:rsidRPr="00780E96">
        <w:rPr>
          <w:b/>
          <w:bCs/>
        </w:rPr>
        <w:t>1</w:t>
      </w:r>
      <w:r w:rsidRPr="00780E96">
        <w:t xml:space="preserve">, a value of zero shall </w:t>
      </w:r>
      <w:r w:rsidR="00B431B7" w:rsidRPr="00780E96">
        <w:t xml:space="preserve">be </w:t>
      </w:r>
      <w:r w:rsidRPr="00780E96">
        <w:t>appl</w:t>
      </w:r>
      <w:r w:rsidR="00B431B7" w:rsidRPr="00780E96">
        <w:t>ied</w:t>
      </w:r>
      <w:r w:rsidRPr="00780E96">
        <w:t xml:space="preserve"> to the parameter </w:t>
      </w:r>
      <w:r w:rsidRPr="00780E96">
        <w:rPr>
          <w:i/>
        </w:rPr>
        <w:t>F</w:t>
      </w:r>
      <w:r w:rsidRPr="00780E96">
        <w:rPr>
          <w:i/>
          <w:vertAlign w:val="subscript"/>
        </w:rPr>
        <w:t>BM</w:t>
      </w:r>
      <w:r w:rsidRPr="00780E96">
        <w:t xml:space="preserve">, as a simplified and reasonably conservative approach. For </w:t>
      </w:r>
      <w:r w:rsidR="00B431B7" w:rsidRPr="00780E96">
        <w:rPr>
          <w:b/>
          <w:bCs/>
        </w:rPr>
        <w:t>case </w:t>
      </w:r>
      <w:r w:rsidRPr="00780E96">
        <w:rPr>
          <w:b/>
          <w:bCs/>
        </w:rPr>
        <w:t>2</w:t>
      </w:r>
      <w:r w:rsidRPr="00780E96">
        <w:t xml:space="preserve">, </w:t>
      </w:r>
      <w:r w:rsidR="008A15A7" w:rsidRPr="00780E96">
        <w:t xml:space="preserve">activity participants shall use either the global value or the respective country-specific value provided in </w:t>
      </w:r>
      <w:r w:rsidR="5609A52A" w:rsidRPr="00780E96">
        <w:t>a</w:t>
      </w:r>
      <w:r w:rsidR="008A15A7" w:rsidRPr="00780E96">
        <w:t>ppendix 2.</w:t>
      </w:r>
      <w:bookmarkEnd w:id="658"/>
    </w:p>
    <w:p w14:paraId="733FFD09" w14:textId="7E5BC90E" w:rsidR="00216780" w:rsidRPr="00780E96" w:rsidRDefault="00DC41A3" w:rsidP="00F62D64">
      <w:pPr>
        <w:pStyle w:val="SDMPara"/>
        <w:keepNext/>
      </w:pPr>
      <w:r w:rsidRPr="00780E96">
        <w:t>In the calculation of the BM emission factor, activity participants shall</w:t>
      </w:r>
      <w:r w:rsidR="00216780" w:rsidRPr="00780E96">
        <w:t>:</w:t>
      </w:r>
    </w:p>
    <w:p w14:paraId="43C2E9C8" w14:textId="77777777" w:rsidR="00216780" w:rsidRPr="00780E96" w:rsidRDefault="00302C39" w:rsidP="00B15AC9">
      <w:pPr>
        <w:pStyle w:val="SDMSubPara1"/>
      </w:pPr>
      <w:r w:rsidRPr="00780E96">
        <w:t>Exclude capacity additions resulting from retrofits of existing power units; and</w:t>
      </w:r>
    </w:p>
    <w:p w14:paraId="18990573" w14:textId="24BEB8C3" w:rsidR="00216780" w:rsidRPr="00780E96" w:rsidRDefault="00DC41A3" w:rsidP="00F62D64">
      <w:pPr>
        <w:pStyle w:val="SDMSubPara1"/>
        <w:keepNext/>
      </w:pPr>
      <w:r w:rsidRPr="00780E96">
        <w:t>Include power units that are</w:t>
      </w:r>
      <w:r w:rsidR="00216780" w:rsidRPr="00780E96">
        <w:t>:</w:t>
      </w:r>
    </w:p>
    <w:p w14:paraId="0C17D054" w14:textId="77777777" w:rsidR="00216780" w:rsidRPr="00780E96" w:rsidRDefault="00713925">
      <w:pPr>
        <w:pStyle w:val="SDMSubPara2"/>
      </w:pPr>
      <w:r w:rsidRPr="00780E96">
        <w:t>Registered as Article 6.4 projects;</w:t>
      </w:r>
    </w:p>
    <w:p w14:paraId="05C66649" w14:textId="77777777" w:rsidR="00216780" w:rsidRPr="00780E96" w:rsidRDefault="00713925">
      <w:pPr>
        <w:pStyle w:val="SDMSubPara2"/>
      </w:pPr>
      <w:r w:rsidRPr="00780E96">
        <w:t>Included as CPs in an Article 6.4 PoA; or</w:t>
      </w:r>
    </w:p>
    <w:p w14:paraId="3CA09AA0" w14:textId="3F9D049A" w:rsidR="00713925" w:rsidRPr="00780E96" w:rsidRDefault="00713925" w:rsidP="00AD2370">
      <w:pPr>
        <w:pStyle w:val="SDMSubPara2"/>
      </w:pPr>
      <w:r w:rsidRPr="00780E96">
        <w:t>Registered under other carbon crediting programs</w:t>
      </w:r>
      <w:r w:rsidR="00302C39" w:rsidRPr="00780E96">
        <w:t>.</w:t>
      </w:r>
    </w:p>
    <w:p w14:paraId="4ABC8B3E" w14:textId="5378475F" w:rsidR="00AF42D7" w:rsidRPr="00780E96" w:rsidRDefault="000F12D1" w:rsidP="00F62D64">
      <w:pPr>
        <w:pStyle w:val="SDMPara"/>
        <w:keepNext/>
      </w:pPr>
      <w:r w:rsidRPr="00780E96">
        <w:t>For</w:t>
      </w:r>
      <w:r w:rsidR="002D285B" w:rsidRPr="00780E96">
        <w:t xml:space="preserve"> the first crediting period, the BM emission factor </w:t>
      </w:r>
      <w:r w:rsidR="00430E41" w:rsidRPr="00780E96">
        <w:t xml:space="preserve">shall be updated </w:t>
      </w:r>
      <w:r w:rsidR="00DD03D3" w:rsidRPr="00780E96">
        <w:t>for each calendar year</w:t>
      </w:r>
      <w:r w:rsidR="00E855CC" w:rsidRPr="00780E96">
        <w:t xml:space="preserve"> as follows:</w:t>
      </w:r>
    </w:p>
    <w:p w14:paraId="3E36B0B3" w14:textId="35792899" w:rsidR="00AD3A6A" w:rsidRPr="00F65332" w:rsidRDefault="00452586" w:rsidP="00F65332">
      <w:pPr>
        <w:pStyle w:val="SDMSubPara1"/>
        <w:rPr>
          <w:rFonts w:eastAsia="Arial"/>
          <w:bCs/>
        </w:rPr>
      </w:pPr>
      <w:r w:rsidRPr="00780E96">
        <w:t>Where</w:t>
      </w:r>
      <w:r w:rsidR="00957C49" w:rsidRPr="00780E96">
        <w:t xml:space="preserve"> data </w:t>
      </w:r>
      <w:r w:rsidR="00DD03D3" w:rsidRPr="00780E96">
        <w:t xml:space="preserve">to determine the BM emission factor for </w:t>
      </w:r>
      <w:r w:rsidR="00CF30D5" w:rsidRPr="00780E96">
        <w:t>a concurrent reference</w:t>
      </w:r>
      <w:r w:rsidR="00CF30D5">
        <w:t xml:space="preserve"> period </w:t>
      </w:r>
      <w:r w:rsidR="0031771E">
        <w:t xml:space="preserve">are </w:t>
      </w:r>
      <w:r w:rsidR="00CF30D5">
        <w:t xml:space="preserve">not </w:t>
      </w:r>
      <w:r w:rsidR="00F92C71">
        <w:t xml:space="preserve">yet </w:t>
      </w:r>
      <w:r w:rsidR="00CF30D5">
        <w:t xml:space="preserve">available, the BM emission factor shall </w:t>
      </w:r>
      <w:r w:rsidR="00F92C71">
        <w:t xml:space="preserve">be </w:t>
      </w:r>
      <w:r w:rsidR="00DD03D3">
        <w:t>updated for each</w:t>
      </w:r>
      <w:r w:rsidR="00D97F99">
        <w:t xml:space="preserve"> calendar year</w:t>
      </w:r>
      <w:r w:rsidR="007F7248">
        <w:t xml:space="preserve"> using the </w:t>
      </w:r>
      <w:r w:rsidR="00F92C71">
        <w:t>same historical reference period</w:t>
      </w:r>
      <w:r w:rsidR="007F7248">
        <w:t xml:space="preserve"> and </w:t>
      </w:r>
      <w:r w:rsidR="00766707">
        <w:t xml:space="preserve">the same </w:t>
      </w:r>
      <w:r w:rsidR="00FB3E77">
        <w:t xml:space="preserve">set of </w:t>
      </w:r>
      <w:r w:rsidR="00766707">
        <w:t>power units</w:t>
      </w:r>
      <w:r w:rsidR="000D7A4C">
        <w:t> </w:t>
      </w:r>
      <w:r w:rsidR="0068705B">
        <w:rPr>
          <w:i/>
          <w:iCs/>
        </w:rPr>
        <w:t>p</w:t>
      </w:r>
      <w:r w:rsidR="00766707">
        <w:t xml:space="preserve">, </w:t>
      </w:r>
      <w:r w:rsidR="0092555E">
        <w:t>but</w:t>
      </w:r>
      <w:r w:rsidR="00766707">
        <w:t xml:space="preserve"> </w:t>
      </w:r>
      <w:r w:rsidR="000763EB">
        <w:t>updating</w:t>
      </w:r>
      <w:r w:rsidR="00100E93">
        <w:t xml:space="preserve"> </w:t>
      </w:r>
      <w:r w:rsidR="00E52C6D">
        <w:t xml:space="preserve">data on </w:t>
      </w:r>
      <w:r w:rsidR="00100E93">
        <w:t xml:space="preserve">electricity generation </w:t>
      </w:r>
      <w:r w:rsidR="3E40BE9A" w:rsidRPr="00843AEE">
        <w:t>and emission factor</w:t>
      </w:r>
      <w:r w:rsidR="00810664">
        <w:t>s</w:t>
      </w:r>
      <w:r w:rsidR="00100E93" w:rsidRPr="00843AEE">
        <w:t xml:space="preserve"> </w:t>
      </w:r>
      <w:r w:rsidR="00810664">
        <w:t>of</w:t>
      </w:r>
      <w:r w:rsidR="00100E93" w:rsidDel="0031771E">
        <w:t xml:space="preserve"> the power units</w:t>
      </w:r>
      <w:r w:rsidR="00C62121" w:rsidDel="0031771E">
        <w:t> </w:t>
      </w:r>
      <w:r w:rsidR="0068705B" w:rsidDel="0031771E">
        <w:rPr>
          <w:i/>
          <w:iCs/>
        </w:rPr>
        <w:t>p</w:t>
      </w:r>
      <w:r w:rsidR="00C62121" w:rsidDel="0031771E">
        <w:t xml:space="preserve"> </w:t>
      </w:r>
      <w:r w:rsidR="00C62121">
        <w:t xml:space="preserve">by </w:t>
      </w:r>
      <w:r w:rsidR="004E3168">
        <w:t>extending</w:t>
      </w:r>
      <w:r w:rsidR="00766707">
        <w:t xml:space="preserve"> the</w:t>
      </w:r>
      <w:r w:rsidR="007C6C63">
        <w:t xml:space="preserve"> period</w:t>
      </w:r>
      <w:r w:rsidR="0092555E">
        <w:t> </w:t>
      </w:r>
      <w:r w:rsidR="007C6C63" w:rsidRPr="002202E8">
        <w:rPr>
          <w:i/>
          <w:iCs/>
        </w:rPr>
        <w:t>t</w:t>
      </w:r>
      <w:r w:rsidR="007C6C63">
        <w:t xml:space="preserve"> </w:t>
      </w:r>
      <w:r w:rsidR="00B23C22">
        <w:t>to the most recent calendar year</w:t>
      </w:r>
      <w:r w:rsidR="00B8022E">
        <w:t xml:space="preserve"> </w:t>
      </w:r>
      <w:r w:rsidR="00B8022E" w:rsidRPr="0038644B">
        <w:t xml:space="preserve">for which data </w:t>
      </w:r>
      <w:r w:rsidR="0039742F">
        <w:t>are</w:t>
      </w:r>
      <w:r w:rsidR="0039742F" w:rsidRPr="0038644B">
        <w:t xml:space="preserve"> </w:t>
      </w:r>
      <w:r w:rsidR="00B8022E" w:rsidRPr="0038644B">
        <w:t>available</w:t>
      </w:r>
      <w:r w:rsidR="00B23C22">
        <w:t>;</w:t>
      </w:r>
      <w:r w:rsidR="0039742F">
        <w:t xml:space="preserve"> and</w:t>
      </w:r>
    </w:p>
    <w:p w14:paraId="5325A170" w14:textId="64F02F93" w:rsidR="0096299B" w:rsidRPr="00B24360" w:rsidRDefault="004418CD" w:rsidP="00F65332">
      <w:pPr>
        <w:pStyle w:val="SDMSubPara1"/>
      </w:pPr>
      <w:r w:rsidRPr="00B24360">
        <w:t>Once data</w:t>
      </w:r>
      <w:r w:rsidR="0096299B" w:rsidRPr="00B24360" w:rsidDel="0039742F">
        <w:t xml:space="preserve"> </w:t>
      </w:r>
      <w:r w:rsidR="0039742F">
        <w:t xml:space="preserve">become </w:t>
      </w:r>
      <w:r w:rsidR="0096299B" w:rsidRPr="00B24360">
        <w:t>available to determine the BM</w:t>
      </w:r>
      <w:r w:rsidR="00B23C22" w:rsidRPr="00B24360">
        <w:t xml:space="preserve"> emission factor </w:t>
      </w:r>
      <w:r w:rsidR="006C7EC4" w:rsidRPr="00B24360">
        <w:t>for</w:t>
      </w:r>
      <w:r w:rsidR="00B23C22" w:rsidRPr="00B24360">
        <w:t xml:space="preserve"> a concurrent reference period, the BM emission factor shall be</w:t>
      </w:r>
      <w:r w:rsidR="006C0BAA" w:rsidRPr="00B24360">
        <w:t xml:space="preserve"> updated</w:t>
      </w:r>
      <w:r w:rsidR="00F020F7" w:rsidRPr="00B24360">
        <w:t xml:space="preserve"> using </w:t>
      </w:r>
      <w:r w:rsidR="006C0BAA" w:rsidRPr="00B24360">
        <w:t>the concurrent reference period</w:t>
      </w:r>
      <w:r w:rsidR="00F020F7" w:rsidRPr="00B24360">
        <w:t xml:space="preserve"> and a new set </w:t>
      </w:r>
      <w:r w:rsidR="006C0BAA" w:rsidRPr="00B24360">
        <w:t xml:space="preserve">of power </w:t>
      </w:r>
      <w:r w:rsidR="00F020F7" w:rsidRPr="00B24360">
        <w:t>units </w:t>
      </w:r>
      <w:r w:rsidR="0068705B">
        <w:rPr>
          <w:i/>
          <w:iCs/>
        </w:rPr>
        <w:t>p</w:t>
      </w:r>
      <w:r w:rsidR="006C0BAA" w:rsidRPr="00B24360">
        <w:t xml:space="preserve">. </w:t>
      </w:r>
      <w:r w:rsidR="00F020F7" w:rsidRPr="00B24360">
        <w:t>In subsequent calendar years</w:t>
      </w:r>
      <w:r w:rsidR="00E8792E" w:rsidRPr="00B24360">
        <w:t xml:space="preserve">, the BM emission factor shall be updated </w:t>
      </w:r>
      <w:r w:rsidR="00F802DF" w:rsidRPr="00B24360" w:rsidDel="000859D1">
        <w:t xml:space="preserve">for each </w:t>
      </w:r>
      <w:r w:rsidR="00E90CE3" w:rsidRPr="00B24360" w:rsidDel="000859D1">
        <w:t>calendar year</w:t>
      </w:r>
      <w:r w:rsidR="006A24EC">
        <w:t xml:space="preserve"> of the crediting period</w:t>
      </w:r>
      <w:r w:rsidR="00E8792E" w:rsidRPr="00B24360" w:rsidDel="000859D1">
        <w:t xml:space="preserve"> </w:t>
      </w:r>
      <w:r w:rsidR="00F35AB2" w:rsidRPr="00B24360">
        <w:t>using the same concurrent reference period</w:t>
      </w:r>
      <w:r w:rsidR="00A32EFF" w:rsidRPr="00B24360">
        <w:t xml:space="preserve"> and same set of power </w:t>
      </w:r>
      <w:r w:rsidR="00803F5F" w:rsidRPr="00843AEE">
        <w:t>units</w:t>
      </w:r>
      <w:r w:rsidR="00FB3E77" w:rsidRPr="00B24360">
        <w:t> </w:t>
      </w:r>
      <w:r w:rsidR="0068705B">
        <w:rPr>
          <w:i/>
          <w:iCs/>
        </w:rPr>
        <w:t>p</w:t>
      </w:r>
      <w:r w:rsidR="00F35AB2" w:rsidRPr="00B24360">
        <w:t xml:space="preserve">, </w:t>
      </w:r>
      <w:r w:rsidR="000859D1">
        <w:t>while</w:t>
      </w:r>
      <w:r w:rsidR="00FB3E77" w:rsidRPr="00B24360" w:rsidDel="000859D1">
        <w:t xml:space="preserve"> </w:t>
      </w:r>
      <w:r w:rsidR="000859D1">
        <w:t>extending</w:t>
      </w:r>
      <w:r w:rsidR="000859D1" w:rsidRPr="00B24360">
        <w:t xml:space="preserve"> </w:t>
      </w:r>
      <w:r w:rsidR="00EB194D" w:rsidRPr="00B24360">
        <w:t>period </w:t>
      </w:r>
      <w:r w:rsidR="00EB194D" w:rsidRPr="00B24360">
        <w:rPr>
          <w:i/>
          <w:iCs/>
        </w:rPr>
        <w:t>t</w:t>
      </w:r>
      <w:r w:rsidR="00EB194D" w:rsidRPr="00B24360">
        <w:t xml:space="preserve"> to the most recent calendar year for which data </w:t>
      </w:r>
      <w:r w:rsidR="00947F13">
        <w:t>are</w:t>
      </w:r>
      <w:r w:rsidR="00947F13" w:rsidRPr="00B24360">
        <w:t xml:space="preserve"> </w:t>
      </w:r>
      <w:r w:rsidR="00EB194D" w:rsidRPr="00B24360">
        <w:t>available</w:t>
      </w:r>
      <w:r w:rsidR="0092555E" w:rsidRPr="00B24360">
        <w:t>.</w:t>
      </w:r>
    </w:p>
    <w:p w14:paraId="65AF1A6E" w14:textId="4193038D" w:rsidR="00F911E8" w:rsidRDefault="6031B587">
      <w:pPr>
        <w:pStyle w:val="SDMPara"/>
        <w:rPr>
          <w:rFonts w:eastAsia="Arial"/>
        </w:rPr>
      </w:pPr>
      <w:r>
        <w:rPr>
          <w:rFonts w:eastAsia="Arial"/>
        </w:rPr>
        <w:t xml:space="preserve">For the second </w:t>
      </w:r>
      <w:r w:rsidR="0F8ABA0D">
        <w:rPr>
          <w:rFonts w:eastAsia="Arial"/>
        </w:rPr>
        <w:t xml:space="preserve">and third </w:t>
      </w:r>
      <w:r>
        <w:rPr>
          <w:rFonts w:eastAsia="Arial"/>
        </w:rPr>
        <w:t>crediting period</w:t>
      </w:r>
      <w:r w:rsidR="4D072F72">
        <w:rPr>
          <w:rFonts w:eastAsia="Arial"/>
        </w:rPr>
        <w:t>s</w:t>
      </w:r>
      <w:r>
        <w:rPr>
          <w:rFonts w:eastAsia="Arial"/>
        </w:rPr>
        <w:t xml:space="preserve">, the </w:t>
      </w:r>
      <w:r w:rsidR="30B2BDE4">
        <w:rPr>
          <w:rFonts w:eastAsia="Arial"/>
        </w:rPr>
        <w:t xml:space="preserve">BM emission factor </w:t>
      </w:r>
      <w:r w:rsidR="47AA3863">
        <w:rPr>
          <w:rFonts w:eastAsia="Arial"/>
        </w:rPr>
        <w:t xml:space="preserve">shall be </w:t>
      </w:r>
      <w:r w:rsidR="47AA3863" w:rsidRPr="55FC4291">
        <w:rPr>
          <w:rFonts w:eastAsia="Arial"/>
        </w:rPr>
        <w:t>determined once ex</w:t>
      </w:r>
      <w:r w:rsidR="60CD17B1" w:rsidRPr="55FC4291">
        <w:rPr>
          <w:rFonts w:eastAsia="Arial"/>
        </w:rPr>
        <w:t>-</w:t>
      </w:r>
      <w:r w:rsidR="47AA3863" w:rsidRPr="55FC4291">
        <w:rPr>
          <w:rFonts w:eastAsia="Arial"/>
        </w:rPr>
        <w:t xml:space="preserve">ante and </w:t>
      </w:r>
      <w:r w:rsidR="465456F3" w:rsidRPr="55FC4291">
        <w:rPr>
          <w:rFonts w:eastAsia="Arial"/>
        </w:rPr>
        <w:t xml:space="preserve">shall </w:t>
      </w:r>
      <w:r w:rsidR="47AA3863" w:rsidRPr="55FC4291">
        <w:rPr>
          <w:rFonts w:eastAsia="Arial"/>
        </w:rPr>
        <w:t xml:space="preserve">not be updated </w:t>
      </w:r>
      <w:r w:rsidR="66397263" w:rsidRPr="55FC4291">
        <w:rPr>
          <w:rFonts w:eastAsia="Arial"/>
        </w:rPr>
        <w:t>for each calendar year of the crediting period</w:t>
      </w:r>
      <w:r w:rsidR="47AA3863" w:rsidRPr="55FC4291">
        <w:rPr>
          <w:rFonts w:eastAsia="Arial"/>
        </w:rPr>
        <w:t xml:space="preserve">. It shall be determined </w:t>
      </w:r>
      <w:r w:rsidR="7F328063" w:rsidRPr="55FC4291">
        <w:rPr>
          <w:rFonts w:eastAsia="Arial"/>
        </w:rPr>
        <w:t xml:space="preserve">for </w:t>
      </w:r>
      <w:r w:rsidR="47AA3863" w:rsidRPr="55FC4291">
        <w:rPr>
          <w:rFonts w:eastAsia="Arial"/>
        </w:rPr>
        <w:t>the concurrent reference period</w:t>
      </w:r>
      <w:r w:rsidR="688F83CB" w:rsidRPr="55FC4291">
        <w:rPr>
          <w:rFonts w:eastAsia="Arial"/>
        </w:rPr>
        <w:t xml:space="preserve"> and the set of power </w:t>
      </w:r>
      <w:r w:rsidR="0B07791E" w:rsidRPr="55FC4291">
        <w:rPr>
          <w:rFonts w:eastAsia="Arial"/>
        </w:rPr>
        <w:t>units</w:t>
      </w:r>
      <w:r w:rsidR="688F83CB" w:rsidRPr="55FC4291">
        <w:rPr>
          <w:rFonts w:eastAsia="Arial"/>
        </w:rPr>
        <w:t> </w:t>
      </w:r>
      <w:r w:rsidR="0738C90D" w:rsidRPr="55FC4291">
        <w:rPr>
          <w:rFonts w:eastAsia="Arial"/>
          <w:i/>
          <w:iCs/>
        </w:rPr>
        <w:t>p</w:t>
      </w:r>
      <w:r w:rsidR="688F83CB" w:rsidRPr="55FC4291">
        <w:rPr>
          <w:rFonts w:eastAsia="Arial"/>
        </w:rPr>
        <w:t xml:space="preserve"> identified for that period</w:t>
      </w:r>
      <w:r w:rsidR="60009FD1" w:rsidRPr="55FC4291">
        <w:rPr>
          <w:rFonts w:eastAsia="Arial"/>
        </w:rPr>
        <w:t xml:space="preserve">, </w:t>
      </w:r>
      <w:r w:rsidR="135533B6" w:rsidRPr="55FC4291">
        <w:rPr>
          <w:rFonts w:eastAsia="Arial"/>
        </w:rPr>
        <w:t xml:space="preserve">in accordance with </w:t>
      </w:r>
      <w:r w:rsidR="60009FD1" w:rsidRPr="55FC4291">
        <w:rPr>
          <w:rFonts w:eastAsia="Arial"/>
        </w:rPr>
        <w:t xml:space="preserve">the provisions in </w:t>
      </w:r>
      <w:r w:rsidR="42D510FB" w:rsidRPr="00A5175F">
        <w:rPr>
          <w:rFonts w:eastAsia="Arial"/>
        </w:rPr>
        <w:t>paragraph</w:t>
      </w:r>
      <w:r w:rsidR="0F206C5A" w:rsidRPr="00A5175F">
        <w:rPr>
          <w:rFonts w:eastAsia="Arial"/>
        </w:rPr>
        <w:t> </w:t>
      </w:r>
      <w:r w:rsidR="004543A7">
        <w:rPr>
          <w:rFonts w:eastAsia="Arial"/>
        </w:rPr>
        <w:fldChar w:fldCharType="begin"/>
      </w:r>
      <w:r w:rsidR="004543A7">
        <w:rPr>
          <w:rFonts w:eastAsia="Arial"/>
        </w:rPr>
        <w:instrText xml:space="preserve"> REF _Ref216178663 \w \h </w:instrText>
      </w:r>
      <w:r w:rsidR="004543A7">
        <w:rPr>
          <w:rFonts w:eastAsia="Arial"/>
        </w:rPr>
      </w:r>
      <w:r w:rsidR="004543A7">
        <w:rPr>
          <w:rFonts w:eastAsia="Arial"/>
        </w:rPr>
        <w:fldChar w:fldCharType="separate"/>
      </w:r>
      <w:r w:rsidR="003B0135">
        <w:rPr>
          <w:rFonts w:eastAsia="Arial"/>
          <w:cs/>
        </w:rPr>
        <w:t>‎</w:t>
      </w:r>
      <w:r w:rsidR="003B0135">
        <w:rPr>
          <w:rFonts w:eastAsia="Arial"/>
        </w:rPr>
        <w:t>95</w:t>
      </w:r>
      <w:r w:rsidR="004543A7">
        <w:rPr>
          <w:rFonts w:eastAsia="Arial"/>
        </w:rPr>
        <w:fldChar w:fldCharType="end"/>
      </w:r>
      <w:r w:rsidR="60009FD1" w:rsidRPr="55FC4291">
        <w:rPr>
          <w:rFonts w:eastAsia="Arial"/>
        </w:rPr>
        <w:t>,</w:t>
      </w:r>
      <w:r w:rsidR="2F93165B" w:rsidRPr="55FC4291">
        <w:rPr>
          <w:rFonts w:eastAsia="Arial"/>
        </w:rPr>
        <w:t xml:space="preserve"> </w:t>
      </w:r>
      <w:r w:rsidR="34D986C1" w:rsidRPr="55FC4291">
        <w:rPr>
          <w:rFonts w:eastAsia="Arial"/>
        </w:rPr>
        <w:t xml:space="preserve">using </w:t>
      </w:r>
      <w:r w:rsidR="0FBCB1BD" w:rsidRPr="55FC4291">
        <w:rPr>
          <w:rFonts w:eastAsia="Arial"/>
        </w:rPr>
        <w:t xml:space="preserve">data on </w:t>
      </w:r>
      <w:r w:rsidR="34D986C1" w:rsidRPr="55FC4291">
        <w:rPr>
          <w:rFonts w:eastAsia="Arial"/>
        </w:rPr>
        <w:t>electricity generation from the power units</w:t>
      </w:r>
      <w:r w:rsidR="4717EB35" w:rsidRPr="55FC4291">
        <w:rPr>
          <w:rFonts w:eastAsia="Arial"/>
        </w:rPr>
        <w:t> </w:t>
      </w:r>
      <w:r w:rsidR="0738C90D" w:rsidRPr="55FC4291">
        <w:rPr>
          <w:rFonts w:eastAsia="Arial"/>
          <w:i/>
          <w:iCs/>
        </w:rPr>
        <w:t>p</w:t>
      </w:r>
      <w:r w:rsidR="799A8F97" w:rsidRPr="55FC4291">
        <w:rPr>
          <w:rFonts w:eastAsia="Arial"/>
          <w:i/>
          <w:iCs/>
        </w:rPr>
        <w:t xml:space="preserve"> </w:t>
      </w:r>
      <w:r w:rsidR="0FBCB1BD" w:rsidRPr="55FC4291">
        <w:rPr>
          <w:rFonts w:eastAsia="Arial"/>
        </w:rPr>
        <w:t xml:space="preserve">covering the period </w:t>
      </w:r>
      <w:r w:rsidR="47AA3863" w:rsidRPr="55FC4291">
        <w:rPr>
          <w:rFonts w:eastAsia="Arial"/>
        </w:rPr>
        <w:t xml:space="preserve">from the start of the concurrent reference period up to the most recent calendar year for which data </w:t>
      </w:r>
      <w:r w:rsidR="1CA257EA" w:rsidRPr="55FC4291">
        <w:rPr>
          <w:rFonts w:eastAsia="Arial"/>
        </w:rPr>
        <w:t xml:space="preserve">are </w:t>
      </w:r>
      <w:r w:rsidR="47AA3863" w:rsidRPr="55FC4291">
        <w:rPr>
          <w:rFonts w:eastAsia="Arial"/>
        </w:rPr>
        <w:t xml:space="preserve">available at the </w:t>
      </w:r>
      <w:r w:rsidR="6CA628F8" w:rsidRPr="55FC4291">
        <w:rPr>
          <w:rFonts w:eastAsia="Arial"/>
        </w:rPr>
        <w:t xml:space="preserve">time </w:t>
      </w:r>
      <w:r w:rsidR="46B29393" w:rsidRPr="55FC4291">
        <w:rPr>
          <w:rFonts w:eastAsia="Arial"/>
        </w:rPr>
        <w:t>of</w:t>
      </w:r>
      <w:r w:rsidR="6CA628F8" w:rsidRPr="55FC4291">
        <w:rPr>
          <w:rFonts w:eastAsia="Arial"/>
        </w:rPr>
        <w:t xml:space="preserve"> renewal of the crediting period.</w:t>
      </w:r>
    </w:p>
    <w:p w14:paraId="0995D883" w14:textId="465EA9B0" w:rsidR="001938E4" w:rsidRPr="0068705B" w:rsidRDefault="001938E4">
      <w:pPr>
        <w:pStyle w:val="SDMPara"/>
      </w:pPr>
      <w:r w:rsidRPr="0068705B">
        <w:t>The CO</w:t>
      </w:r>
      <w:r w:rsidRPr="0068705B">
        <w:rPr>
          <w:vertAlign w:val="subscript"/>
        </w:rPr>
        <w:t>2</w:t>
      </w:r>
      <w:r w:rsidRPr="0068705B">
        <w:t xml:space="preserve"> emission factor of the power units </w:t>
      </w:r>
      <w:r w:rsidRPr="0068705B">
        <w:rPr>
          <w:i/>
        </w:rPr>
        <w:t>p</w:t>
      </w:r>
      <w:r w:rsidRPr="0068705B">
        <w:t xml:space="preserve"> (</w:t>
      </w:r>
      <w:r w:rsidRPr="0068705B">
        <w:rPr>
          <w:i/>
        </w:rPr>
        <w:t>EF</w:t>
      </w:r>
      <w:r w:rsidRPr="0068705B">
        <w:rPr>
          <w:i/>
          <w:vertAlign w:val="subscript"/>
        </w:rPr>
        <w:t>EL,p,t</w:t>
      </w:r>
      <w:r w:rsidRPr="0068705B">
        <w:t xml:space="preserve">) shall be determined </w:t>
      </w:r>
      <w:r w:rsidR="00DB4E5E">
        <w:t>in accordance with</w:t>
      </w:r>
      <w:r w:rsidRPr="0068705B">
        <w:t xml:space="preserve"> the provisions in section</w:t>
      </w:r>
      <w:r w:rsidR="00BF1750">
        <w:t xml:space="preserve"> </w:t>
      </w:r>
      <w:r w:rsidR="00BF1750">
        <w:fldChar w:fldCharType="begin"/>
      </w:r>
      <w:r w:rsidR="00BF1750">
        <w:instrText xml:space="preserve"> REF _Ref215698796 \w \h </w:instrText>
      </w:r>
      <w:r w:rsidR="00BF1750">
        <w:fldChar w:fldCharType="separate"/>
      </w:r>
      <w:r w:rsidR="003B0135">
        <w:rPr>
          <w:cs/>
        </w:rPr>
        <w:t>‎</w:t>
      </w:r>
      <w:r w:rsidR="003B0135">
        <w:t>5.7.1.1.3</w:t>
      </w:r>
      <w:r w:rsidR="00BF1750">
        <w:fldChar w:fldCharType="end"/>
      </w:r>
      <w:r w:rsidRPr="0068705B">
        <w:t>.</w:t>
      </w:r>
    </w:p>
    <w:p w14:paraId="549FD84E" w14:textId="223D0B1C" w:rsidR="000231C3" w:rsidRDefault="000231C3">
      <w:pPr>
        <w:pStyle w:val="SDMPara"/>
      </w:pPr>
      <w:r>
        <w:t xml:space="preserve">For the purpose of quantifying the uncertainty of the </w:t>
      </w:r>
      <w:r w:rsidR="006325E2">
        <w:t xml:space="preserve">BM emission factor, the </w:t>
      </w:r>
      <w:r w:rsidR="00255A76">
        <w:t xml:space="preserve">uncertainty </w:t>
      </w:r>
      <w:r w:rsidR="009A0B77" w:rsidRPr="00780E96">
        <w:t xml:space="preserve">associated with </w:t>
      </w:r>
      <w:r w:rsidR="3AD0FB34" w:rsidRPr="00780E96">
        <w:t>the</w:t>
      </w:r>
      <w:r w:rsidR="009A0B77" w:rsidRPr="00780E96">
        <w:t xml:space="preserve"> </w:t>
      </w:r>
      <w:r w:rsidR="004C2E2F" w:rsidRPr="00780E96">
        <w:t>BM method,</w:t>
      </w:r>
      <w:r w:rsidR="001C12D1" w:rsidRPr="00780E96">
        <w:t xml:space="preserve"> in particular</w:t>
      </w:r>
      <w:r w:rsidR="003D4C05" w:rsidRPr="00780E96">
        <w:t xml:space="preserve"> </w:t>
      </w:r>
      <w:r w:rsidR="004C2E2F" w:rsidRPr="00780E96">
        <w:t xml:space="preserve">the assumption </w:t>
      </w:r>
      <w:r w:rsidR="003D4C05" w:rsidRPr="00780E96">
        <w:t>that the Article</w:t>
      </w:r>
      <w:r w:rsidR="000D4904" w:rsidRPr="00780E96">
        <w:t> </w:t>
      </w:r>
      <w:r w:rsidR="003D4C05" w:rsidRPr="00780E96">
        <w:t>6.4</w:t>
      </w:r>
      <w:r w:rsidR="00335F76" w:rsidRPr="00780E96">
        <w:t xml:space="preserve"> </w:t>
      </w:r>
      <w:r w:rsidR="00493A0E" w:rsidRPr="00780E96">
        <w:rPr>
          <w:rFonts w:eastAsia="Arial"/>
        </w:rPr>
        <w:t>project or CP</w:t>
      </w:r>
      <w:r w:rsidR="00493A0E" w:rsidRPr="00780E96">
        <w:t xml:space="preserve"> </w:t>
      </w:r>
      <w:r w:rsidR="003D4C05" w:rsidRPr="00780E96">
        <w:t xml:space="preserve">would displace the </w:t>
      </w:r>
      <w:r w:rsidR="004E2A53" w:rsidRPr="00780E96">
        <w:t xml:space="preserve">construction of the </w:t>
      </w:r>
      <w:r w:rsidR="003D4C05" w:rsidRPr="00780E96">
        <w:t xml:space="preserve">same </w:t>
      </w:r>
      <w:r w:rsidR="004E2A53" w:rsidRPr="00780E96">
        <w:t xml:space="preserve">type and composition of </w:t>
      </w:r>
      <w:r w:rsidR="003D4C05" w:rsidRPr="00780E96">
        <w:t xml:space="preserve">power </w:t>
      </w:r>
      <w:r w:rsidR="004E2A53" w:rsidRPr="00780E96">
        <w:t xml:space="preserve">units </w:t>
      </w:r>
      <w:r w:rsidR="001C12D1" w:rsidRPr="00780E96">
        <w:t xml:space="preserve">as those </w:t>
      </w:r>
      <w:r w:rsidR="004E2A53" w:rsidRPr="00780E96">
        <w:t xml:space="preserve">included </w:t>
      </w:r>
      <w:r w:rsidR="001C12D1" w:rsidRPr="00780E96">
        <w:t xml:space="preserve">in the </w:t>
      </w:r>
      <w:r w:rsidR="004E2A53" w:rsidRPr="00780E96">
        <w:t>BM</w:t>
      </w:r>
      <w:r w:rsidR="001C12D1" w:rsidRPr="00780E96">
        <w:t>, shall be</w:t>
      </w:r>
      <w:r w:rsidR="001C12D1">
        <w:t xml:space="preserve"> assumed to </w:t>
      </w:r>
      <w:r w:rsidR="004E2A53" w:rsidRPr="001A00C0">
        <w:t>be</w:t>
      </w:r>
      <w:r w:rsidR="001C12D1" w:rsidRPr="001A00C0">
        <w:t xml:space="preserve"> </w:t>
      </w:r>
      <w:r w:rsidR="00E646CB" w:rsidRPr="0081214A">
        <w:t>±</w:t>
      </w:r>
      <w:r w:rsidR="008C5DD8" w:rsidRPr="0081214A">
        <w:t>10</w:t>
      </w:r>
      <w:r w:rsidR="00CB21FB" w:rsidRPr="001A00C0">
        <w:t xml:space="preserve"> per</w:t>
      </w:r>
      <w:r w:rsidR="00CB21FB">
        <w:t xml:space="preserve"> cent</w:t>
      </w:r>
      <w:r w:rsidR="001C12D1">
        <w:t xml:space="preserve"> of the </w:t>
      </w:r>
      <w:r w:rsidR="002A3A37">
        <w:t xml:space="preserve">calculated </w:t>
      </w:r>
      <w:r w:rsidR="004E2A53">
        <w:t>BM emission factor</w:t>
      </w:r>
      <w:r w:rsidR="002A3A37">
        <w:t>.</w:t>
      </w:r>
    </w:p>
    <w:p w14:paraId="133A0374" w14:textId="1F949B73" w:rsidR="00591DFD" w:rsidRPr="00E7082C" w:rsidRDefault="00591DFD">
      <w:pPr>
        <w:pStyle w:val="SDMHead4"/>
        <w:rPr>
          <w:lang w:eastAsia="zh-CN"/>
        </w:rPr>
      </w:pPr>
      <w:bookmarkStart w:id="659" w:name="_Ref221038901"/>
      <w:r w:rsidRPr="00843AEE">
        <w:t>Sub step</w:t>
      </w:r>
      <w:r w:rsidR="00592D9E">
        <w:t> </w:t>
      </w:r>
      <w:r w:rsidR="00E770AA" w:rsidRPr="00843AEE">
        <w:t>c</w:t>
      </w:r>
      <w:r w:rsidRPr="00843AEE">
        <w:t>:</w:t>
      </w:r>
      <w:r w:rsidRPr="63CB6243">
        <w:rPr>
          <w:lang w:eastAsia="zh-CN"/>
        </w:rPr>
        <w:t xml:space="preserve"> </w:t>
      </w:r>
      <w:r w:rsidR="005F19A9" w:rsidRPr="63CB6243">
        <w:rPr>
          <w:lang w:eastAsia="zh-CN"/>
        </w:rPr>
        <w:t>Determin</w:t>
      </w:r>
      <w:r w:rsidR="005F19A9">
        <w:rPr>
          <w:lang w:eastAsia="zh-CN"/>
        </w:rPr>
        <w:t>ation of</w:t>
      </w:r>
      <w:r w:rsidR="005F19A9" w:rsidRPr="63CB6243">
        <w:rPr>
          <w:lang w:eastAsia="zh-CN"/>
        </w:rPr>
        <w:t xml:space="preserve"> </w:t>
      </w:r>
      <w:r w:rsidRPr="63CB6243">
        <w:rPr>
          <w:lang w:eastAsia="zh-CN"/>
        </w:rPr>
        <w:t xml:space="preserve">the CM emission factor </w:t>
      </w:r>
      <w:r w:rsidR="00A82AE3">
        <w:rPr>
          <w:lang w:eastAsia="zh-CN"/>
        </w:rPr>
        <w:t>(</w:t>
      </w:r>
      <w:r w:rsidRPr="0090505D">
        <w:rPr>
          <w:i/>
          <w:iCs/>
        </w:rPr>
        <w:t>EF</w:t>
      </w:r>
      <w:r w:rsidRPr="0090505D">
        <w:rPr>
          <w:i/>
          <w:iCs/>
          <w:vertAlign w:val="subscript"/>
        </w:rPr>
        <w:t>CM,y</w:t>
      </w:r>
      <w:r>
        <w:t xml:space="preserve"> </w:t>
      </w:r>
      <w:r w:rsidR="00683F53" w:rsidRPr="00843AEE">
        <w:t xml:space="preserve">or </w:t>
      </w:r>
      <w:r w:rsidR="00683F53" w:rsidRPr="0090505D">
        <w:rPr>
          <w:i/>
          <w:iCs/>
        </w:rPr>
        <w:t>EF</w:t>
      </w:r>
      <w:r w:rsidR="00683F53" w:rsidRPr="0090505D">
        <w:rPr>
          <w:i/>
          <w:iCs/>
          <w:vertAlign w:val="subscript"/>
        </w:rPr>
        <w:t>CM,h</w:t>
      </w:r>
      <w:r w:rsidR="00A82AE3">
        <w:t>)</w:t>
      </w:r>
      <w:bookmarkEnd w:id="659"/>
    </w:p>
    <w:p w14:paraId="33A327D2" w14:textId="0198EE33" w:rsidR="008E6261" w:rsidRPr="00D27DAF" w:rsidRDefault="3165E7C8" w:rsidP="00F62D64">
      <w:pPr>
        <w:pStyle w:val="SDMPara"/>
        <w:keepNext/>
      </w:pPr>
      <w:r>
        <w:t xml:space="preserve">The </w:t>
      </w:r>
      <w:r w:rsidR="21A91F34">
        <w:t>CM</w:t>
      </w:r>
      <w:r>
        <w:t xml:space="preserve"> emission factor </w:t>
      </w:r>
      <w:r w:rsidR="21A91F34">
        <w:t xml:space="preserve">shall be </w:t>
      </w:r>
      <w:r>
        <w:t>calculated as follows:</w:t>
      </w:r>
    </w:p>
    <w:tbl>
      <w:tblPr>
        <w:tblStyle w:val="SDMMethTableEquation"/>
        <w:tblW w:w="8760" w:type="dxa"/>
        <w:tblLook w:val="0600" w:firstRow="0" w:lastRow="0" w:firstColumn="0" w:lastColumn="0" w:noHBand="1" w:noVBand="1"/>
      </w:tblPr>
      <w:tblGrid>
        <w:gridCol w:w="7093"/>
        <w:gridCol w:w="1667"/>
      </w:tblGrid>
      <w:tr w:rsidR="008E6261" w:rsidRPr="0038644B" w14:paraId="2E5E7DB6" w14:textId="77777777" w:rsidTr="00CC3EC0">
        <w:tc>
          <w:tcPr>
            <w:tcW w:w="7093" w:type="dxa"/>
          </w:tcPr>
          <w:p w14:paraId="153B835A" w14:textId="4A298FD0" w:rsidR="008E6261" w:rsidRPr="0038644B" w:rsidRDefault="003F6646" w:rsidP="00D27DAF">
            <w:pPr>
              <w:pStyle w:val="SDMPara"/>
              <w:numPr>
                <w:ilvl w:val="0"/>
                <w:numId w:val="0"/>
              </w:numPr>
            </w:pPr>
            <m:oMathPara>
              <m:oMathParaPr>
                <m:jc m:val="left"/>
              </m:oMathParaPr>
              <m:oMath>
                <m:sSub>
                  <m:sSubPr>
                    <m:ctrlPr>
                      <w:rPr>
                        <w:rFonts w:ascii="Cambria Math" w:hAnsi="Cambria Math"/>
                        <w:i/>
                      </w:rPr>
                    </m:ctrlPr>
                  </m:sSubPr>
                  <m:e>
                    <m:r>
                      <w:rPr>
                        <w:rFonts w:ascii="Cambria Math" w:hAnsi="Cambria Math"/>
                      </w:rPr>
                      <m:t>EF</m:t>
                    </m:r>
                  </m:e>
                  <m:sub>
                    <m:r>
                      <w:rPr>
                        <w:rFonts w:ascii="Cambria Math" w:hAnsi="Cambria Math"/>
                      </w:rPr>
                      <m:t>CM,t</m:t>
                    </m:r>
                  </m:sub>
                </m:sSub>
                <m:r>
                  <w:rPr>
                    <w:rFonts w:ascii="Cambria Math" w:hAnsi="Cambria Math"/>
                  </w:rPr>
                  <m:t>=</m:t>
                </m:r>
                <m:sSub>
                  <m:sSubPr>
                    <m:ctrlPr>
                      <w:rPr>
                        <w:rFonts w:ascii="Cambria Math" w:hAnsi="Cambria Math"/>
                        <w:i/>
                      </w:rPr>
                    </m:ctrlPr>
                  </m:sSubPr>
                  <m:e>
                    <m:r>
                      <w:rPr>
                        <w:rFonts w:ascii="Cambria Math" w:hAnsi="Cambria Math"/>
                      </w:rPr>
                      <m:t>EF</m:t>
                    </m:r>
                  </m:e>
                  <m:sub>
                    <m:r>
                      <w:rPr>
                        <w:rFonts w:ascii="Cambria Math" w:hAnsi="Cambria Math"/>
                      </w:rPr>
                      <m:t>OM,t</m:t>
                    </m:r>
                  </m:sub>
                </m:sSub>
                <m:r>
                  <w:rPr>
                    <w:rFonts w:ascii="Cambria Math" w:hAnsi="Cambria Math"/>
                  </w:rPr>
                  <m:t>×</m:t>
                </m:r>
                <m:sSub>
                  <m:sSubPr>
                    <m:ctrlPr>
                      <w:rPr>
                        <w:rFonts w:ascii="Cambria Math" w:hAnsi="Cambria Math"/>
                        <w:i/>
                      </w:rPr>
                    </m:ctrlPr>
                  </m:sSubPr>
                  <m:e>
                    <m:r>
                      <w:rPr>
                        <w:rFonts w:ascii="Cambria Math" w:hAnsi="Cambria Math"/>
                      </w:rPr>
                      <m:t>w</m:t>
                    </m:r>
                  </m:e>
                  <m:sub>
                    <m:r>
                      <w:rPr>
                        <w:rFonts w:ascii="Cambria Math" w:hAnsi="Cambria Math"/>
                      </w:rPr>
                      <m:t>OM</m:t>
                    </m:r>
                  </m:sub>
                </m:sSub>
                <m:r>
                  <w:rPr>
                    <w:rFonts w:ascii="Cambria Math" w:hAnsi="Cambria Math"/>
                  </w:rPr>
                  <m:t>+</m:t>
                </m:r>
                <m:sSub>
                  <m:sSubPr>
                    <m:ctrlPr>
                      <w:rPr>
                        <w:rFonts w:ascii="Cambria Math" w:hAnsi="Cambria Math"/>
                        <w:i/>
                      </w:rPr>
                    </m:ctrlPr>
                  </m:sSubPr>
                  <m:e>
                    <m:r>
                      <w:rPr>
                        <w:rFonts w:ascii="Cambria Math" w:hAnsi="Cambria Math"/>
                      </w:rPr>
                      <m:t>EF</m:t>
                    </m:r>
                  </m:e>
                  <m:sub>
                    <m:r>
                      <w:rPr>
                        <w:rFonts w:ascii="Cambria Math" w:hAnsi="Cambria Math"/>
                      </w:rPr>
                      <m:t>BM,t</m:t>
                    </m:r>
                  </m:sub>
                </m:sSub>
                <m:r>
                  <w:rPr>
                    <w:rFonts w:ascii="Cambria Math" w:hAnsi="Cambria Math"/>
                  </w:rPr>
                  <m:t>×</m:t>
                </m:r>
                <m:sSub>
                  <m:sSubPr>
                    <m:ctrlPr>
                      <w:rPr>
                        <w:rFonts w:ascii="Cambria Math" w:hAnsi="Cambria Math"/>
                        <w:i/>
                      </w:rPr>
                    </m:ctrlPr>
                  </m:sSubPr>
                  <m:e>
                    <m:r>
                      <w:rPr>
                        <w:rFonts w:ascii="Cambria Math" w:hAnsi="Cambria Math"/>
                      </w:rPr>
                      <m:t>w</m:t>
                    </m:r>
                  </m:e>
                  <m:sub>
                    <m:r>
                      <w:rPr>
                        <w:rFonts w:ascii="Cambria Math" w:hAnsi="Cambria Math"/>
                      </w:rPr>
                      <m:t>BM</m:t>
                    </m:r>
                  </m:sub>
                </m:sSub>
              </m:oMath>
            </m:oMathPara>
          </w:p>
        </w:tc>
        <w:tc>
          <w:tcPr>
            <w:tcW w:w="1667" w:type="dxa"/>
          </w:tcPr>
          <w:p w14:paraId="272AC1EE" w14:textId="77777777" w:rsidR="008E6261" w:rsidRPr="0038644B" w:rsidRDefault="008E6261">
            <w:pPr>
              <w:pStyle w:val="SDMMethEquationNr"/>
              <w:numPr>
                <w:ilvl w:val="0"/>
                <w:numId w:val="6"/>
              </w:numPr>
            </w:pPr>
          </w:p>
        </w:tc>
      </w:tr>
    </w:tbl>
    <w:p w14:paraId="7A097612" w14:textId="77777777" w:rsidR="008E6261" w:rsidRPr="0038644B" w:rsidRDefault="008E6261" w:rsidP="00F62D64">
      <w:pPr>
        <w:pStyle w:val="SDMMethCaptionEquationParametersTable"/>
      </w:pPr>
      <w:r w:rsidRPr="0038644B">
        <w:t>Where:</w:t>
      </w:r>
    </w:p>
    <w:tbl>
      <w:tblPr>
        <w:tblStyle w:val="SDMMethTableEquationParameters"/>
        <w:tblW w:w="8760" w:type="dxa"/>
        <w:tblInd w:w="601" w:type="dxa"/>
        <w:tblLook w:val="04A0" w:firstRow="1" w:lastRow="0" w:firstColumn="1" w:lastColumn="0" w:noHBand="0" w:noVBand="1"/>
      </w:tblPr>
      <w:tblGrid>
        <w:gridCol w:w="1701"/>
        <w:gridCol w:w="345"/>
        <w:gridCol w:w="6714"/>
      </w:tblGrid>
      <w:tr w:rsidR="002652CB" w:rsidRPr="007967A9" w14:paraId="7F908482" w14:textId="77777777" w:rsidTr="002D60E9">
        <w:tc>
          <w:tcPr>
            <w:tcW w:w="1701" w:type="dxa"/>
            <w:vAlign w:val="top"/>
          </w:tcPr>
          <w:p w14:paraId="58039144" w14:textId="4AE5AABE" w:rsidR="002652CB" w:rsidRPr="00F943B8" w:rsidRDefault="003F6646" w:rsidP="00204D05">
            <w:pPr>
              <w:pStyle w:val="SDMTableBoxParaNotNumbered"/>
              <w:rPr>
                <w:rFonts w:cs="Arial"/>
              </w:rPr>
            </w:pPr>
            <m:oMathPara>
              <m:oMathParaPr>
                <m:jc m:val="left"/>
              </m:oMathParaPr>
              <m:oMath>
                <m:sSub>
                  <m:sSubPr>
                    <m:ctrlPr>
                      <w:rPr>
                        <w:rFonts w:ascii="Cambria Math" w:hAnsi="Cambria Math" w:cs="Arial"/>
                        <w:i/>
                      </w:rPr>
                    </m:ctrlPr>
                  </m:sSubPr>
                  <m:e>
                    <m:r>
                      <w:rPr>
                        <w:rFonts w:ascii="Cambria Math" w:hAnsi="Cambria Math" w:cs="Arial"/>
                      </w:rPr>
                      <m:t>EF</m:t>
                    </m:r>
                  </m:e>
                  <m:sub>
                    <m:r>
                      <w:rPr>
                        <w:rFonts w:ascii="Cambria Math" w:hAnsi="Cambria Math" w:cs="Arial"/>
                      </w:rPr>
                      <m:t>CM,t</m:t>
                    </m:r>
                  </m:sub>
                </m:sSub>
              </m:oMath>
            </m:oMathPara>
          </w:p>
        </w:tc>
        <w:tc>
          <w:tcPr>
            <w:tcW w:w="345" w:type="dxa"/>
            <w:vAlign w:val="top"/>
          </w:tcPr>
          <w:p w14:paraId="1BE8B9F1" w14:textId="77777777" w:rsidR="002652CB" w:rsidRPr="007967A9" w:rsidRDefault="002652CB" w:rsidP="00204D05">
            <w:pPr>
              <w:pStyle w:val="SDMTableBoxParaNotNumbered"/>
              <w:rPr>
                <w:rFonts w:cs="Arial"/>
              </w:rPr>
            </w:pPr>
            <w:r w:rsidRPr="007967A9">
              <w:rPr>
                <w:rFonts w:cs="Arial"/>
              </w:rPr>
              <w:t>=</w:t>
            </w:r>
          </w:p>
        </w:tc>
        <w:tc>
          <w:tcPr>
            <w:tcW w:w="0" w:type="auto"/>
            <w:vAlign w:val="top"/>
          </w:tcPr>
          <w:p w14:paraId="4A321D07" w14:textId="36B26AAD" w:rsidR="002652CB" w:rsidRPr="007967A9" w:rsidRDefault="007F350B" w:rsidP="00204D05">
            <w:pPr>
              <w:pStyle w:val="SDMTableBoxParaNotNumbered"/>
              <w:rPr>
                <w:rFonts w:cs="Arial"/>
              </w:rPr>
            </w:pPr>
            <w:r w:rsidRPr="007967A9">
              <w:rPr>
                <w:rFonts w:eastAsia="SimSun" w:cs="Arial"/>
                <w:lang w:eastAsia="zh-CN"/>
              </w:rPr>
              <w:t>CM</w:t>
            </w:r>
            <w:r w:rsidR="00C97040" w:rsidRPr="007967A9">
              <w:rPr>
                <w:rFonts w:eastAsia="SimSun" w:cs="Arial"/>
                <w:lang w:eastAsia="zh-CN"/>
              </w:rPr>
              <w:t xml:space="preserve"> CO</w:t>
            </w:r>
            <w:r w:rsidR="00C97040" w:rsidRPr="007967A9">
              <w:rPr>
                <w:rFonts w:eastAsia="SimSun" w:cs="Arial"/>
                <w:vertAlign w:val="subscript"/>
                <w:lang w:eastAsia="zh-CN"/>
              </w:rPr>
              <w:t>2</w:t>
            </w:r>
            <w:r w:rsidR="00C97040" w:rsidRPr="007967A9">
              <w:rPr>
                <w:rFonts w:eastAsia="SimSun" w:cs="Arial"/>
                <w:lang w:eastAsia="zh-CN"/>
              </w:rPr>
              <w:t xml:space="preserve"> emission factor in period</w:t>
            </w:r>
            <w:r w:rsidR="007967A9">
              <w:rPr>
                <w:rFonts w:eastAsia="SimSun" w:cs="Arial"/>
                <w:lang w:eastAsia="zh-CN"/>
              </w:rPr>
              <w:t> </w:t>
            </w:r>
            <w:r w:rsidR="00C97040" w:rsidRPr="007967A9">
              <w:rPr>
                <w:rFonts w:eastAsia="SimSun" w:cs="Arial"/>
                <w:i/>
                <w:iCs/>
                <w:lang w:eastAsia="zh-CN"/>
              </w:rPr>
              <w:t>t</w:t>
            </w:r>
            <w:r w:rsidR="00C97040" w:rsidRPr="007967A9">
              <w:rPr>
                <w:rFonts w:eastAsia="SimSun" w:cs="Arial"/>
                <w:i/>
                <w:lang w:val="en-US" w:eastAsia="zh-CN"/>
              </w:rPr>
              <w:t xml:space="preserve"> </w:t>
            </w:r>
            <w:r w:rsidR="00C97040" w:rsidRPr="007967A9">
              <w:rPr>
                <w:rFonts w:eastAsia="SimSun" w:cs="Arial"/>
                <w:lang w:eastAsia="zh-CN"/>
              </w:rPr>
              <w:t>(t</w:t>
            </w:r>
            <w:r w:rsidR="007967A9">
              <w:rPr>
                <w:rFonts w:eastAsia="SimSun" w:cs="Arial"/>
                <w:lang w:eastAsia="zh-CN"/>
              </w:rPr>
              <w:t> </w:t>
            </w:r>
            <w:r w:rsidR="00C97040" w:rsidRPr="007967A9">
              <w:rPr>
                <w:rFonts w:eastAsia="SimSun" w:cs="Arial"/>
                <w:lang w:eastAsia="zh-CN"/>
              </w:rPr>
              <w:t>CO</w:t>
            </w:r>
            <w:r w:rsidR="00C97040" w:rsidRPr="007967A9">
              <w:rPr>
                <w:rFonts w:eastAsia="SimSun" w:cs="Arial"/>
                <w:vertAlign w:val="subscript"/>
                <w:lang w:eastAsia="zh-CN"/>
              </w:rPr>
              <w:t>2</w:t>
            </w:r>
            <w:r w:rsidR="0090505D">
              <w:rPr>
                <w:rFonts w:eastAsia="SimSun" w:cs="Arial"/>
                <w:lang w:eastAsia="zh-CN"/>
              </w:rPr>
              <w:t> / </w:t>
            </w:r>
            <w:r w:rsidR="00C97040" w:rsidRPr="007967A9">
              <w:rPr>
                <w:rFonts w:eastAsia="SimSun" w:cs="Arial"/>
                <w:lang w:eastAsia="zh-CN"/>
              </w:rPr>
              <w:t>MWh)</w:t>
            </w:r>
          </w:p>
        </w:tc>
      </w:tr>
      <w:tr w:rsidR="008E6261" w:rsidRPr="007967A9" w14:paraId="7C7CE9C2" w14:textId="77777777" w:rsidTr="002D60E9">
        <w:tc>
          <w:tcPr>
            <w:tcW w:w="1701" w:type="dxa"/>
            <w:vAlign w:val="top"/>
          </w:tcPr>
          <w:p w14:paraId="66386FCD" w14:textId="3B751104" w:rsidR="008E6261" w:rsidRPr="00F943B8" w:rsidRDefault="003F6646" w:rsidP="00204D05">
            <w:pPr>
              <w:pStyle w:val="SDMTableBoxParaNotNumbered"/>
              <w:rPr>
                <w:rFonts w:cs="Arial"/>
                <w:i/>
              </w:rPr>
            </w:pPr>
            <m:oMathPara>
              <m:oMathParaPr>
                <m:jc m:val="left"/>
              </m:oMathParaPr>
              <m:oMath>
                <m:sSub>
                  <m:sSubPr>
                    <m:ctrlPr>
                      <w:rPr>
                        <w:rFonts w:ascii="Cambria Math" w:hAnsi="Cambria Math" w:cs="Arial"/>
                        <w:i/>
                      </w:rPr>
                    </m:ctrlPr>
                  </m:sSubPr>
                  <m:e>
                    <m:r>
                      <w:rPr>
                        <w:rFonts w:ascii="Cambria Math" w:hAnsi="Cambria Math" w:cs="Arial"/>
                      </w:rPr>
                      <m:t>EF</m:t>
                    </m:r>
                  </m:e>
                  <m:sub>
                    <m:r>
                      <w:rPr>
                        <w:rFonts w:ascii="Cambria Math" w:hAnsi="Cambria Math" w:cs="Arial"/>
                      </w:rPr>
                      <m:t>OM,t</m:t>
                    </m:r>
                  </m:sub>
                </m:sSub>
              </m:oMath>
            </m:oMathPara>
          </w:p>
        </w:tc>
        <w:tc>
          <w:tcPr>
            <w:tcW w:w="345" w:type="dxa"/>
            <w:vAlign w:val="top"/>
          </w:tcPr>
          <w:p w14:paraId="1E25FFFD" w14:textId="77777777" w:rsidR="008E6261" w:rsidRPr="007967A9" w:rsidRDefault="008E6261" w:rsidP="00204D05">
            <w:pPr>
              <w:pStyle w:val="SDMTableBoxParaNotNumbered"/>
              <w:rPr>
                <w:rFonts w:cs="Arial"/>
              </w:rPr>
            </w:pPr>
            <w:r w:rsidRPr="007967A9">
              <w:rPr>
                <w:rFonts w:cs="Arial"/>
              </w:rPr>
              <w:t>=</w:t>
            </w:r>
          </w:p>
        </w:tc>
        <w:tc>
          <w:tcPr>
            <w:tcW w:w="0" w:type="auto"/>
            <w:vAlign w:val="top"/>
          </w:tcPr>
          <w:p w14:paraId="32DA51B2" w14:textId="6360CABB" w:rsidR="008E6261" w:rsidRPr="007967A9" w:rsidRDefault="007F350B" w:rsidP="00204D05">
            <w:pPr>
              <w:pStyle w:val="SDMTableBoxParaNotNumbered"/>
              <w:rPr>
                <w:rFonts w:cs="Arial"/>
              </w:rPr>
            </w:pPr>
            <w:r w:rsidRPr="007967A9">
              <w:rPr>
                <w:rFonts w:cs="Arial"/>
              </w:rPr>
              <w:t>OM</w:t>
            </w:r>
            <w:r w:rsidR="008E6261" w:rsidRPr="007967A9">
              <w:rPr>
                <w:rFonts w:cs="Arial"/>
              </w:rPr>
              <w:t xml:space="preserve"> CO</w:t>
            </w:r>
            <w:r w:rsidR="008E6261" w:rsidRPr="007967A9">
              <w:rPr>
                <w:rFonts w:cs="Arial"/>
                <w:vertAlign w:val="subscript"/>
              </w:rPr>
              <w:t>2</w:t>
            </w:r>
            <w:r w:rsidR="008E6261" w:rsidRPr="007967A9">
              <w:rPr>
                <w:rFonts w:cs="Arial"/>
              </w:rPr>
              <w:t xml:space="preserve"> emission factor in </w:t>
            </w:r>
            <w:r w:rsidR="00C97040" w:rsidRPr="007967A9">
              <w:rPr>
                <w:rFonts w:eastAsia="SimSun" w:cs="Arial"/>
                <w:lang w:eastAsia="zh-CN"/>
              </w:rPr>
              <w:t>period</w:t>
            </w:r>
            <w:r w:rsidR="003B0C1A" w:rsidRPr="007967A9">
              <w:rPr>
                <w:rFonts w:eastAsia="SimSun" w:cs="Arial"/>
                <w:lang w:eastAsia="zh-CN"/>
              </w:rPr>
              <w:t> </w:t>
            </w:r>
            <w:r w:rsidR="00C97040" w:rsidRPr="007967A9">
              <w:rPr>
                <w:rFonts w:eastAsia="SimSun" w:cs="Arial"/>
                <w:i/>
                <w:iCs/>
                <w:lang w:eastAsia="zh-CN"/>
              </w:rPr>
              <w:t>t</w:t>
            </w:r>
            <w:r w:rsidR="00C97040" w:rsidRPr="007967A9">
              <w:rPr>
                <w:rFonts w:eastAsia="SimSun" w:cs="Arial"/>
                <w:i/>
                <w:lang w:val="en-US" w:eastAsia="zh-CN"/>
              </w:rPr>
              <w:t xml:space="preserve"> </w:t>
            </w:r>
            <w:r w:rsidR="008E6261" w:rsidRPr="007967A9">
              <w:rPr>
                <w:rFonts w:cs="Arial"/>
              </w:rPr>
              <w:t>(t</w:t>
            </w:r>
            <w:r w:rsidR="007967A9">
              <w:rPr>
                <w:rFonts w:cs="Arial"/>
              </w:rPr>
              <w:t> </w:t>
            </w:r>
            <w:r w:rsidR="008E6261" w:rsidRPr="007967A9">
              <w:rPr>
                <w:rFonts w:cs="Arial"/>
              </w:rPr>
              <w:t>CO</w:t>
            </w:r>
            <w:r w:rsidR="008E6261" w:rsidRPr="007967A9">
              <w:rPr>
                <w:rFonts w:cs="Arial"/>
                <w:vertAlign w:val="subscript"/>
              </w:rPr>
              <w:t>2</w:t>
            </w:r>
            <w:r w:rsidR="0090505D">
              <w:rPr>
                <w:rFonts w:eastAsia="SimSun" w:cs="Arial"/>
                <w:lang w:eastAsia="zh-CN"/>
              </w:rPr>
              <w:t> / </w:t>
            </w:r>
            <w:r w:rsidR="008E6261" w:rsidRPr="007967A9">
              <w:rPr>
                <w:rFonts w:cs="Arial"/>
              </w:rPr>
              <w:t>MWh)</w:t>
            </w:r>
          </w:p>
        </w:tc>
      </w:tr>
      <w:tr w:rsidR="00C97040" w:rsidRPr="007967A9" w14:paraId="7342A40B" w14:textId="77777777" w:rsidTr="002D60E9">
        <w:tc>
          <w:tcPr>
            <w:tcW w:w="1701" w:type="dxa"/>
            <w:vAlign w:val="top"/>
          </w:tcPr>
          <w:p w14:paraId="5F20BE59" w14:textId="64C37007" w:rsidR="00C97040" w:rsidRPr="00F943B8" w:rsidRDefault="003F6646" w:rsidP="00204D05">
            <w:pPr>
              <w:pStyle w:val="SDMTableBoxParaNotNumbered"/>
              <w:rPr>
                <w:rFonts w:cs="Arial"/>
                <w:i/>
              </w:rPr>
            </w:pPr>
            <m:oMathPara>
              <m:oMathParaPr>
                <m:jc m:val="left"/>
              </m:oMathParaPr>
              <m:oMath>
                <m:sSub>
                  <m:sSubPr>
                    <m:ctrlPr>
                      <w:rPr>
                        <w:rFonts w:ascii="Cambria Math" w:hAnsi="Cambria Math" w:cs="Arial"/>
                        <w:i/>
                      </w:rPr>
                    </m:ctrlPr>
                  </m:sSubPr>
                  <m:e>
                    <m:r>
                      <w:rPr>
                        <w:rFonts w:ascii="Cambria Math" w:hAnsi="Cambria Math" w:cs="Arial"/>
                      </w:rPr>
                      <m:t>EF</m:t>
                    </m:r>
                  </m:e>
                  <m:sub>
                    <m:r>
                      <w:rPr>
                        <w:rFonts w:ascii="Cambria Math" w:hAnsi="Cambria Math" w:cs="Arial"/>
                      </w:rPr>
                      <m:t>BM,t</m:t>
                    </m:r>
                  </m:sub>
                </m:sSub>
              </m:oMath>
            </m:oMathPara>
          </w:p>
        </w:tc>
        <w:tc>
          <w:tcPr>
            <w:tcW w:w="345" w:type="dxa"/>
            <w:vAlign w:val="top"/>
          </w:tcPr>
          <w:p w14:paraId="06333460" w14:textId="77777777" w:rsidR="00C97040" w:rsidRPr="007967A9" w:rsidRDefault="00C97040" w:rsidP="00204D05">
            <w:pPr>
              <w:pStyle w:val="SDMTableBoxParaNotNumbered"/>
              <w:rPr>
                <w:rFonts w:cs="Arial"/>
              </w:rPr>
            </w:pPr>
            <w:r w:rsidRPr="007967A9">
              <w:rPr>
                <w:rFonts w:cs="Arial"/>
              </w:rPr>
              <w:t>=</w:t>
            </w:r>
          </w:p>
        </w:tc>
        <w:tc>
          <w:tcPr>
            <w:tcW w:w="0" w:type="auto"/>
            <w:vAlign w:val="top"/>
          </w:tcPr>
          <w:p w14:paraId="756D0AC2" w14:textId="6856921C" w:rsidR="00C97040" w:rsidRPr="007967A9" w:rsidRDefault="007F350B" w:rsidP="00204D05">
            <w:pPr>
              <w:pStyle w:val="SDMTableBoxParaNotNumbered"/>
              <w:rPr>
                <w:rFonts w:cs="Arial"/>
              </w:rPr>
            </w:pPr>
            <w:r w:rsidRPr="007967A9">
              <w:rPr>
                <w:rFonts w:cs="Arial"/>
              </w:rPr>
              <w:t>BM</w:t>
            </w:r>
            <w:r w:rsidR="00C97040" w:rsidRPr="007967A9">
              <w:rPr>
                <w:rFonts w:cs="Arial"/>
              </w:rPr>
              <w:t xml:space="preserve"> CO</w:t>
            </w:r>
            <w:r w:rsidR="00C97040" w:rsidRPr="007967A9">
              <w:rPr>
                <w:rFonts w:cs="Arial"/>
                <w:vertAlign w:val="subscript"/>
              </w:rPr>
              <w:t>2</w:t>
            </w:r>
            <w:r w:rsidR="00C97040" w:rsidRPr="007967A9">
              <w:rPr>
                <w:rFonts w:cs="Arial"/>
              </w:rPr>
              <w:t xml:space="preserve"> emission factor in </w:t>
            </w:r>
            <w:r w:rsidR="00C97040" w:rsidRPr="007967A9">
              <w:rPr>
                <w:rFonts w:eastAsia="SimSun" w:cs="Arial"/>
                <w:lang w:eastAsia="zh-CN"/>
              </w:rPr>
              <w:t>period</w:t>
            </w:r>
            <w:r w:rsidR="003B0C1A" w:rsidRPr="007967A9">
              <w:rPr>
                <w:rFonts w:eastAsia="SimSun" w:cs="Arial"/>
                <w:lang w:eastAsia="zh-CN"/>
              </w:rPr>
              <w:t> </w:t>
            </w:r>
            <w:r w:rsidR="00C97040" w:rsidRPr="007967A9">
              <w:rPr>
                <w:rFonts w:eastAsia="SimSun" w:cs="Arial"/>
                <w:i/>
                <w:iCs/>
                <w:lang w:eastAsia="zh-CN"/>
              </w:rPr>
              <w:t>t</w:t>
            </w:r>
            <w:r w:rsidR="00C97040" w:rsidRPr="007967A9">
              <w:rPr>
                <w:rFonts w:eastAsia="SimSun" w:cs="Arial"/>
                <w:i/>
                <w:lang w:val="en-US" w:eastAsia="zh-CN"/>
              </w:rPr>
              <w:t xml:space="preserve"> </w:t>
            </w:r>
            <w:r w:rsidR="00C97040" w:rsidRPr="007967A9">
              <w:rPr>
                <w:rFonts w:cs="Arial"/>
              </w:rPr>
              <w:t>(t</w:t>
            </w:r>
            <w:r w:rsidR="007967A9">
              <w:rPr>
                <w:rFonts w:cs="Arial"/>
              </w:rPr>
              <w:t> </w:t>
            </w:r>
            <w:r w:rsidR="00C97040" w:rsidRPr="007967A9">
              <w:rPr>
                <w:rFonts w:cs="Arial"/>
              </w:rPr>
              <w:t>CO</w:t>
            </w:r>
            <w:r w:rsidR="00C97040" w:rsidRPr="007967A9">
              <w:rPr>
                <w:rFonts w:cs="Arial"/>
                <w:vertAlign w:val="subscript"/>
              </w:rPr>
              <w:t>2</w:t>
            </w:r>
            <w:r w:rsidR="0090505D">
              <w:rPr>
                <w:rFonts w:eastAsia="SimSun" w:cs="Arial"/>
                <w:lang w:eastAsia="zh-CN"/>
              </w:rPr>
              <w:t> / </w:t>
            </w:r>
            <w:r w:rsidR="00C97040" w:rsidRPr="007967A9">
              <w:rPr>
                <w:rFonts w:cs="Arial"/>
              </w:rPr>
              <w:t>MWh)</w:t>
            </w:r>
          </w:p>
        </w:tc>
      </w:tr>
      <w:tr w:rsidR="008E6261" w:rsidRPr="007967A9" w14:paraId="7F53C8ED" w14:textId="77777777" w:rsidTr="002D60E9">
        <w:trPr>
          <w:trHeight w:val="300"/>
        </w:trPr>
        <w:tc>
          <w:tcPr>
            <w:tcW w:w="1701" w:type="dxa"/>
            <w:vAlign w:val="top"/>
          </w:tcPr>
          <w:p w14:paraId="5E9C25AB" w14:textId="77777777" w:rsidR="008E6261" w:rsidRPr="00F943B8" w:rsidRDefault="003F6646" w:rsidP="00204D05">
            <w:pPr>
              <w:pStyle w:val="SDMTableBoxParaNotNumbered"/>
              <w:rPr>
                <w:rFonts w:cs="Arial"/>
                <w:i/>
              </w:rPr>
            </w:pPr>
            <m:oMathPara>
              <m:oMathParaPr>
                <m:jc m:val="left"/>
              </m:oMathParaPr>
              <m:oMath>
                <m:sSub>
                  <m:sSubPr>
                    <m:ctrlPr>
                      <w:rPr>
                        <w:rFonts w:ascii="Cambria Math" w:hAnsi="Cambria Math" w:cs="Arial"/>
                        <w:i/>
                      </w:rPr>
                    </m:ctrlPr>
                  </m:sSubPr>
                  <m:e>
                    <m:r>
                      <w:rPr>
                        <w:rFonts w:ascii="Cambria Math" w:hAnsi="Cambria Math" w:cs="Arial"/>
                      </w:rPr>
                      <m:t>w</m:t>
                    </m:r>
                  </m:e>
                  <m:sub>
                    <m:r>
                      <w:rPr>
                        <w:rFonts w:ascii="Cambria Math" w:hAnsi="Cambria Math" w:cs="Arial"/>
                      </w:rPr>
                      <m:t>OM</m:t>
                    </m:r>
                  </m:sub>
                </m:sSub>
              </m:oMath>
            </m:oMathPara>
          </w:p>
        </w:tc>
        <w:tc>
          <w:tcPr>
            <w:tcW w:w="345" w:type="dxa"/>
            <w:vAlign w:val="top"/>
          </w:tcPr>
          <w:p w14:paraId="275DEBB6" w14:textId="77777777" w:rsidR="008E6261" w:rsidRPr="007967A9" w:rsidRDefault="008E6261" w:rsidP="00204D05">
            <w:pPr>
              <w:pStyle w:val="SDMTableBoxParaNotNumbered"/>
              <w:rPr>
                <w:rFonts w:cs="Arial"/>
              </w:rPr>
            </w:pPr>
            <w:r w:rsidRPr="007967A9">
              <w:rPr>
                <w:rFonts w:cs="Arial"/>
              </w:rPr>
              <w:t>=</w:t>
            </w:r>
          </w:p>
        </w:tc>
        <w:tc>
          <w:tcPr>
            <w:tcW w:w="0" w:type="auto"/>
            <w:vAlign w:val="top"/>
          </w:tcPr>
          <w:p w14:paraId="59286FBF" w14:textId="063B1120" w:rsidR="008E6261" w:rsidRPr="007967A9" w:rsidRDefault="008E6261" w:rsidP="00204D05">
            <w:pPr>
              <w:pStyle w:val="SDMTableBoxParaNotNumbered"/>
              <w:rPr>
                <w:rFonts w:cs="Arial"/>
              </w:rPr>
            </w:pPr>
            <w:r w:rsidRPr="007967A9">
              <w:rPr>
                <w:rFonts w:cs="Arial"/>
              </w:rPr>
              <w:t xml:space="preserve">Weighting </w:t>
            </w:r>
            <w:r w:rsidR="007F350B" w:rsidRPr="007967A9">
              <w:rPr>
                <w:rFonts w:cs="Arial"/>
              </w:rPr>
              <w:t xml:space="preserve">factor </w:t>
            </w:r>
            <w:r w:rsidRPr="007967A9">
              <w:rPr>
                <w:rFonts w:cs="Arial"/>
              </w:rPr>
              <w:t xml:space="preserve">of </w:t>
            </w:r>
            <w:r w:rsidR="00D87245" w:rsidRPr="007967A9">
              <w:rPr>
                <w:rFonts w:cs="Arial"/>
              </w:rPr>
              <w:t xml:space="preserve">the </w:t>
            </w:r>
            <w:r w:rsidR="00B878CB" w:rsidRPr="007967A9">
              <w:rPr>
                <w:rFonts w:cs="Arial"/>
              </w:rPr>
              <w:t>OM</w:t>
            </w:r>
            <w:r w:rsidRPr="007967A9">
              <w:rPr>
                <w:rFonts w:cs="Arial"/>
              </w:rPr>
              <w:t xml:space="preserve"> emissions factor (</w:t>
            </w:r>
            <w:r w:rsidR="004131F3" w:rsidRPr="007967A9">
              <w:rPr>
                <w:rFonts w:cs="Arial"/>
              </w:rPr>
              <w:t>unitless</w:t>
            </w:r>
            <w:r w:rsidRPr="007967A9">
              <w:rPr>
                <w:rFonts w:cs="Arial"/>
              </w:rPr>
              <w:t>)</w:t>
            </w:r>
          </w:p>
        </w:tc>
      </w:tr>
      <w:tr w:rsidR="008E6261" w:rsidRPr="007967A9" w14:paraId="18112F99" w14:textId="77777777" w:rsidTr="002D60E9">
        <w:trPr>
          <w:trHeight w:val="300"/>
        </w:trPr>
        <w:tc>
          <w:tcPr>
            <w:tcW w:w="1701" w:type="dxa"/>
            <w:vAlign w:val="top"/>
          </w:tcPr>
          <w:p w14:paraId="4C50246F" w14:textId="77777777" w:rsidR="008E6261" w:rsidRPr="00F943B8" w:rsidRDefault="003F6646" w:rsidP="00204D05">
            <w:pPr>
              <w:pStyle w:val="SDMTableBoxParaNotNumbered"/>
              <w:rPr>
                <w:rFonts w:cs="Arial"/>
                <w:i/>
              </w:rPr>
            </w:pPr>
            <m:oMathPara>
              <m:oMathParaPr>
                <m:jc m:val="left"/>
              </m:oMathParaPr>
              <m:oMath>
                <m:sSub>
                  <m:sSubPr>
                    <m:ctrlPr>
                      <w:rPr>
                        <w:rFonts w:ascii="Cambria Math" w:hAnsi="Cambria Math" w:cs="Arial"/>
                        <w:i/>
                      </w:rPr>
                    </m:ctrlPr>
                  </m:sSubPr>
                  <m:e>
                    <m:r>
                      <w:rPr>
                        <w:rFonts w:ascii="Cambria Math" w:hAnsi="Cambria Math" w:cs="Arial"/>
                      </w:rPr>
                      <m:t>w</m:t>
                    </m:r>
                  </m:e>
                  <m:sub>
                    <m:r>
                      <w:rPr>
                        <w:rFonts w:ascii="Cambria Math" w:hAnsi="Cambria Math" w:cs="Arial"/>
                      </w:rPr>
                      <m:t>BM</m:t>
                    </m:r>
                  </m:sub>
                </m:sSub>
              </m:oMath>
            </m:oMathPara>
          </w:p>
        </w:tc>
        <w:tc>
          <w:tcPr>
            <w:tcW w:w="345" w:type="dxa"/>
            <w:vAlign w:val="top"/>
          </w:tcPr>
          <w:p w14:paraId="39928560" w14:textId="77777777" w:rsidR="008E6261" w:rsidRPr="007967A9" w:rsidRDefault="008E6261" w:rsidP="00204D05">
            <w:pPr>
              <w:pStyle w:val="SDMTableBoxParaNotNumbered"/>
              <w:rPr>
                <w:rFonts w:cs="Arial"/>
              </w:rPr>
            </w:pPr>
            <w:r w:rsidRPr="007967A9">
              <w:rPr>
                <w:rFonts w:cs="Arial"/>
              </w:rPr>
              <w:t>=</w:t>
            </w:r>
          </w:p>
        </w:tc>
        <w:tc>
          <w:tcPr>
            <w:tcW w:w="0" w:type="auto"/>
            <w:vAlign w:val="top"/>
          </w:tcPr>
          <w:p w14:paraId="45137F8D" w14:textId="230CB432" w:rsidR="008E6261" w:rsidRPr="007967A9" w:rsidRDefault="008E6261" w:rsidP="00204D05">
            <w:pPr>
              <w:pStyle w:val="SDMTableBoxParaNotNumbered"/>
              <w:rPr>
                <w:rFonts w:cs="Arial"/>
              </w:rPr>
            </w:pPr>
            <w:r w:rsidRPr="007967A9">
              <w:rPr>
                <w:rFonts w:cs="Arial"/>
              </w:rPr>
              <w:t xml:space="preserve">Weighting </w:t>
            </w:r>
            <w:r w:rsidR="00B878CB" w:rsidRPr="007967A9">
              <w:rPr>
                <w:rFonts w:cs="Arial"/>
              </w:rPr>
              <w:t xml:space="preserve">factor </w:t>
            </w:r>
            <w:r w:rsidRPr="007967A9">
              <w:rPr>
                <w:rFonts w:cs="Arial"/>
              </w:rPr>
              <w:t xml:space="preserve">of </w:t>
            </w:r>
            <w:r w:rsidR="00D87245" w:rsidRPr="007967A9">
              <w:rPr>
                <w:rFonts w:cs="Arial"/>
              </w:rPr>
              <w:t xml:space="preserve">the </w:t>
            </w:r>
            <w:r w:rsidR="00B878CB" w:rsidRPr="007967A9">
              <w:rPr>
                <w:rFonts w:cs="Arial"/>
              </w:rPr>
              <w:t>BM</w:t>
            </w:r>
            <w:r w:rsidRPr="007967A9">
              <w:rPr>
                <w:rFonts w:cs="Arial"/>
              </w:rPr>
              <w:t xml:space="preserve"> emissions factor (</w:t>
            </w:r>
            <w:r w:rsidR="004131F3" w:rsidRPr="007967A9">
              <w:rPr>
                <w:rFonts w:cs="Arial"/>
              </w:rPr>
              <w:t>unitless</w:t>
            </w:r>
            <w:r w:rsidRPr="007967A9">
              <w:rPr>
                <w:rFonts w:cs="Arial"/>
              </w:rPr>
              <w:t>)</w:t>
            </w:r>
          </w:p>
        </w:tc>
      </w:tr>
      <w:tr w:rsidR="005A6D07" w:rsidRPr="007967A9" w14:paraId="026B261C" w14:textId="77777777" w:rsidTr="002D60E9">
        <w:tc>
          <w:tcPr>
            <w:tcW w:w="1701" w:type="dxa"/>
            <w:vAlign w:val="top"/>
          </w:tcPr>
          <w:p w14:paraId="665BBF38" w14:textId="77777777" w:rsidR="00C97040" w:rsidRPr="007967A9" w:rsidRDefault="000001E5" w:rsidP="00204D05">
            <w:pPr>
              <w:pStyle w:val="SDMTableBoxParaNotNumbered"/>
              <w:rPr>
                <w:rFonts w:cs="Arial"/>
              </w:rPr>
            </w:pPr>
            <m:oMathPara>
              <m:oMathParaPr>
                <m:jc m:val="left"/>
              </m:oMathParaPr>
              <m:oMath>
                <m:r>
                  <w:rPr>
                    <w:rFonts w:ascii="Cambria Math" w:hAnsi="Cambria Math" w:cs="Arial"/>
                  </w:rPr>
                  <m:t>t</m:t>
                </m:r>
              </m:oMath>
            </m:oMathPara>
          </w:p>
        </w:tc>
        <w:tc>
          <w:tcPr>
            <w:tcW w:w="345" w:type="dxa"/>
            <w:vAlign w:val="top"/>
          </w:tcPr>
          <w:p w14:paraId="68C3C1D9" w14:textId="77777777" w:rsidR="00C97040" w:rsidRPr="007967A9" w:rsidRDefault="00C97040" w:rsidP="00204D05">
            <w:pPr>
              <w:pStyle w:val="SDMTableBoxParaNotNumbered"/>
              <w:rPr>
                <w:rFonts w:cs="Arial"/>
              </w:rPr>
            </w:pPr>
            <w:r w:rsidRPr="007967A9">
              <w:rPr>
                <w:rFonts w:cs="Arial"/>
              </w:rPr>
              <w:t>=</w:t>
            </w:r>
          </w:p>
        </w:tc>
        <w:tc>
          <w:tcPr>
            <w:tcW w:w="0" w:type="auto"/>
            <w:vAlign w:val="top"/>
          </w:tcPr>
          <w:p w14:paraId="38F0A15C" w14:textId="5FF2B6EC" w:rsidR="00C97040" w:rsidRPr="007967A9" w:rsidRDefault="00F30336" w:rsidP="00204D05">
            <w:pPr>
              <w:pStyle w:val="SDMTableBoxParaNotNumbered"/>
              <w:rPr>
                <w:rFonts w:cs="Arial"/>
                <w:lang w:val="en-US"/>
              </w:rPr>
            </w:pPr>
            <w:r w:rsidRPr="007967A9">
              <w:rPr>
                <w:rFonts w:cs="Arial"/>
                <w:lang w:val="en-US"/>
              </w:rPr>
              <w:t xml:space="preserve">Period for which the emission factor </w:t>
            </w:r>
            <w:r w:rsidR="25906998" w:rsidRPr="007967A9">
              <w:rPr>
                <w:rFonts w:cs="Arial"/>
                <w:lang w:val="en-US"/>
              </w:rPr>
              <w:t>of the electric</w:t>
            </w:r>
            <w:r w:rsidR="00E94D89" w:rsidRPr="007967A9">
              <w:rPr>
                <w:rFonts w:cs="Arial"/>
                <w:lang w:val="en-US"/>
              </w:rPr>
              <w:t>i</w:t>
            </w:r>
            <w:r w:rsidR="25906998" w:rsidRPr="007967A9">
              <w:rPr>
                <w:rFonts w:cs="Arial"/>
                <w:lang w:val="en-US"/>
              </w:rPr>
              <w:t>ty system</w:t>
            </w:r>
            <w:r w:rsidRPr="007967A9">
              <w:rPr>
                <w:rFonts w:cs="Arial"/>
                <w:lang w:val="en-US"/>
              </w:rPr>
              <w:t xml:space="preserve"> is determined</w:t>
            </w:r>
            <w:r w:rsidR="008C53FC" w:rsidRPr="007967A9">
              <w:rPr>
                <w:rFonts w:cs="Arial"/>
                <w:lang w:val="en-US"/>
              </w:rPr>
              <w:t xml:space="preserve"> (either the calendar year </w:t>
            </w:r>
            <w:r w:rsidR="008C53FC" w:rsidRPr="007967A9">
              <w:rPr>
                <w:rFonts w:cs="Arial"/>
                <w:i/>
                <w:iCs/>
                <w:lang w:val="en-US"/>
              </w:rPr>
              <w:t>y</w:t>
            </w:r>
            <w:r w:rsidR="008C53FC" w:rsidRPr="007967A9">
              <w:rPr>
                <w:rFonts w:cs="Arial"/>
                <w:lang w:val="en-US"/>
              </w:rPr>
              <w:t xml:space="preserve"> of the crediting period or </w:t>
            </w:r>
            <w:r w:rsidR="00A82AE3" w:rsidRPr="007967A9">
              <w:rPr>
                <w:rFonts w:cs="Arial"/>
                <w:lang w:val="en-US"/>
              </w:rPr>
              <w:t>the</w:t>
            </w:r>
            <w:r w:rsidR="008C53FC" w:rsidRPr="007967A9">
              <w:rPr>
                <w:rFonts w:cs="Arial"/>
                <w:lang w:val="en-US"/>
              </w:rPr>
              <w:t xml:space="preserve"> hour</w:t>
            </w:r>
            <w:r w:rsidR="00D60CDA" w:rsidRPr="007967A9">
              <w:rPr>
                <w:rFonts w:cs="Arial"/>
                <w:lang w:val="en-US"/>
              </w:rPr>
              <w:t> </w:t>
            </w:r>
            <w:r w:rsidR="00D60CDA" w:rsidRPr="007967A9">
              <w:rPr>
                <w:rFonts w:cs="Arial"/>
                <w:i/>
                <w:iCs/>
                <w:lang w:val="en-US"/>
              </w:rPr>
              <w:t>h</w:t>
            </w:r>
            <w:r w:rsidR="00D60CDA" w:rsidRPr="007967A9">
              <w:rPr>
                <w:rFonts w:cs="Arial"/>
                <w:lang w:val="en-US"/>
              </w:rPr>
              <w:t xml:space="preserve"> within the calendar year </w:t>
            </w:r>
            <w:r w:rsidR="00D60CDA" w:rsidRPr="007967A9">
              <w:rPr>
                <w:rFonts w:cs="Arial"/>
                <w:i/>
                <w:iCs/>
                <w:lang w:val="en-US"/>
              </w:rPr>
              <w:t>y</w:t>
            </w:r>
            <w:r w:rsidR="00D60CDA" w:rsidRPr="007967A9">
              <w:rPr>
                <w:rFonts w:cs="Arial"/>
                <w:lang w:val="en-US"/>
              </w:rPr>
              <w:t xml:space="preserve"> of</w:t>
            </w:r>
            <w:r w:rsidR="19A57CC1" w:rsidRPr="007967A9">
              <w:rPr>
                <w:rFonts w:cs="Arial"/>
                <w:lang w:val="en-US"/>
              </w:rPr>
              <w:t xml:space="preserve"> </w:t>
            </w:r>
            <w:r w:rsidR="00D60CDA" w:rsidRPr="007967A9">
              <w:rPr>
                <w:rFonts w:cs="Arial"/>
                <w:lang w:val="en-US"/>
              </w:rPr>
              <w:t>the crediting period)</w:t>
            </w:r>
            <w:r w:rsidR="00D60CDA" w:rsidRPr="007967A9">
              <w:rPr>
                <w:rStyle w:val="FootnoteReference"/>
                <w:rFonts w:cs="Arial"/>
                <w:lang w:val="de-DE"/>
              </w:rPr>
              <w:footnoteReference w:id="24"/>
            </w:r>
          </w:p>
        </w:tc>
      </w:tr>
    </w:tbl>
    <w:p w14:paraId="63A1B1EC" w14:textId="4FC67BEE" w:rsidR="008E6261" w:rsidRPr="00AC4739" w:rsidRDefault="465BA286">
      <w:pPr>
        <w:pStyle w:val="SDMPara"/>
      </w:pPr>
      <w:r w:rsidRPr="788F4AF7">
        <w:rPr>
          <w:lang w:eastAsia="zh-CN"/>
        </w:rPr>
        <w:t>The default values in</w:t>
      </w:r>
      <w:r w:rsidR="1CBDD020" w:rsidRPr="788F4AF7">
        <w:rPr>
          <w:lang w:eastAsia="zh-CN"/>
        </w:rPr>
        <w:t xml:space="preserve"> </w:t>
      </w:r>
      <w:r w:rsidRPr="788F4AF7">
        <w:rPr>
          <w:lang w:eastAsia="zh-CN"/>
        </w:rPr>
        <w:fldChar w:fldCharType="begin"/>
      </w:r>
      <w:r w:rsidRPr="788F4AF7">
        <w:rPr>
          <w:lang w:eastAsia="zh-CN"/>
        </w:rPr>
        <w:instrText xml:space="preserve"> REF _Ref220950322 \h </w:instrText>
      </w:r>
      <w:r w:rsidRPr="788F4AF7">
        <w:rPr>
          <w:lang w:eastAsia="zh-CN"/>
        </w:rPr>
      </w:r>
      <w:r w:rsidRPr="788F4AF7">
        <w:rPr>
          <w:lang w:eastAsia="zh-CN"/>
        </w:rPr>
        <w:fldChar w:fldCharType="separate"/>
      </w:r>
      <w:r w:rsidR="003B0135" w:rsidRPr="00AC4739">
        <w:t>Table </w:t>
      </w:r>
      <w:r w:rsidR="003B0135">
        <w:rPr>
          <w:noProof/>
        </w:rPr>
        <w:t>5</w:t>
      </w:r>
      <w:r w:rsidRPr="788F4AF7">
        <w:rPr>
          <w:lang w:eastAsia="zh-CN"/>
        </w:rPr>
        <w:fldChar w:fldCharType="end"/>
      </w:r>
      <w:r w:rsidR="5608FCC3" w:rsidRPr="788F4AF7">
        <w:rPr>
          <w:lang w:eastAsia="zh-CN"/>
        </w:rPr>
        <w:t xml:space="preserve"> </w:t>
      </w:r>
      <w:r w:rsidRPr="788F4AF7">
        <w:rPr>
          <w:lang w:eastAsia="zh-CN"/>
        </w:rPr>
        <w:t xml:space="preserve">shall be used for </w:t>
      </w:r>
      <w:r w:rsidRPr="788F4AF7">
        <w:rPr>
          <w:i/>
          <w:iCs/>
        </w:rPr>
        <w:t>w</w:t>
      </w:r>
      <w:r w:rsidRPr="788F4AF7">
        <w:rPr>
          <w:i/>
          <w:iCs/>
          <w:vertAlign w:val="subscript"/>
        </w:rPr>
        <w:t>OM</w:t>
      </w:r>
      <w:r>
        <w:t xml:space="preserve"> and </w:t>
      </w:r>
      <w:r w:rsidRPr="788F4AF7">
        <w:rPr>
          <w:i/>
          <w:iCs/>
        </w:rPr>
        <w:t>w</w:t>
      </w:r>
      <w:r w:rsidRPr="788F4AF7">
        <w:rPr>
          <w:i/>
          <w:iCs/>
          <w:vertAlign w:val="subscript"/>
        </w:rPr>
        <w:t>BM</w:t>
      </w:r>
      <w:r>
        <w:t xml:space="preserve">, unless </w:t>
      </w:r>
      <w:r w:rsidR="3FBF9C8F" w:rsidRPr="788F4AF7">
        <w:rPr>
          <w:lang w:eastAsia="zh-CN"/>
        </w:rPr>
        <w:t>t</w:t>
      </w:r>
      <w:r w:rsidR="15DA0D43" w:rsidRPr="788F4AF7">
        <w:rPr>
          <w:lang w:eastAsia="zh-CN"/>
        </w:rPr>
        <w:t xml:space="preserve">he </w:t>
      </w:r>
      <w:r w:rsidRPr="788F4AF7">
        <w:rPr>
          <w:lang w:eastAsia="zh-CN"/>
        </w:rPr>
        <w:t xml:space="preserve">mechanism </w:t>
      </w:r>
      <w:r w:rsidR="15DA0D43" w:rsidRPr="788F4AF7">
        <w:rPr>
          <w:lang w:eastAsia="zh-CN"/>
        </w:rPr>
        <w:t xml:space="preserve">methodology </w:t>
      </w:r>
      <w:r w:rsidRPr="788F4AF7">
        <w:rPr>
          <w:lang w:eastAsia="zh-CN"/>
        </w:rPr>
        <w:t xml:space="preserve">referring to this </w:t>
      </w:r>
      <w:r w:rsidR="5608FCC3" w:rsidRPr="788F4AF7">
        <w:rPr>
          <w:lang w:eastAsia="zh-CN"/>
        </w:rPr>
        <w:t xml:space="preserve">methodological </w:t>
      </w:r>
      <w:r w:rsidRPr="788F4AF7">
        <w:rPr>
          <w:lang w:eastAsia="zh-CN"/>
        </w:rPr>
        <w:t xml:space="preserve">tool </w:t>
      </w:r>
      <w:r w:rsidR="15DA0D43" w:rsidRPr="788F4AF7">
        <w:rPr>
          <w:lang w:eastAsia="zh-CN"/>
        </w:rPr>
        <w:t>specif</w:t>
      </w:r>
      <w:r w:rsidR="37AC3E9C" w:rsidRPr="788F4AF7">
        <w:rPr>
          <w:lang w:eastAsia="zh-CN"/>
        </w:rPr>
        <w:t>ies other values.</w:t>
      </w:r>
      <w:r w:rsidRPr="788F4AF7">
        <w:rPr>
          <w:rStyle w:val="FootnoteReference"/>
          <w:lang w:eastAsia="zh-CN"/>
        </w:rPr>
        <w:footnoteReference w:id="25"/>
      </w:r>
      <w:r w:rsidR="4301788D" w:rsidRPr="788F4AF7">
        <w:rPr>
          <w:lang w:eastAsia="zh-CN"/>
        </w:rPr>
        <w:t xml:space="preserve"> </w:t>
      </w:r>
      <w:r w:rsidR="76DB9BB5" w:rsidRPr="788F4AF7">
        <w:rPr>
          <w:lang w:eastAsia="zh-CN"/>
        </w:rPr>
        <w:t xml:space="preserve">Activity participants shall use the more conservative </w:t>
      </w:r>
      <w:r w:rsidR="50924600" w:rsidRPr="788F4AF7">
        <w:rPr>
          <w:lang w:eastAsia="zh-CN"/>
        </w:rPr>
        <w:t>approach</w:t>
      </w:r>
      <w:r w:rsidR="4611BEE8" w:rsidRPr="788F4AF7">
        <w:rPr>
          <w:lang w:eastAsia="zh-CN"/>
        </w:rPr>
        <w:t xml:space="preserve">, </w:t>
      </w:r>
      <w:r w:rsidR="2421525A" w:rsidRPr="788F4AF7">
        <w:rPr>
          <w:lang w:eastAsia="zh-CN"/>
        </w:rPr>
        <w:t xml:space="preserve">which results </w:t>
      </w:r>
      <w:r w:rsidR="071B1F74" w:rsidRPr="788F4AF7">
        <w:rPr>
          <w:lang w:eastAsia="zh-CN"/>
        </w:rPr>
        <w:t xml:space="preserve">in </w:t>
      </w:r>
      <w:r w:rsidR="2421525A" w:rsidRPr="788F4AF7">
        <w:rPr>
          <w:lang w:eastAsia="zh-CN"/>
        </w:rPr>
        <w:t>a higher emission factor for case</w:t>
      </w:r>
      <w:r w:rsidR="79565133" w:rsidRPr="788F4AF7">
        <w:rPr>
          <w:lang w:eastAsia="zh-CN"/>
        </w:rPr>
        <w:t> </w:t>
      </w:r>
      <w:r w:rsidR="2421525A" w:rsidRPr="788F4AF7">
        <w:rPr>
          <w:lang w:eastAsia="zh-CN"/>
        </w:rPr>
        <w:t>1 and a lower emission factor for case</w:t>
      </w:r>
      <w:r w:rsidR="4E2E7B44" w:rsidRPr="788F4AF7">
        <w:rPr>
          <w:lang w:eastAsia="zh-CN"/>
        </w:rPr>
        <w:t> </w:t>
      </w:r>
      <w:r w:rsidR="2421525A" w:rsidRPr="788F4AF7">
        <w:rPr>
          <w:lang w:eastAsia="zh-CN"/>
        </w:rPr>
        <w:t>2,</w:t>
      </w:r>
      <w:r w:rsidR="50924600" w:rsidRPr="788F4AF7">
        <w:rPr>
          <w:lang w:eastAsia="zh-CN"/>
        </w:rPr>
        <w:t xml:space="preserve"> between (i) using the lower value for </w:t>
      </w:r>
      <w:r w:rsidR="50924600" w:rsidRPr="00AC4739">
        <w:rPr>
          <w:i/>
          <w:iCs/>
          <w:lang w:eastAsia="zh-CN"/>
        </w:rPr>
        <w:t>w</w:t>
      </w:r>
      <w:r w:rsidR="06B82078" w:rsidRPr="00AC4739">
        <w:rPr>
          <w:i/>
          <w:iCs/>
          <w:vertAlign w:val="subscript"/>
          <w:lang w:eastAsia="zh-CN"/>
        </w:rPr>
        <w:t>OM</w:t>
      </w:r>
      <w:r w:rsidR="06B82078" w:rsidRPr="788F4AF7">
        <w:rPr>
          <w:lang w:eastAsia="zh-CN"/>
        </w:rPr>
        <w:t xml:space="preserve"> combined with the upper value for </w:t>
      </w:r>
      <w:r w:rsidR="06B82078" w:rsidRPr="00AC4739">
        <w:rPr>
          <w:i/>
          <w:iCs/>
          <w:lang w:eastAsia="zh-CN"/>
        </w:rPr>
        <w:t>w</w:t>
      </w:r>
      <w:r w:rsidR="06B82078" w:rsidRPr="00AC4739">
        <w:rPr>
          <w:i/>
          <w:iCs/>
          <w:vertAlign w:val="subscript"/>
          <w:lang w:eastAsia="zh-CN"/>
        </w:rPr>
        <w:t>BM</w:t>
      </w:r>
      <w:r w:rsidR="21AE2483" w:rsidRPr="788F4AF7">
        <w:rPr>
          <w:lang w:eastAsia="zh-CN"/>
        </w:rPr>
        <w:t xml:space="preserve"> or (ii) using the upper value for the </w:t>
      </w:r>
      <w:r w:rsidR="21AE2483" w:rsidRPr="00AC4739">
        <w:rPr>
          <w:i/>
          <w:iCs/>
          <w:lang w:eastAsia="zh-CN"/>
        </w:rPr>
        <w:t>w</w:t>
      </w:r>
      <w:r w:rsidR="21AE2483" w:rsidRPr="00AC4739">
        <w:rPr>
          <w:i/>
          <w:iCs/>
          <w:vertAlign w:val="subscript"/>
          <w:lang w:eastAsia="zh-CN"/>
        </w:rPr>
        <w:t>OM</w:t>
      </w:r>
      <w:r w:rsidR="21AE2483" w:rsidRPr="788F4AF7">
        <w:rPr>
          <w:lang w:eastAsia="zh-CN"/>
        </w:rPr>
        <w:t xml:space="preserve"> combined with the lower value for </w:t>
      </w:r>
      <w:r w:rsidR="21AE2483" w:rsidRPr="00AC4739">
        <w:rPr>
          <w:i/>
          <w:iCs/>
          <w:lang w:eastAsia="zh-CN"/>
        </w:rPr>
        <w:t>w</w:t>
      </w:r>
      <w:r w:rsidR="21AE2483" w:rsidRPr="00AC4739">
        <w:rPr>
          <w:i/>
          <w:iCs/>
          <w:vertAlign w:val="subscript"/>
          <w:lang w:eastAsia="zh-CN"/>
        </w:rPr>
        <w:t>BM</w:t>
      </w:r>
      <w:r w:rsidR="21AE2483" w:rsidRPr="788F4AF7">
        <w:rPr>
          <w:lang w:eastAsia="zh-CN"/>
        </w:rPr>
        <w:t xml:space="preserve">, such that the sum of </w:t>
      </w:r>
      <w:r w:rsidR="506BF06B" w:rsidRPr="00AC4739">
        <w:rPr>
          <w:i/>
          <w:iCs/>
          <w:lang w:eastAsia="zh-CN"/>
        </w:rPr>
        <w:t>w</w:t>
      </w:r>
      <w:r w:rsidR="506BF06B" w:rsidRPr="00AC4739">
        <w:rPr>
          <w:i/>
          <w:iCs/>
          <w:vertAlign w:val="subscript"/>
          <w:lang w:eastAsia="zh-CN"/>
        </w:rPr>
        <w:t>OM</w:t>
      </w:r>
      <w:r w:rsidR="21AE2483" w:rsidRPr="788F4AF7">
        <w:rPr>
          <w:lang w:eastAsia="zh-CN"/>
        </w:rPr>
        <w:t xml:space="preserve"> and </w:t>
      </w:r>
      <w:r w:rsidR="21AE2483" w:rsidRPr="00AC4739">
        <w:rPr>
          <w:i/>
          <w:iCs/>
          <w:lang w:eastAsia="zh-CN"/>
        </w:rPr>
        <w:t>w</w:t>
      </w:r>
      <w:r w:rsidR="21AE2483" w:rsidRPr="00AC4739">
        <w:rPr>
          <w:i/>
          <w:iCs/>
          <w:vertAlign w:val="subscript"/>
          <w:lang w:eastAsia="zh-CN"/>
        </w:rPr>
        <w:t>BM</w:t>
      </w:r>
      <w:r w:rsidR="21AE2483" w:rsidRPr="00AC4739">
        <w:rPr>
          <w:lang w:eastAsia="zh-CN"/>
        </w:rPr>
        <w:t xml:space="preserve"> is equal to one.</w:t>
      </w:r>
    </w:p>
    <w:p w14:paraId="446CCAC0" w14:textId="175C849B" w:rsidR="00DC7530" w:rsidRPr="00AC4739" w:rsidRDefault="007061AF" w:rsidP="007061AF">
      <w:pPr>
        <w:pStyle w:val="Caption"/>
        <w:rPr>
          <w:vertAlign w:val="subscript"/>
        </w:rPr>
      </w:pPr>
      <w:bookmarkStart w:id="660" w:name="_Ref220950322"/>
      <w:bookmarkStart w:id="661" w:name="_Ref216179000"/>
      <w:r w:rsidRPr="00AC4739">
        <w:t>Table</w:t>
      </w:r>
      <w:r w:rsidR="005A04B7" w:rsidRPr="00AC4739">
        <w:t> </w:t>
      </w:r>
      <w:r w:rsidRPr="00AC4739">
        <w:fldChar w:fldCharType="begin"/>
      </w:r>
      <w:r w:rsidRPr="00AC4739">
        <w:instrText>SEQ Table \* ARABIC</w:instrText>
      </w:r>
      <w:r w:rsidRPr="00AC4739">
        <w:fldChar w:fldCharType="separate"/>
      </w:r>
      <w:r w:rsidR="003B0135">
        <w:rPr>
          <w:noProof/>
        </w:rPr>
        <w:t>5</w:t>
      </w:r>
      <w:r w:rsidRPr="00AC4739">
        <w:fldChar w:fldCharType="end"/>
      </w:r>
      <w:bookmarkEnd w:id="660"/>
      <w:r w:rsidR="00E45210" w:rsidRPr="00AC4739">
        <w:rPr>
          <w:noProof/>
        </w:rPr>
        <w:t>.</w:t>
      </w:r>
      <w:r w:rsidR="00E45210" w:rsidRPr="00AC4739">
        <w:tab/>
        <w:t xml:space="preserve">Default values for </w:t>
      </w:r>
      <w:r w:rsidR="00E45210" w:rsidRPr="00AC4739">
        <w:rPr>
          <w:i/>
          <w:iCs/>
        </w:rPr>
        <w:t>w</w:t>
      </w:r>
      <w:r w:rsidR="00E45210" w:rsidRPr="00AC4739">
        <w:rPr>
          <w:i/>
          <w:iCs/>
          <w:vertAlign w:val="subscript"/>
        </w:rPr>
        <w:t>OM</w:t>
      </w:r>
      <w:r w:rsidR="00E45210" w:rsidRPr="00AC4739">
        <w:t xml:space="preserve"> and </w:t>
      </w:r>
      <w:r w:rsidR="00E45210" w:rsidRPr="00AC4739">
        <w:rPr>
          <w:i/>
          <w:iCs/>
        </w:rPr>
        <w:t>w</w:t>
      </w:r>
      <w:r w:rsidR="00E45210" w:rsidRPr="00AC4739">
        <w:rPr>
          <w:i/>
          <w:iCs/>
          <w:vertAlign w:val="subscript"/>
        </w:rPr>
        <w:t>BM</w:t>
      </w:r>
      <w:bookmarkEnd w:id="661"/>
      <w:r w:rsidR="00511431" w:rsidRPr="00AC4739">
        <w:rPr>
          <w:rStyle w:val="FootnoteReference"/>
        </w:rPr>
        <w:footnoteReference w:id="26"/>
      </w:r>
    </w:p>
    <w:tbl>
      <w:tblPr>
        <w:tblStyle w:val="SDMTable"/>
        <w:tblW w:w="8618" w:type="dxa"/>
        <w:tblLayout w:type="fixed"/>
        <w:tblLook w:val="04A0" w:firstRow="1" w:lastRow="0" w:firstColumn="1" w:lastColumn="0" w:noHBand="0" w:noVBand="1"/>
      </w:tblPr>
      <w:tblGrid>
        <w:gridCol w:w="5080"/>
        <w:gridCol w:w="870"/>
        <w:gridCol w:w="872"/>
        <w:gridCol w:w="870"/>
        <w:gridCol w:w="926"/>
      </w:tblGrid>
      <w:tr w:rsidR="00E80F39" w:rsidRPr="00911F51" w14:paraId="2258BCEA" w14:textId="77777777" w:rsidTr="00410D9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7" w:type="pct"/>
            <w:vMerge w:val="restart"/>
          </w:tcPr>
          <w:p w14:paraId="153E3B00" w14:textId="697E55E5" w:rsidR="00E80F39" w:rsidRPr="001949EC" w:rsidRDefault="00E80F39" w:rsidP="007C28CD">
            <w:pPr>
              <w:pStyle w:val="SDMPara"/>
              <w:numPr>
                <w:ilvl w:val="0"/>
                <w:numId w:val="0"/>
              </w:numPr>
              <w:jc w:val="left"/>
              <w:rPr>
                <w:rFonts w:eastAsia="MS Mincho"/>
                <w:sz w:val="20"/>
                <w:szCs w:val="20"/>
                <w:lang w:eastAsia="ja-JP"/>
              </w:rPr>
            </w:pPr>
            <w:r w:rsidRPr="001949EC">
              <w:rPr>
                <w:rFonts w:eastAsia="MS Mincho"/>
                <w:sz w:val="20"/>
                <w:szCs w:val="20"/>
                <w:lang w:eastAsia="ja-JP"/>
              </w:rPr>
              <w:t>Type of electricity generation or consumption source</w:t>
            </w:r>
          </w:p>
        </w:tc>
        <w:tc>
          <w:tcPr>
            <w:tcW w:w="1011" w:type="pct"/>
            <w:gridSpan w:val="2"/>
          </w:tcPr>
          <w:p w14:paraId="79F2435D" w14:textId="627DB84F" w:rsidR="00E80F39" w:rsidRPr="001949EC" w:rsidRDefault="00204D05" w:rsidP="007C28CD">
            <w:pPr>
              <w:pStyle w:val="SDMTableBoxParaNotNumbered"/>
              <w:jc w:val="center"/>
              <w:cnfStyle w:val="100000000000" w:firstRow="1" w:lastRow="0" w:firstColumn="0" w:lastColumn="0" w:oddVBand="0" w:evenVBand="0" w:oddHBand="0" w:evenHBand="0" w:firstRowFirstColumn="0" w:firstRowLastColumn="0" w:lastRowFirstColumn="0" w:lastRowLastColumn="0"/>
              <w:rPr>
                <w:rFonts w:eastAsia="MS Mincho"/>
                <w:lang w:eastAsia="ja-JP"/>
              </w:rPr>
            </w:pPr>
            <w:r w:rsidRPr="00D74D35">
              <w:rPr>
                <w:i/>
                <w:iCs/>
              </w:rPr>
              <w:t>w</w:t>
            </w:r>
            <w:r w:rsidRPr="00D74D35">
              <w:rPr>
                <w:i/>
                <w:iCs/>
                <w:vertAlign w:val="subscript"/>
              </w:rPr>
              <w:t>OM</w:t>
            </w:r>
          </w:p>
        </w:tc>
        <w:tc>
          <w:tcPr>
            <w:tcW w:w="1042" w:type="pct"/>
            <w:gridSpan w:val="2"/>
          </w:tcPr>
          <w:p w14:paraId="08D3044D" w14:textId="4CC2209F" w:rsidR="00E80F39" w:rsidRPr="006A5C29" w:rsidRDefault="00E80F39" w:rsidP="007C28CD">
            <w:pPr>
              <w:pStyle w:val="SDMTableBoxParaNotNumbered"/>
              <w:jc w:val="center"/>
              <w:cnfStyle w:val="100000000000" w:firstRow="1" w:lastRow="0" w:firstColumn="0" w:lastColumn="0" w:oddVBand="0" w:evenVBand="0" w:oddHBand="0" w:evenHBand="0" w:firstRowFirstColumn="0" w:firstRowLastColumn="0" w:lastRowFirstColumn="0" w:lastRowLastColumn="0"/>
              <w:rPr>
                <w:rFonts w:eastAsia="MS Mincho"/>
                <w:b w:val="0"/>
                <w:i/>
                <w:iCs/>
              </w:rPr>
            </w:pPr>
            <w:r w:rsidRPr="006A5C29">
              <w:rPr>
                <w:i/>
                <w:iCs/>
              </w:rPr>
              <w:t>w</w:t>
            </w:r>
            <w:r w:rsidRPr="006A5C29">
              <w:rPr>
                <w:i/>
                <w:iCs/>
                <w:vertAlign w:val="subscript"/>
              </w:rPr>
              <w:t>BM</w:t>
            </w:r>
          </w:p>
        </w:tc>
      </w:tr>
      <w:tr w:rsidR="001F216E" w:rsidRPr="00911F51" w14:paraId="7ACFA41B" w14:textId="77777777" w:rsidTr="00410D9D">
        <w:tc>
          <w:tcPr>
            <w:cnfStyle w:val="001000000000" w:firstRow="0" w:lastRow="0" w:firstColumn="1" w:lastColumn="0" w:oddVBand="0" w:evenVBand="0" w:oddHBand="0" w:evenHBand="0" w:firstRowFirstColumn="0" w:firstRowLastColumn="0" w:lastRowFirstColumn="0" w:lastRowLastColumn="0"/>
            <w:tcW w:w="2947" w:type="pct"/>
            <w:vMerge/>
          </w:tcPr>
          <w:p w14:paraId="415426AA" w14:textId="77777777" w:rsidR="001F216E" w:rsidRPr="001949EC" w:rsidRDefault="001F216E" w:rsidP="007C28CD">
            <w:pPr>
              <w:pStyle w:val="SDMPara"/>
              <w:ind w:left="0" w:firstLine="0"/>
              <w:jc w:val="left"/>
              <w:rPr>
                <w:rFonts w:eastAsia="MS Mincho"/>
                <w:sz w:val="20"/>
                <w:szCs w:val="20"/>
                <w:lang w:eastAsia="ja-JP"/>
              </w:rPr>
            </w:pPr>
          </w:p>
        </w:tc>
        <w:tc>
          <w:tcPr>
            <w:tcW w:w="505" w:type="pct"/>
          </w:tcPr>
          <w:p w14:paraId="545C1070" w14:textId="380ADDDB" w:rsidR="001F216E" w:rsidRPr="001949EC" w:rsidRDefault="001F216E" w:rsidP="007C28CD">
            <w:pPr>
              <w:pStyle w:val="SDMPara"/>
              <w:numPr>
                <w:ilvl w:val="0"/>
                <w:numId w:val="0"/>
              </w:numPr>
              <w:jc w:val="left"/>
              <w:cnfStyle w:val="000000000000" w:firstRow="0" w:lastRow="0" w:firstColumn="0" w:lastColumn="0" w:oddVBand="0" w:evenVBand="0" w:oddHBand="0" w:evenHBand="0" w:firstRowFirstColumn="0" w:firstRowLastColumn="0" w:lastRowFirstColumn="0" w:lastRowLastColumn="0"/>
              <w:rPr>
                <w:rFonts w:eastAsia="MS Mincho"/>
                <w:sz w:val="20"/>
                <w:szCs w:val="20"/>
                <w:lang w:eastAsia="ja-JP"/>
              </w:rPr>
            </w:pPr>
            <w:r w:rsidRPr="001949EC">
              <w:rPr>
                <w:b/>
                <w:bCs/>
                <w:sz w:val="20"/>
                <w:szCs w:val="20"/>
              </w:rPr>
              <w:t>Lower value</w:t>
            </w:r>
          </w:p>
        </w:tc>
        <w:tc>
          <w:tcPr>
            <w:tcW w:w="505" w:type="pct"/>
          </w:tcPr>
          <w:p w14:paraId="6AEF79DE" w14:textId="13EDF2AD" w:rsidR="001F216E" w:rsidRPr="001949EC" w:rsidRDefault="001F216E" w:rsidP="007C28CD">
            <w:pPr>
              <w:pStyle w:val="SDMPara"/>
              <w:numPr>
                <w:ilvl w:val="0"/>
                <w:numId w:val="0"/>
              </w:numPr>
              <w:jc w:val="left"/>
              <w:cnfStyle w:val="000000000000" w:firstRow="0" w:lastRow="0" w:firstColumn="0" w:lastColumn="0" w:oddVBand="0" w:evenVBand="0" w:oddHBand="0" w:evenHBand="0" w:firstRowFirstColumn="0" w:firstRowLastColumn="0" w:lastRowFirstColumn="0" w:lastRowLastColumn="0"/>
              <w:rPr>
                <w:rFonts w:eastAsia="MS Mincho"/>
                <w:sz w:val="20"/>
                <w:szCs w:val="20"/>
                <w:lang w:eastAsia="ja-JP"/>
              </w:rPr>
            </w:pPr>
            <w:r w:rsidRPr="001949EC">
              <w:rPr>
                <w:b/>
                <w:bCs/>
                <w:sz w:val="20"/>
                <w:szCs w:val="20"/>
              </w:rPr>
              <w:t>Upper value</w:t>
            </w:r>
          </w:p>
        </w:tc>
        <w:tc>
          <w:tcPr>
            <w:tcW w:w="505" w:type="pct"/>
          </w:tcPr>
          <w:p w14:paraId="00232A0C" w14:textId="2A83A1B4" w:rsidR="001F216E" w:rsidRPr="001949EC" w:rsidRDefault="001F216E" w:rsidP="007C28CD">
            <w:pPr>
              <w:pStyle w:val="SDMPara"/>
              <w:numPr>
                <w:ilvl w:val="0"/>
                <w:numId w:val="0"/>
              </w:numPr>
              <w:jc w:val="left"/>
              <w:cnfStyle w:val="000000000000" w:firstRow="0" w:lastRow="0" w:firstColumn="0" w:lastColumn="0" w:oddVBand="0" w:evenVBand="0" w:oddHBand="0" w:evenHBand="0" w:firstRowFirstColumn="0" w:firstRowLastColumn="0" w:lastRowFirstColumn="0" w:lastRowLastColumn="0"/>
              <w:rPr>
                <w:rFonts w:eastAsia="MS Mincho"/>
                <w:sz w:val="20"/>
                <w:szCs w:val="20"/>
                <w:lang w:eastAsia="ja-JP"/>
              </w:rPr>
            </w:pPr>
            <w:r w:rsidRPr="001949EC">
              <w:rPr>
                <w:b/>
                <w:bCs/>
                <w:sz w:val="20"/>
                <w:szCs w:val="20"/>
              </w:rPr>
              <w:t>Lower value</w:t>
            </w:r>
          </w:p>
        </w:tc>
        <w:tc>
          <w:tcPr>
            <w:tcW w:w="537" w:type="pct"/>
          </w:tcPr>
          <w:p w14:paraId="6010AD27" w14:textId="16DF3B7A" w:rsidR="001F216E" w:rsidRPr="001949EC" w:rsidRDefault="001F216E" w:rsidP="007C28CD">
            <w:pPr>
              <w:pStyle w:val="SDMPara"/>
              <w:numPr>
                <w:ilvl w:val="0"/>
                <w:numId w:val="0"/>
              </w:numPr>
              <w:jc w:val="left"/>
              <w:cnfStyle w:val="000000000000" w:firstRow="0" w:lastRow="0" w:firstColumn="0" w:lastColumn="0" w:oddVBand="0" w:evenVBand="0" w:oddHBand="0" w:evenHBand="0" w:firstRowFirstColumn="0" w:firstRowLastColumn="0" w:lastRowFirstColumn="0" w:lastRowLastColumn="0"/>
              <w:rPr>
                <w:rFonts w:eastAsia="MS Mincho"/>
                <w:sz w:val="20"/>
                <w:szCs w:val="20"/>
                <w:lang w:eastAsia="ja-JP"/>
              </w:rPr>
            </w:pPr>
            <w:r w:rsidRPr="001949EC">
              <w:rPr>
                <w:b/>
                <w:bCs/>
                <w:sz w:val="20"/>
                <w:szCs w:val="20"/>
              </w:rPr>
              <w:t>Upper value</w:t>
            </w:r>
          </w:p>
        </w:tc>
      </w:tr>
      <w:tr w:rsidR="001F216E" w:rsidRPr="001A00C0" w14:paraId="7E8DB496" w14:textId="77777777" w:rsidTr="00410D9D">
        <w:tc>
          <w:tcPr>
            <w:cnfStyle w:val="001000000000" w:firstRow="0" w:lastRow="0" w:firstColumn="1" w:lastColumn="0" w:oddVBand="0" w:evenVBand="0" w:oddHBand="0" w:evenHBand="0" w:firstRowFirstColumn="0" w:firstRowLastColumn="0" w:lastRowFirstColumn="0" w:lastRowLastColumn="0"/>
            <w:tcW w:w="2947" w:type="pct"/>
          </w:tcPr>
          <w:p w14:paraId="5BD97437" w14:textId="77777777" w:rsidR="001F216E" w:rsidRPr="00D27DAF" w:rsidRDefault="001F216E" w:rsidP="007C28CD">
            <w:pPr>
              <w:pStyle w:val="SDMPara"/>
              <w:numPr>
                <w:ilvl w:val="0"/>
                <w:numId w:val="9"/>
              </w:numPr>
              <w:tabs>
                <w:tab w:val="left" w:pos="420"/>
              </w:tabs>
              <w:spacing w:before="0"/>
              <w:ind w:left="357" w:hanging="357"/>
              <w:jc w:val="left"/>
              <w:rPr>
                <w:b w:val="0"/>
                <w:sz w:val="20"/>
                <w:szCs w:val="20"/>
                <w:lang w:eastAsia="zh-CN"/>
              </w:rPr>
            </w:pPr>
            <w:r w:rsidRPr="00D27DAF">
              <w:rPr>
                <w:b w:val="0"/>
                <w:sz w:val="20"/>
                <w:szCs w:val="20"/>
                <w:lang w:eastAsia="zh-CN"/>
              </w:rPr>
              <w:t>Intermittent electricity generation sources</w:t>
            </w:r>
          </w:p>
          <w:p w14:paraId="0AD7A077" w14:textId="404C44D0" w:rsidR="001F216E" w:rsidRPr="00D27DAF" w:rsidRDefault="001F216E" w:rsidP="007C28CD">
            <w:pPr>
              <w:pStyle w:val="SDMPara"/>
              <w:numPr>
                <w:ilvl w:val="0"/>
                <w:numId w:val="9"/>
              </w:numPr>
              <w:spacing w:before="0"/>
              <w:ind w:left="357" w:hanging="357"/>
              <w:jc w:val="left"/>
              <w:rPr>
                <w:rFonts w:eastAsia="MS Mincho"/>
                <w:b w:val="0"/>
                <w:sz w:val="20"/>
                <w:szCs w:val="20"/>
                <w:lang w:eastAsia="ja-JP"/>
              </w:rPr>
            </w:pPr>
            <w:r w:rsidRPr="00D27DAF" w:rsidDel="00E77D95">
              <w:rPr>
                <w:b w:val="0"/>
                <w:sz w:val="20"/>
                <w:szCs w:val="20"/>
                <w:lang w:eastAsia="zh-CN"/>
              </w:rPr>
              <w:t xml:space="preserve">Electricity </w:t>
            </w:r>
            <w:r w:rsidRPr="00D27DAF">
              <w:rPr>
                <w:b w:val="0"/>
                <w:sz w:val="20"/>
                <w:szCs w:val="20"/>
                <w:lang w:eastAsia="zh-CN"/>
              </w:rPr>
              <w:t>consumption sources depending on intermittent generation</w:t>
            </w:r>
          </w:p>
        </w:tc>
        <w:tc>
          <w:tcPr>
            <w:tcW w:w="505" w:type="pct"/>
          </w:tcPr>
          <w:p w14:paraId="0D33A410" w14:textId="23DF46A2" w:rsidR="001F216E" w:rsidRPr="001949EC" w:rsidRDefault="001F216E" w:rsidP="007C28CD">
            <w:pPr>
              <w:pStyle w:val="SDMPara"/>
              <w:numPr>
                <w:ilvl w:val="0"/>
                <w:numId w:val="0"/>
              </w:numPr>
              <w:jc w:val="left"/>
              <w:cnfStyle w:val="000000000000" w:firstRow="0" w:lastRow="0" w:firstColumn="0" w:lastColumn="0" w:oddVBand="0" w:evenVBand="0" w:oddHBand="0" w:evenHBand="0" w:firstRowFirstColumn="0" w:firstRowLastColumn="0" w:lastRowFirstColumn="0" w:lastRowLastColumn="0"/>
              <w:rPr>
                <w:rFonts w:eastAsia="MS Mincho"/>
                <w:sz w:val="20"/>
                <w:szCs w:val="20"/>
                <w:lang w:eastAsia="ja-JP"/>
              </w:rPr>
            </w:pPr>
            <w:r w:rsidRPr="001949EC">
              <w:rPr>
                <w:sz w:val="20"/>
                <w:szCs w:val="20"/>
              </w:rPr>
              <w:t>0.25</w:t>
            </w:r>
          </w:p>
        </w:tc>
        <w:tc>
          <w:tcPr>
            <w:tcW w:w="505" w:type="pct"/>
          </w:tcPr>
          <w:p w14:paraId="1129C172" w14:textId="47A58600" w:rsidR="001F216E" w:rsidRPr="001949EC" w:rsidRDefault="001F216E" w:rsidP="007C28CD">
            <w:pPr>
              <w:pStyle w:val="SDMPara"/>
              <w:numPr>
                <w:ilvl w:val="0"/>
                <w:numId w:val="0"/>
              </w:numPr>
              <w:jc w:val="left"/>
              <w:cnfStyle w:val="000000000000" w:firstRow="0" w:lastRow="0" w:firstColumn="0" w:lastColumn="0" w:oddVBand="0" w:evenVBand="0" w:oddHBand="0" w:evenHBand="0" w:firstRowFirstColumn="0" w:firstRowLastColumn="0" w:lastRowFirstColumn="0" w:lastRowLastColumn="0"/>
              <w:rPr>
                <w:rFonts w:eastAsia="MS Mincho"/>
                <w:sz w:val="20"/>
                <w:szCs w:val="20"/>
                <w:lang w:eastAsia="ja-JP"/>
              </w:rPr>
            </w:pPr>
            <w:r w:rsidRPr="001949EC">
              <w:rPr>
                <w:rFonts w:eastAsiaTheme="minorEastAsia"/>
                <w:sz w:val="20"/>
                <w:szCs w:val="20"/>
                <w:lang w:eastAsia="zh-CN"/>
              </w:rPr>
              <w:t>0.75</w:t>
            </w:r>
          </w:p>
        </w:tc>
        <w:tc>
          <w:tcPr>
            <w:tcW w:w="505" w:type="pct"/>
          </w:tcPr>
          <w:p w14:paraId="09EEFEC5" w14:textId="34127CFA" w:rsidR="001F216E" w:rsidRPr="001949EC" w:rsidRDefault="001F216E" w:rsidP="007C28CD">
            <w:pPr>
              <w:pStyle w:val="SDMPara"/>
              <w:numPr>
                <w:ilvl w:val="0"/>
                <w:numId w:val="0"/>
              </w:numPr>
              <w:jc w:val="left"/>
              <w:cnfStyle w:val="000000000000" w:firstRow="0" w:lastRow="0" w:firstColumn="0" w:lastColumn="0" w:oddVBand="0" w:evenVBand="0" w:oddHBand="0" w:evenHBand="0" w:firstRowFirstColumn="0" w:firstRowLastColumn="0" w:lastRowFirstColumn="0" w:lastRowLastColumn="0"/>
              <w:rPr>
                <w:rFonts w:eastAsia="MS Mincho"/>
                <w:sz w:val="20"/>
                <w:szCs w:val="20"/>
                <w:lang w:eastAsia="ja-JP"/>
              </w:rPr>
            </w:pPr>
            <w:r w:rsidRPr="001949EC">
              <w:rPr>
                <w:rFonts w:eastAsiaTheme="minorEastAsia"/>
                <w:sz w:val="20"/>
                <w:szCs w:val="20"/>
                <w:lang w:eastAsia="zh-CN"/>
              </w:rPr>
              <w:t>0.25</w:t>
            </w:r>
          </w:p>
        </w:tc>
        <w:tc>
          <w:tcPr>
            <w:tcW w:w="537" w:type="pct"/>
          </w:tcPr>
          <w:p w14:paraId="30B08291" w14:textId="44514788" w:rsidR="001F216E" w:rsidRPr="001949EC" w:rsidRDefault="001F216E" w:rsidP="007C28CD">
            <w:pPr>
              <w:pStyle w:val="SDMPara"/>
              <w:numPr>
                <w:ilvl w:val="0"/>
                <w:numId w:val="0"/>
              </w:numPr>
              <w:jc w:val="left"/>
              <w:cnfStyle w:val="000000000000" w:firstRow="0" w:lastRow="0" w:firstColumn="0" w:lastColumn="0" w:oddVBand="0" w:evenVBand="0" w:oddHBand="0" w:evenHBand="0" w:firstRowFirstColumn="0" w:firstRowLastColumn="0" w:lastRowFirstColumn="0" w:lastRowLastColumn="0"/>
              <w:rPr>
                <w:rFonts w:eastAsia="MS Mincho"/>
                <w:sz w:val="20"/>
                <w:szCs w:val="20"/>
                <w:lang w:eastAsia="ja-JP"/>
              </w:rPr>
            </w:pPr>
            <w:r w:rsidRPr="001949EC">
              <w:rPr>
                <w:rFonts w:eastAsiaTheme="minorEastAsia"/>
                <w:sz w:val="20"/>
                <w:szCs w:val="20"/>
                <w:lang w:eastAsia="zh-CN"/>
              </w:rPr>
              <w:t>0.75</w:t>
            </w:r>
          </w:p>
        </w:tc>
      </w:tr>
      <w:tr w:rsidR="001F216E" w:rsidRPr="001A00C0" w14:paraId="6371DA0D" w14:textId="77777777" w:rsidTr="00410D9D">
        <w:tc>
          <w:tcPr>
            <w:cnfStyle w:val="001000000000" w:firstRow="0" w:lastRow="0" w:firstColumn="1" w:lastColumn="0" w:oddVBand="0" w:evenVBand="0" w:oddHBand="0" w:evenHBand="0" w:firstRowFirstColumn="0" w:firstRowLastColumn="0" w:lastRowFirstColumn="0" w:lastRowLastColumn="0"/>
            <w:tcW w:w="2947" w:type="pct"/>
          </w:tcPr>
          <w:p w14:paraId="577C42B8" w14:textId="77777777" w:rsidR="001F216E" w:rsidRPr="00D27DAF" w:rsidRDefault="001F216E" w:rsidP="007C28CD">
            <w:pPr>
              <w:pStyle w:val="SDMPara"/>
              <w:numPr>
                <w:ilvl w:val="0"/>
                <w:numId w:val="10"/>
              </w:numPr>
              <w:tabs>
                <w:tab w:val="left" w:pos="420"/>
              </w:tabs>
              <w:spacing w:before="0"/>
              <w:ind w:left="357" w:hanging="357"/>
              <w:jc w:val="left"/>
              <w:rPr>
                <w:b w:val="0"/>
                <w:sz w:val="20"/>
                <w:szCs w:val="20"/>
                <w:lang w:eastAsia="zh-CN"/>
              </w:rPr>
            </w:pPr>
            <w:r w:rsidRPr="00D27DAF">
              <w:rPr>
                <w:b w:val="0"/>
                <w:sz w:val="20"/>
                <w:szCs w:val="20"/>
                <w:lang w:eastAsia="zh-CN"/>
              </w:rPr>
              <w:t>Non-intermittent electricity generation sources</w:t>
            </w:r>
          </w:p>
          <w:p w14:paraId="1D55DC60" w14:textId="5518627C" w:rsidR="001F216E" w:rsidRPr="00D27DAF" w:rsidRDefault="001F216E" w:rsidP="007C28CD">
            <w:pPr>
              <w:pStyle w:val="SDMPara"/>
              <w:numPr>
                <w:ilvl w:val="0"/>
                <w:numId w:val="10"/>
              </w:numPr>
              <w:spacing w:before="0"/>
              <w:ind w:left="357" w:hanging="357"/>
              <w:jc w:val="left"/>
              <w:rPr>
                <w:rFonts w:eastAsia="MS Mincho"/>
                <w:b w:val="0"/>
                <w:sz w:val="20"/>
                <w:szCs w:val="20"/>
                <w:lang w:eastAsia="ja-JP"/>
              </w:rPr>
            </w:pPr>
            <w:r w:rsidRPr="00D27DAF" w:rsidDel="00E77D95">
              <w:rPr>
                <w:b w:val="0"/>
                <w:sz w:val="20"/>
                <w:szCs w:val="20"/>
                <w:lang w:eastAsia="zh-CN"/>
              </w:rPr>
              <w:t xml:space="preserve">Electricity </w:t>
            </w:r>
            <w:r w:rsidRPr="00D27DAF">
              <w:rPr>
                <w:b w:val="0"/>
                <w:sz w:val="20"/>
                <w:szCs w:val="20"/>
                <w:lang w:eastAsia="zh-CN"/>
              </w:rPr>
              <w:t>consumption sources not depending on intermittent generation</w:t>
            </w:r>
          </w:p>
        </w:tc>
        <w:tc>
          <w:tcPr>
            <w:tcW w:w="505" w:type="pct"/>
          </w:tcPr>
          <w:p w14:paraId="01F40859" w14:textId="2840D974" w:rsidR="001F216E" w:rsidRPr="001949EC" w:rsidRDefault="001F216E" w:rsidP="007C28CD">
            <w:pPr>
              <w:pStyle w:val="SDMPara"/>
              <w:numPr>
                <w:ilvl w:val="0"/>
                <w:numId w:val="0"/>
              </w:numPr>
              <w:jc w:val="left"/>
              <w:cnfStyle w:val="000000000000" w:firstRow="0" w:lastRow="0" w:firstColumn="0" w:lastColumn="0" w:oddVBand="0" w:evenVBand="0" w:oddHBand="0" w:evenHBand="0" w:firstRowFirstColumn="0" w:firstRowLastColumn="0" w:lastRowFirstColumn="0" w:lastRowLastColumn="0"/>
              <w:rPr>
                <w:rFonts w:eastAsia="MS Mincho"/>
                <w:sz w:val="20"/>
                <w:szCs w:val="20"/>
                <w:lang w:eastAsia="ja-JP"/>
              </w:rPr>
            </w:pPr>
            <w:r w:rsidRPr="001949EC">
              <w:rPr>
                <w:sz w:val="20"/>
                <w:szCs w:val="20"/>
              </w:rPr>
              <w:t>0.125</w:t>
            </w:r>
          </w:p>
        </w:tc>
        <w:tc>
          <w:tcPr>
            <w:tcW w:w="505" w:type="pct"/>
          </w:tcPr>
          <w:p w14:paraId="09F0FE06" w14:textId="5AE30058" w:rsidR="001F216E" w:rsidRPr="001949EC" w:rsidRDefault="001F216E" w:rsidP="007C28CD">
            <w:pPr>
              <w:pStyle w:val="SDMPara"/>
              <w:numPr>
                <w:ilvl w:val="0"/>
                <w:numId w:val="0"/>
              </w:numPr>
              <w:jc w:val="left"/>
              <w:cnfStyle w:val="000000000000" w:firstRow="0" w:lastRow="0" w:firstColumn="0" w:lastColumn="0" w:oddVBand="0" w:evenVBand="0" w:oddHBand="0" w:evenHBand="0" w:firstRowFirstColumn="0" w:firstRowLastColumn="0" w:lastRowFirstColumn="0" w:lastRowLastColumn="0"/>
              <w:rPr>
                <w:rFonts w:eastAsia="MS Mincho"/>
                <w:sz w:val="20"/>
                <w:szCs w:val="20"/>
                <w:lang w:eastAsia="ja-JP"/>
              </w:rPr>
            </w:pPr>
            <w:r w:rsidRPr="001949EC">
              <w:rPr>
                <w:rFonts w:eastAsiaTheme="minorEastAsia"/>
                <w:sz w:val="20"/>
                <w:szCs w:val="20"/>
                <w:lang w:eastAsia="zh-CN"/>
              </w:rPr>
              <w:t>0.375</w:t>
            </w:r>
          </w:p>
        </w:tc>
        <w:tc>
          <w:tcPr>
            <w:tcW w:w="505" w:type="pct"/>
          </w:tcPr>
          <w:p w14:paraId="7D4DEECA" w14:textId="51911B91" w:rsidR="001F216E" w:rsidRPr="001949EC" w:rsidRDefault="001F216E" w:rsidP="007C28CD">
            <w:pPr>
              <w:pStyle w:val="SDMPara"/>
              <w:numPr>
                <w:ilvl w:val="0"/>
                <w:numId w:val="0"/>
              </w:numPr>
              <w:jc w:val="left"/>
              <w:cnfStyle w:val="000000000000" w:firstRow="0" w:lastRow="0" w:firstColumn="0" w:lastColumn="0" w:oddVBand="0" w:evenVBand="0" w:oddHBand="0" w:evenHBand="0" w:firstRowFirstColumn="0" w:firstRowLastColumn="0" w:lastRowFirstColumn="0" w:lastRowLastColumn="0"/>
              <w:rPr>
                <w:rFonts w:eastAsia="MS Mincho"/>
                <w:sz w:val="20"/>
                <w:szCs w:val="20"/>
                <w:lang w:eastAsia="ja-JP"/>
              </w:rPr>
            </w:pPr>
            <w:r w:rsidRPr="001949EC">
              <w:rPr>
                <w:rFonts w:eastAsiaTheme="minorEastAsia"/>
                <w:sz w:val="20"/>
                <w:szCs w:val="20"/>
                <w:lang w:eastAsia="zh-CN"/>
              </w:rPr>
              <w:t>0.625</w:t>
            </w:r>
          </w:p>
        </w:tc>
        <w:tc>
          <w:tcPr>
            <w:tcW w:w="537" w:type="pct"/>
          </w:tcPr>
          <w:p w14:paraId="31CEBE93" w14:textId="46DB5D39" w:rsidR="001F216E" w:rsidRPr="001949EC" w:rsidRDefault="001F216E" w:rsidP="007C28CD">
            <w:pPr>
              <w:pStyle w:val="SDMPara"/>
              <w:numPr>
                <w:ilvl w:val="0"/>
                <w:numId w:val="0"/>
              </w:numPr>
              <w:jc w:val="left"/>
              <w:cnfStyle w:val="000000000000" w:firstRow="0" w:lastRow="0" w:firstColumn="0" w:lastColumn="0" w:oddVBand="0" w:evenVBand="0" w:oddHBand="0" w:evenHBand="0" w:firstRowFirstColumn="0" w:firstRowLastColumn="0" w:lastRowFirstColumn="0" w:lastRowLastColumn="0"/>
              <w:rPr>
                <w:rFonts w:eastAsia="MS Mincho"/>
                <w:sz w:val="20"/>
                <w:szCs w:val="20"/>
                <w:lang w:eastAsia="ja-JP"/>
              </w:rPr>
            </w:pPr>
            <w:r w:rsidRPr="001949EC">
              <w:rPr>
                <w:rFonts w:eastAsiaTheme="minorEastAsia"/>
                <w:sz w:val="20"/>
                <w:szCs w:val="20"/>
                <w:lang w:eastAsia="zh-CN"/>
              </w:rPr>
              <w:t>0.875</w:t>
            </w:r>
          </w:p>
        </w:tc>
      </w:tr>
    </w:tbl>
    <w:p w14:paraId="53921E04" w14:textId="1FC5B3A5" w:rsidR="00B235FC" w:rsidRPr="0018564E" w:rsidRDefault="00B235FC">
      <w:pPr>
        <w:pStyle w:val="SDMPara"/>
      </w:pPr>
      <w:r w:rsidRPr="0018564E">
        <w:t xml:space="preserve">The values for </w:t>
      </w:r>
      <w:r w:rsidRPr="0018564E">
        <w:rPr>
          <w:i/>
          <w:iCs/>
        </w:rPr>
        <w:t>w</w:t>
      </w:r>
      <w:r w:rsidRPr="0018564E">
        <w:rPr>
          <w:i/>
          <w:iCs/>
          <w:vertAlign w:val="subscript"/>
        </w:rPr>
        <w:t>OM</w:t>
      </w:r>
      <w:r w:rsidRPr="0018564E">
        <w:t xml:space="preserve"> </w:t>
      </w:r>
      <w:r w:rsidR="6BA28470">
        <w:t>and</w:t>
      </w:r>
      <w:r w:rsidRPr="0018564E">
        <w:t xml:space="preserve"> </w:t>
      </w:r>
      <w:r w:rsidRPr="0018564E">
        <w:rPr>
          <w:i/>
          <w:iCs/>
        </w:rPr>
        <w:t>w</w:t>
      </w:r>
      <w:r w:rsidRPr="0018564E">
        <w:rPr>
          <w:i/>
          <w:iCs/>
          <w:vertAlign w:val="subscript"/>
        </w:rPr>
        <w:t>BM</w:t>
      </w:r>
      <w:r w:rsidRPr="0018564E">
        <w:t xml:space="preserve"> </w:t>
      </w:r>
      <w:r w:rsidR="00E90F2D">
        <w:t>shall</w:t>
      </w:r>
      <w:r w:rsidRPr="0018564E">
        <w:t xml:space="preserve"> be fixed for </w:t>
      </w:r>
      <w:r w:rsidR="00D96091">
        <w:t xml:space="preserve">the duration of </w:t>
      </w:r>
      <w:r w:rsidRPr="0018564E">
        <w:t>a crediting period.</w:t>
      </w:r>
    </w:p>
    <w:p w14:paraId="279666B5" w14:textId="0DFA22F3" w:rsidR="003547C5" w:rsidRPr="00197F0C" w:rsidRDefault="003547C5">
      <w:pPr>
        <w:pStyle w:val="SDMHead3"/>
        <w:keepNext w:val="0"/>
      </w:pPr>
      <w:bookmarkStart w:id="662" w:name="_Ref212363013"/>
      <w:bookmarkStart w:id="663" w:name="_Ref215608692"/>
      <w:bookmarkStart w:id="664" w:name="_Toc215923331"/>
      <w:bookmarkStart w:id="665" w:name="_Toc216093027"/>
      <w:bookmarkStart w:id="666" w:name="_Toc216271756"/>
      <w:bookmarkStart w:id="667" w:name="_Toc216279373"/>
      <w:bookmarkStart w:id="668" w:name="_Toc216283411"/>
      <w:bookmarkStart w:id="669" w:name="_Toc216288029"/>
      <w:bookmarkStart w:id="670" w:name="_Toc219666136"/>
      <w:bookmarkStart w:id="671" w:name="_Toc220001396"/>
      <w:bookmarkStart w:id="672" w:name="_Toc221096420"/>
      <w:bookmarkStart w:id="673" w:name="_Toc221097972"/>
      <w:bookmarkStart w:id="674" w:name="_Toc221116268"/>
      <w:bookmarkStart w:id="675" w:name="_Toc221117284"/>
      <w:bookmarkStart w:id="676" w:name="_Toc222132122"/>
      <w:bookmarkStart w:id="677" w:name="_Toc222494923"/>
      <w:bookmarkStart w:id="678" w:name="_Toc222512439"/>
      <w:bookmarkStart w:id="679" w:name="_Toc222741759"/>
      <w:bookmarkStart w:id="680" w:name="_Toc234853840"/>
      <w:bookmarkStart w:id="681" w:name="_Toc235002278"/>
      <w:bookmarkStart w:id="682" w:name="_Toc235003437"/>
      <w:bookmarkStart w:id="683" w:name="_Toc236154234"/>
      <w:bookmarkStart w:id="684" w:name="_Toc236216611"/>
      <w:bookmarkStart w:id="685" w:name="_Toc240545099"/>
      <w:bookmarkStart w:id="686" w:name="_Toc240545315"/>
      <w:bookmarkStart w:id="687" w:name="_Toc240576897"/>
      <w:r w:rsidRPr="00BA5B92">
        <w:t>Option</w:t>
      </w:r>
      <w:r w:rsidR="00204D05">
        <w:t> </w:t>
      </w:r>
      <w:r w:rsidR="009076AA" w:rsidRPr="00676551">
        <w:t>B</w:t>
      </w:r>
      <w:r w:rsidRPr="00676551">
        <w:t xml:space="preserve">: </w:t>
      </w:r>
      <w:r w:rsidR="003E07D1">
        <w:t>Use a conservative</w:t>
      </w:r>
      <w:r w:rsidR="003E07D1" w:rsidRPr="00676551">
        <w:t xml:space="preserve"> </w:t>
      </w:r>
      <w:r w:rsidRPr="00676551">
        <w:t xml:space="preserve">default </w:t>
      </w:r>
      <w:bookmarkEnd w:id="662"/>
      <w:r w:rsidR="003E07D1">
        <w:t>emission factor</w:t>
      </w:r>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p>
    <w:p w14:paraId="4FEEECC5" w14:textId="1CE4E5B2" w:rsidR="003547C5" w:rsidRDefault="00757335" w:rsidP="00F62D64">
      <w:pPr>
        <w:pStyle w:val="SDMPara"/>
        <w:keepNext/>
      </w:pPr>
      <w:bookmarkStart w:id="688" w:name="_Ref220531202"/>
      <w:r>
        <w:t>Where</w:t>
      </w:r>
      <w:r w:rsidR="001B4C3E">
        <w:t xml:space="preserve"> </w:t>
      </w:r>
      <w:r w:rsidR="000F4CA6" w:rsidRPr="6E64D397">
        <w:rPr>
          <w:b/>
          <w:bCs/>
        </w:rPr>
        <w:t>case</w:t>
      </w:r>
      <w:r w:rsidR="00204D05" w:rsidRPr="6E64D397">
        <w:rPr>
          <w:b/>
          <w:bCs/>
        </w:rPr>
        <w:t> </w:t>
      </w:r>
      <w:r w:rsidR="001B4C3E" w:rsidRPr="6E64D397">
        <w:rPr>
          <w:b/>
          <w:bCs/>
        </w:rPr>
        <w:t>1</w:t>
      </w:r>
      <w:r>
        <w:t xml:space="preserve"> applies</w:t>
      </w:r>
      <w:r w:rsidR="003356E2">
        <w:t xml:space="preserve"> </w:t>
      </w:r>
      <w:r w:rsidR="006E5562">
        <w:t xml:space="preserve">and the </w:t>
      </w:r>
      <w:r w:rsidR="00345A6B" w:rsidRPr="6E64D397">
        <w:rPr>
          <w:rFonts w:eastAsia="Arial"/>
        </w:rPr>
        <w:t>electricity generation source is</w:t>
      </w:r>
      <w:r w:rsidR="00EF193D" w:rsidRPr="6E64D397">
        <w:rPr>
          <w:rFonts w:eastAsia="Arial"/>
        </w:rPr>
        <w:t xml:space="preserve"> not</w:t>
      </w:r>
      <w:r w:rsidR="00345A6B" w:rsidRPr="6E64D397">
        <w:rPr>
          <w:rFonts w:eastAsia="Arial"/>
        </w:rPr>
        <w:t xml:space="preserve"> intermittent, or the electricity consumption source </w:t>
      </w:r>
      <w:r w:rsidR="00EF193D" w:rsidRPr="6E64D397">
        <w:rPr>
          <w:rFonts w:eastAsia="Arial"/>
        </w:rPr>
        <w:t xml:space="preserve">does not </w:t>
      </w:r>
      <w:r w:rsidR="00345A6B" w:rsidRPr="6E64D397">
        <w:rPr>
          <w:rFonts w:eastAsia="Arial"/>
        </w:rPr>
        <w:t>depend on intermittent generation</w:t>
      </w:r>
      <w:r w:rsidR="001B4C3E">
        <w:t xml:space="preserve">, </w:t>
      </w:r>
      <w:r>
        <w:t xml:space="preserve">activity participants </w:t>
      </w:r>
      <w:r w:rsidR="00A77E6B">
        <w:t>shall</w:t>
      </w:r>
      <w:r w:rsidR="001B4C3E">
        <w:t xml:space="preserve"> apply one of the following </w:t>
      </w:r>
      <w:r w:rsidR="1E5E8539">
        <w:t>default</w:t>
      </w:r>
      <w:r w:rsidR="00EC4677">
        <w:t xml:space="preserve"> emission factors</w:t>
      </w:r>
      <w:r w:rsidR="00BC168E">
        <w:t xml:space="preserve"> and justify the choice in the </w:t>
      </w:r>
      <w:r w:rsidR="00BC168E" w:rsidRPr="00780E96">
        <w:t>PDD</w:t>
      </w:r>
      <w:r w:rsidR="00E8471E" w:rsidRPr="00780E96">
        <w:t xml:space="preserve"> or CP-</w:t>
      </w:r>
      <w:r w:rsidR="00E8471E" w:rsidRPr="00585969">
        <w:t>DD,</w:t>
      </w:r>
      <w:r w:rsidR="00F16DE4" w:rsidRPr="00585969">
        <w:t xml:space="preserve"> </w:t>
      </w:r>
      <w:r w:rsidR="00E21E0C" w:rsidRPr="00585969">
        <w:t>or</w:t>
      </w:r>
      <w:r w:rsidR="00E21E0C" w:rsidRPr="00FC4187">
        <w:t xml:space="preserve"> monitoring</w:t>
      </w:r>
      <w:r w:rsidR="00E21E0C">
        <w:t xml:space="preserve"> report</w:t>
      </w:r>
      <w:r w:rsidR="1A76ABD3">
        <w:t>s</w:t>
      </w:r>
      <w:r w:rsidR="00E21E0C">
        <w:t>, as applicable</w:t>
      </w:r>
      <w:r w:rsidR="001B4C3E">
        <w:t>:</w:t>
      </w:r>
      <w:bookmarkEnd w:id="688"/>
    </w:p>
    <w:p w14:paraId="015D37DD" w14:textId="13931E1D" w:rsidR="00DD734D" w:rsidRDefault="00DD734D" w:rsidP="00B15AC9">
      <w:pPr>
        <w:pStyle w:val="SDMSubPara1"/>
      </w:pPr>
      <w:r w:rsidRPr="00AE2277">
        <w:rPr>
          <w:b/>
          <w:bCs/>
        </w:rPr>
        <w:t>0.44 t CO</w:t>
      </w:r>
      <w:r w:rsidRPr="00AE2277">
        <w:rPr>
          <w:b/>
          <w:bCs/>
          <w:vertAlign w:val="subscript"/>
        </w:rPr>
        <w:t>2</w:t>
      </w:r>
      <w:r w:rsidRPr="00AE2277">
        <w:rPr>
          <w:b/>
          <w:bCs/>
        </w:rPr>
        <w:t>e</w:t>
      </w:r>
      <w:r w:rsidR="00E12CA9">
        <w:rPr>
          <w:b/>
          <w:bCs/>
        </w:rPr>
        <w:t>q</w:t>
      </w:r>
      <w:r w:rsidR="0022179C">
        <w:rPr>
          <w:rFonts w:eastAsia="SimSun"/>
          <w:lang w:eastAsia="zh-CN"/>
        </w:rPr>
        <w:t> / </w:t>
      </w:r>
      <w:r w:rsidRPr="00AE2277">
        <w:rPr>
          <w:b/>
          <w:bCs/>
        </w:rPr>
        <w:t>MWh</w:t>
      </w:r>
      <w:r w:rsidDel="00752FDD">
        <w:t xml:space="preserve"> </w:t>
      </w:r>
      <w:r>
        <w:t>if there is high confidence that the share of electricity generation from renewable (excluding solar and wind) and nuclear energy</w:t>
      </w:r>
      <w:r w:rsidDel="00435CD8">
        <w:t xml:space="preserve"> </w:t>
      </w:r>
      <w:r>
        <w:t>in the electricity system exceeds 67 per cent in the period for which the emission factor is determined;</w:t>
      </w:r>
      <w:r>
        <w:rPr>
          <w:rStyle w:val="FootnoteReference"/>
        </w:rPr>
        <w:footnoteReference w:id="27"/>
      </w:r>
      <w:r>
        <w:t xml:space="preserve"> or</w:t>
      </w:r>
    </w:p>
    <w:p w14:paraId="28A5BBD6" w14:textId="33598381" w:rsidR="00924518" w:rsidRDefault="1448543F" w:rsidP="00B15AC9">
      <w:pPr>
        <w:pStyle w:val="SDMSubPara1"/>
      </w:pPr>
      <w:r w:rsidRPr="00F312FB">
        <w:t>O</w:t>
      </w:r>
      <w:r w:rsidR="00DD734D" w:rsidRPr="00F312FB">
        <w:t>therwise</w:t>
      </w:r>
      <w:r w:rsidR="00DD734D">
        <w:rPr>
          <w:b/>
          <w:bCs/>
        </w:rPr>
        <w:t xml:space="preserve"> </w:t>
      </w:r>
      <w:r w:rsidR="6E9BB278" w:rsidRPr="00AE2277">
        <w:rPr>
          <w:b/>
          <w:bCs/>
        </w:rPr>
        <w:t>0.87</w:t>
      </w:r>
      <w:r w:rsidR="09FFCDA8" w:rsidRPr="00AE2277">
        <w:rPr>
          <w:b/>
          <w:bCs/>
        </w:rPr>
        <w:t xml:space="preserve"> t</w:t>
      </w:r>
      <w:r w:rsidR="1EA84197" w:rsidRPr="00AE2277">
        <w:rPr>
          <w:b/>
          <w:bCs/>
        </w:rPr>
        <w:t> </w:t>
      </w:r>
      <w:r w:rsidR="09FFCDA8" w:rsidRPr="00AE2277">
        <w:rPr>
          <w:b/>
          <w:bCs/>
        </w:rPr>
        <w:t>CO</w:t>
      </w:r>
      <w:r w:rsidR="09FFCDA8" w:rsidRPr="00AE2277">
        <w:rPr>
          <w:b/>
          <w:bCs/>
          <w:vertAlign w:val="subscript"/>
        </w:rPr>
        <w:t>2</w:t>
      </w:r>
      <w:r w:rsidR="138347E6" w:rsidRPr="00AE2277">
        <w:rPr>
          <w:b/>
          <w:bCs/>
        </w:rPr>
        <w:t>e</w:t>
      </w:r>
      <w:r w:rsidR="00E12CA9">
        <w:rPr>
          <w:b/>
          <w:bCs/>
        </w:rPr>
        <w:t>q</w:t>
      </w:r>
      <w:r w:rsidR="0022179C">
        <w:rPr>
          <w:rFonts w:eastAsia="SimSun"/>
          <w:lang w:eastAsia="zh-CN"/>
        </w:rPr>
        <w:t> / </w:t>
      </w:r>
      <w:r w:rsidR="09FFCDA8" w:rsidRPr="00AE2277">
        <w:rPr>
          <w:b/>
          <w:bCs/>
        </w:rPr>
        <w:t>MWh</w:t>
      </w:r>
      <w:r w:rsidR="09FFCDA8">
        <w:t xml:space="preserve"> </w:t>
      </w:r>
      <w:r w:rsidR="2D1FF2FF">
        <w:t>if</w:t>
      </w:r>
      <w:r w:rsidR="00A538CC">
        <w:t xml:space="preserve"> </w:t>
      </w:r>
      <w:r w:rsidR="00B461F7">
        <w:t xml:space="preserve">there is high confidence that </w:t>
      </w:r>
      <w:r w:rsidR="00A538CC">
        <w:t xml:space="preserve">the </w:t>
      </w:r>
      <w:r w:rsidR="00B461F7">
        <w:t xml:space="preserve">share </w:t>
      </w:r>
      <w:r w:rsidR="00A538CC">
        <w:t xml:space="preserve">of </w:t>
      </w:r>
      <w:r w:rsidR="0829F4FE">
        <w:t>electricity</w:t>
      </w:r>
      <w:r w:rsidR="22A2AB1B">
        <w:t xml:space="preserve"> </w:t>
      </w:r>
      <w:r w:rsidR="144B4EAE">
        <w:t xml:space="preserve">generation </w:t>
      </w:r>
      <w:r w:rsidR="22A2AB1B">
        <w:t xml:space="preserve">from </w:t>
      </w:r>
      <w:r w:rsidR="00A538CC">
        <w:t xml:space="preserve">renewable (excluding solar and wind) </w:t>
      </w:r>
      <w:r w:rsidR="6E9BB278">
        <w:t xml:space="preserve">and nuclear energy in the electricity </w:t>
      </w:r>
      <w:r w:rsidR="22A2AB1B">
        <w:t>system</w:t>
      </w:r>
      <w:r w:rsidR="003B1E14">
        <w:t xml:space="preserve"> </w:t>
      </w:r>
      <w:r w:rsidR="00BE7413">
        <w:t>exceeds 33</w:t>
      </w:r>
      <w:r w:rsidR="007967A9">
        <w:t> </w:t>
      </w:r>
      <w:r w:rsidR="000F4CA6">
        <w:t xml:space="preserve">per cent </w:t>
      </w:r>
      <w:r w:rsidR="00440A78">
        <w:t>in the period for which the emission factor is determined</w:t>
      </w:r>
      <w:r w:rsidR="00A67C03">
        <w:t>;</w:t>
      </w:r>
      <w:r w:rsidR="00042B20">
        <w:rPr>
          <w:rStyle w:val="FootnoteReference"/>
        </w:rPr>
        <w:footnoteReference w:id="28"/>
      </w:r>
      <w:r w:rsidR="00DD734D">
        <w:t xml:space="preserve"> or</w:t>
      </w:r>
    </w:p>
    <w:p w14:paraId="6956F8FA" w14:textId="2F5AC785" w:rsidR="00A67C03" w:rsidRDefault="3B08944D" w:rsidP="00B15AC9">
      <w:pPr>
        <w:pStyle w:val="SDMSubPara1"/>
      </w:pPr>
      <w:r w:rsidRPr="00F312FB">
        <w:t>O</w:t>
      </w:r>
      <w:r w:rsidR="00DD734D" w:rsidRPr="00F312FB">
        <w:t>therwise</w:t>
      </w:r>
      <w:r w:rsidR="00DD734D">
        <w:rPr>
          <w:b/>
          <w:bCs/>
        </w:rPr>
        <w:t xml:space="preserve"> </w:t>
      </w:r>
      <w:r w:rsidR="00435076" w:rsidRPr="00AE2277">
        <w:rPr>
          <w:b/>
          <w:bCs/>
        </w:rPr>
        <w:t>1.3 t</w:t>
      </w:r>
      <w:r w:rsidR="00204D05">
        <w:rPr>
          <w:b/>
          <w:bCs/>
        </w:rPr>
        <w:t> </w:t>
      </w:r>
      <w:r w:rsidR="00435076" w:rsidRPr="00AE2277">
        <w:rPr>
          <w:b/>
          <w:bCs/>
        </w:rPr>
        <w:t>CO</w:t>
      </w:r>
      <w:r w:rsidR="00435076" w:rsidRPr="00AE2277">
        <w:rPr>
          <w:b/>
          <w:bCs/>
          <w:vertAlign w:val="subscript"/>
        </w:rPr>
        <w:t>2</w:t>
      </w:r>
      <w:r w:rsidR="00435076" w:rsidRPr="00AE2277">
        <w:rPr>
          <w:b/>
          <w:bCs/>
        </w:rPr>
        <w:t>e</w:t>
      </w:r>
      <w:r w:rsidR="00E12CA9">
        <w:rPr>
          <w:b/>
          <w:bCs/>
        </w:rPr>
        <w:t>q</w:t>
      </w:r>
      <w:r w:rsidR="0022179C">
        <w:rPr>
          <w:rFonts w:eastAsia="SimSun"/>
          <w:lang w:eastAsia="zh-CN"/>
        </w:rPr>
        <w:t> / </w:t>
      </w:r>
      <w:r w:rsidR="00435076" w:rsidRPr="00AE2277">
        <w:rPr>
          <w:b/>
          <w:bCs/>
        </w:rPr>
        <w:t>MWh</w:t>
      </w:r>
      <w:r w:rsidR="00435076">
        <w:t>.</w:t>
      </w:r>
      <w:r w:rsidR="00042B20">
        <w:rPr>
          <w:rStyle w:val="FootnoteReference"/>
        </w:rPr>
        <w:footnoteReference w:id="29"/>
      </w:r>
    </w:p>
    <w:p w14:paraId="01467FB0" w14:textId="42FD6C8D" w:rsidR="00EF193D" w:rsidRDefault="00EF193D">
      <w:pPr>
        <w:pStyle w:val="SDMPara"/>
      </w:pPr>
      <w:r>
        <w:t xml:space="preserve">Where </w:t>
      </w:r>
      <w:r w:rsidRPr="00B23B70">
        <w:rPr>
          <w:b/>
          <w:bCs/>
        </w:rPr>
        <w:t>case</w:t>
      </w:r>
      <w:r w:rsidR="00204D05" w:rsidRPr="00B23B70">
        <w:rPr>
          <w:b/>
          <w:bCs/>
        </w:rPr>
        <w:t> </w:t>
      </w:r>
      <w:r w:rsidRPr="00B23B70">
        <w:rPr>
          <w:b/>
          <w:bCs/>
        </w:rPr>
        <w:t>1</w:t>
      </w:r>
      <w:r>
        <w:t xml:space="preserve"> applies </w:t>
      </w:r>
      <w:r w:rsidRPr="00EF193D">
        <w:t>and the electricity generation source is intermittent, or the electricity consumption source depends on intermittent generation,</w:t>
      </w:r>
      <w:r>
        <w:t xml:space="preserve"> </w:t>
      </w:r>
      <w:r w:rsidR="00F84E6C">
        <w:t xml:space="preserve">activity participants </w:t>
      </w:r>
      <w:r w:rsidR="00A77E6B">
        <w:t>shall</w:t>
      </w:r>
      <w:r w:rsidR="00F84E6C">
        <w:t xml:space="preserve"> apply a default value of </w:t>
      </w:r>
      <w:r w:rsidR="00F84E6C" w:rsidRPr="00AE2277">
        <w:rPr>
          <w:b/>
          <w:bCs/>
        </w:rPr>
        <w:t>1.3 t</w:t>
      </w:r>
      <w:r w:rsidR="00204D05">
        <w:rPr>
          <w:b/>
          <w:bCs/>
        </w:rPr>
        <w:t> </w:t>
      </w:r>
      <w:r w:rsidR="00F84E6C" w:rsidRPr="00AE2277">
        <w:rPr>
          <w:b/>
          <w:bCs/>
        </w:rPr>
        <w:t>CO</w:t>
      </w:r>
      <w:r w:rsidR="00F84E6C" w:rsidRPr="00AE2277">
        <w:rPr>
          <w:b/>
          <w:bCs/>
          <w:vertAlign w:val="subscript"/>
        </w:rPr>
        <w:t>2</w:t>
      </w:r>
      <w:r w:rsidR="00F84E6C" w:rsidRPr="00AE2277">
        <w:rPr>
          <w:b/>
          <w:bCs/>
        </w:rPr>
        <w:t>e</w:t>
      </w:r>
      <w:r w:rsidR="00E12CA9">
        <w:rPr>
          <w:b/>
          <w:bCs/>
        </w:rPr>
        <w:t>q</w:t>
      </w:r>
      <w:r w:rsidR="0022179C">
        <w:rPr>
          <w:rFonts w:eastAsia="SimSun"/>
          <w:lang w:eastAsia="zh-CN"/>
        </w:rPr>
        <w:t> / </w:t>
      </w:r>
      <w:r w:rsidR="00F84E6C" w:rsidRPr="00AE2277">
        <w:rPr>
          <w:b/>
          <w:bCs/>
        </w:rPr>
        <w:t>MWh</w:t>
      </w:r>
      <w:r w:rsidR="00F84E6C" w:rsidRPr="00F84E6C">
        <w:t>.</w:t>
      </w:r>
      <w:r w:rsidR="006B2C4A">
        <w:rPr>
          <w:rStyle w:val="FootnoteReference"/>
        </w:rPr>
        <w:footnoteReference w:id="30"/>
      </w:r>
    </w:p>
    <w:p w14:paraId="489A7BD7" w14:textId="32361031" w:rsidR="005B1A75" w:rsidRPr="00780E96" w:rsidRDefault="00757335" w:rsidP="00F62D64">
      <w:pPr>
        <w:pStyle w:val="SDMPara"/>
        <w:keepNext/>
      </w:pPr>
      <w:r>
        <w:t>Where</w:t>
      </w:r>
      <w:r w:rsidR="40B9A179">
        <w:t xml:space="preserve"> </w:t>
      </w:r>
      <w:r w:rsidR="00A4281E" w:rsidRPr="6E64D397">
        <w:rPr>
          <w:b/>
          <w:bCs/>
        </w:rPr>
        <w:t>case</w:t>
      </w:r>
      <w:r w:rsidR="00B23B70" w:rsidRPr="6E64D397">
        <w:rPr>
          <w:b/>
          <w:bCs/>
        </w:rPr>
        <w:t> </w:t>
      </w:r>
      <w:r w:rsidR="40B9A179" w:rsidRPr="6E64D397">
        <w:rPr>
          <w:b/>
          <w:bCs/>
        </w:rPr>
        <w:t>2</w:t>
      </w:r>
      <w:r>
        <w:t xml:space="preserve"> applies</w:t>
      </w:r>
      <w:r w:rsidR="4D9F62F9">
        <w:t>,</w:t>
      </w:r>
      <w:r w:rsidR="40B9A179">
        <w:t xml:space="preserve"> </w:t>
      </w:r>
      <w:r w:rsidR="00E21E0C">
        <w:t xml:space="preserve">activity participants </w:t>
      </w:r>
      <w:r w:rsidR="00A77E6B">
        <w:t>shall</w:t>
      </w:r>
      <w:r w:rsidR="40B9A179">
        <w:t xml:space="preserve"> apply one of the following</w:t>
      </w:r>
      <w:r w:rsidR="2ED69888">
        <w:t xml:space="preserve"> default emission factors</w:t>
      </w:r>
      <w:r w:rsidR="002D23C9">
        <w:t xml:space="preserve"> and justify the choice in the </w:t>
      </w:r>
      <w:r w:rsidR="002D23C9" w:rsidRPr="00780E96">
        <w:t>PDD</w:t>
      </w:r>
      <w:r w:rsidR="00082675" w:rsidRPr="00780E96">
        <w:t xml:space="preserve"> or CP-DD, </w:t>
      </w:r>
      <w:r w:rsidR="00E21E0C" w:rsidRPr="00780E96">
        <w:t>or monitoring report</w:t>
      </w:r>
      <w:r w:rsidR="1D42A20F" w:rsidRPr="00780E96">
        <w:t>s</w:t>
      </w:r>
      <w:r w:rsidR="00E21E0C" w:rsidRPr="00780E96">
        <w:t>, as applicable</w:t>
      </w:r>
      <w:r w:rsidR="40B9A179" w:rsidRPr="00780E96">
        <w:t>:</w:t>
      </w:r>
    </w:p>
    <w:p w14:paraId="698DCBF5" w14:textId="496276C0" w:rsidR="005B1A75" w:rsidRPr="00780E96" w:rsidRDefault="005B1A75" w:rsidP="00F65332">
      <w:pPr>
        <w:pStyle w:val="SDMSubPara1"/>
      </w:pPr>
      <w:r w:rsidRPr="00780E96">
        <w:rPr>
          <w:b/>
          <w:bCs/>
        </w:rPr>
        <w:t>0.2 t</w:t>
      </w:r>
      <w:r w:rsidR="001A242D" w:rsidRPr="00780E96">
        <w:rPr>
          <w:b/>
          <w:bCs/>
        </w:rPr>
        <w:t> </w:t>
      </w:r>
      <w:r w:rsidRPr="00780E96">
        <w:rPr>
          <w:b/>
          <w:bCs/>
        </w:rPr>
        <w:t>CO</w:t>
      </w:r>
      <w:r w:rsidRPr="00780E96">
        <w:rPr>
          <w:b/>
          <w:bCs/>
          <w:vertAlign w:val="subscript"/>
        </w:rPr>
        <w:t>2</w:t>
      </w:r>
      <w:r w:rsidR="006E30CE" w:rsidRPr="00780E96">
        <w:rPr>
          <w:b/>
          <w:bCs/>
        </w:rPr>
        <w:t>e</w:t>
      </w:r>
      <w:r w:rsidR="00E12CA9" w:rsidRPr="00780E96">
        <w:rPr>
          <w:b/>
          <w:bCs/>
        </w:rPr>
        <w:t>q</w:t>
      </w:r>
      <w:r w:rsidR="0022179C" w:rsidRPr="00780E96">
        <w:rPr>
          <w:rFonts w:eastAsia="SimSun"/>
          <w:lang w:eastAsia="zh-CN"/>
        </w:rPr>
        <w:t> / </w:t>
      </w:r>
      <w:r w:rsidRPr="00780E96">
        <w:rPr>
          <w:b/>
          <w:bCs/>
        </w:rPr>
        <w:t>MWh</w:t>
      </w:r>
      <w:r w:rsidRPr="00780E96">
        <w:t xml:space="preserve"> </w:t>
      </w:r>
      <w:r w:rsidR="52512203" w:rsidRPr="00780E96">
        <w:t>if</w:t>
      </w:r>
      <w:r w:rsidRPr="00780E96">
        <w:t xml:space="preserve"> </w:t>
      </w:r>
      <w:r w:rsidR="00E542EB" w:rsidRPr="00780E96">
        <w:t>there is high confidence that</w:t>
      </w:r>
      <w:r w:rsidR="7DF69FF2" w:rsidRPr="00780E96">
        <w:t xml:space="preserve"> </w:t>
      </w:r>
      <w:r w:rsidR="40B9A179" w:rsidRPr="00780E96">
        <w:t>the</w:t>
      </w:r>
      <w:r w:rsidRPr="00780E96" w:rsidDel="005B1A75">
        <w:t xml:space="preserve"> </w:t>
      </w:r>
      <w:r w:rsidR="00E542EB" w:rsidRPr="00780E96">
        <w:t xml:space="preserve">share </w:t>
      </w:r>
      <w:r w:rsidRPr="00780E96">
        <w:t xml:space="preserve">of </w:t>
      </w:r>
      <w:r w:rsidR="00435CD8" w:rsidRPr="00780E96">
        <w:t xml:space="preserve">electricity generation from </w:t>
      </w:r>
      <w:r w:rsidRPr="00780E96">
        <w:t>renewable energy (including solar and wind) and nuclear energy in the electricity</w:t>
      </w:r>
      <w:r w:rsidRPr="00780E96" w:rsidDel="001B161B">
        <w:t xml:space="preserve"> </w:t>
      </w:r>
      <w:r w:rsidR="001B161B" w:rsidRPr="00780E96">
        <w:t xml:space="preserve">system </w:t>
      </w:r>
      <w:r w:rsidRPr="00780E96">
        <w:t xml:space="preserve">is </w:t>
      </w:r>
      <w:r w:rsidR="48611B7F" w:rsidRPr="00780E96">
        <w:t xml:space="preserve">less than </w:t>
      </w:r>
      <w:r w:rsidRPr="00780E96">
        <w:t>33</w:t>
      </w:r>
      <w:r w:rsidR="00FA4F1C" w:rsidRPr="00780E96">
        <w:t> </w:t>
      </w:r>
      <w:r w:rsidR="00A4281E" w:rsidRPr="00780E96">
        <w:t xml:space="preserve">per cent </w:t>
      </w:r>
      <w:r w:rsidR="0049315F" w:rsidRPr="00780E96">
        <w:t xml:space="preserve">in the period for which the emission factor is </w:t>
      </w:r>
      <w:r w:rsidR="05AB3E6C" w:rsidRPr="00780E96">
        <w:t>determined</w:t>
      </w:r>
      <w:r w:rsidR="40FD5ED5" w:rsidRPr="00780E96">
        <w:t>;</w:t>
      </w:r>
      <w:r w:rsidR="00FF1471" w:rsidRPr="00780E96">
        <w:rPr>
          <w:rStyle w:val="FootnoteReference"/>
        </w:rPr>
        <w:footnoteReference w:id="31"/>
      </w:r>
      <w:r w:rsidR="00BE5F22" w:rsidRPr="00780E96">
        <w:t xml:space="preserve"> or</w:t>
      </w:r>
    </w:p>
    <w:p w14:paraId="7FD66292" w14:textId="36064786" w:rsidR="005B1A75" w:rsidRPr="00780E96" w:rsidRDefault="003126DE" w:rsidP="00B15AC9">
      <w:pPr>
        <w:pStyle w:val="SDMSubPara1"/>
      </w:pPr>
      <w:r w:rsidRPr="00780E96">
        <w:t>O</w:t>
      </w:r>
      <w:r w:rsidR="00BE5F22" w:rsidRPr="00780E96">
        <w:t>therwise</w:t>
      </w:r>
      <w:r w:rsidR="00BE5F22" w:rsidRPr="00780E96">
        <w:rPr>
          <w:b/>
          <w:bCs/>
        </w:rPr>
        <w:t xml:space="preserve"> </w:t>
      </w:r>
      <w:r w:rsidR="005B1A75" w:rsidRPr="00780E96">
        <w:rPr>
          <w:b/>
          <w:bCs/>
        </w:rPr>
        <w:t xml:space="preserve">0.1 </w:t>
      </w:r>
      <w:r w:rsidR="006E30CE" w:rsidRPr="00780E96">
        <w:rPr>
          <w:b/>
          <w:bCs/>
        </w:rPr>
        <w:t>t</w:t>
      </w:r>
      <w:r w:rsidR="001A242D" w:rsidRPr="00780E96">
        <w:rPr>
          <w:b/>
          <w:bCs/>
        </w:rPr>
        <w:t> </w:t>
      </w:r>
      <w:r w:rsidR="1BAB97A9" w:rsidRPr="00780E96">
        <w:rPr>
          <w:b/>
          <w:bCs/>
        </w:rPr>
        <w:t>CO</w:t>
      </w:r>
      <w:r w:rsidR="1BAB97A9" w:rsidRPr="00780E96">
        <w:rPr>
          <w:b/>
          <w:bCs/>
          <w:vertAlign w:val="subscript"/>
        </w:rPr>
        <w:t>2</w:t>
      </w:r>
      <w:r w:rsidR="1BAB97A9" w:rsidRPr="00780E96">
        <w:rPr>
          <w:b/>
          <w:bCs/>
        </w:rPr>
        <w:t>e</w:t>
      </w:r>
      <w:r w:rsidR="00E12CA9" w:rsidRPr="00780E96">
        <w:rPr>
          <w:b/>
          <w:bCs/>
        </w:rPr>
        <w:t>q</w:t>
      </w:r>
      <w:r w:rsidR="0022179C" w:rsidRPr="00780E96">
        <w:rPr>
          <w:rFonts w:eastAsia="SimSun"/>
          <w:lang w:eastAsia="zh-CN"/>
        </w:rPr>
        <w:t> / </w:t>
      </w:r>
      <w:r w:rsidR="1104066E" w:rsidRPr="00780E96">
        <w:rPr>
          <w:b/>
          <w:bCs/>
        </w:rPr>
        <w:t>MWh</w:t>
      </w:r>
      <w:r w:rsidR="005B1A75" w:rsidRPr="00780E96" w:rsidDel="00A931A6">
        <w:t xml:space="preserve"> </w:t>
      </w:r>
      <w:r w:rsidR="00A931A6" w:rsidRPr="00780E96">
        <w:t xml:space="preserve">if </w:t>
      </w:r>
      <w:r w:rsidR="00E542EB" w:rsidRPr="00780E96">
        <w:t>there is high confidence that</w:t>
      </w:r>
      <w:r w:rsidR="7DF69FF2" w:rsidRPr="00780E96">
        <w:t xml:space="preserve"> </w:t>
      </w:r>
      <w:r w:rsidR="40B9A179" w:rsidRPr="00780E96">
        <w:t>the</w:t>
      </w:r>
      <w:r w:rsidR="005B1A75" w:rsidRPr="00780E96" w:rsidDel="005B1A75">
        <w:t xml:space="preserve"> </w:t>
      </w:r>
      <w:r w:rsidR="00E542EB" w:rsidRPr="00780E96">
        <w:t xml:space="preserve">share </w:t>
      </w:r>
      <w:r w:rsidR="005B1A75" w:rsidRPr="00780E96">
        <w:t xml:space="preserve">of </w:t>
      </w:r>
      <w:r w:rsidR="00A931A6" w:rsidRPr="00780E96">
        <w:t xml:space="preserve">electricity generation from </w:t>
      </w:r>
      <w:r w:rsidR="005B1A75" w:rsidRPr="00780E96">
        <w:t>renewable energy (including solar and wind) and nuclear energy in the electricity</w:t>
      </w:r>
      <w:r w:rsidR="005B1A75" w:rsidRPr="00780E96" w:rsidDel="00A931A6">
        <w:t xml:space="preserve"> </w:t>
      </w:r>
      <w:r w:rsidR="00A931A6" w:rsidRPr="00780E96">
        <w:t xml:space="preserve">systems </w:t>
      </w:r>
      <w:r w:rsidR="005B1A75" w:rsidRPr="00780E96">
        <w:t>is less than 67</w:t>
      </w:r>
      <w:r w:rsidR="00FA4F1C" w:rsidRPr="00780E96">
        <w:t> </w:t>
      </w:r>
      <w:r w:rsidR="00A4281E" w:rsidRPr="00780E96">
        <w:t xml:space="preserve">per cent </w:t>
      </w:r>
      <w:r w:rsidR="00A931A6" w:rsidRPr="00780E96">
        <w:t xml:space="preserve">in the period for which the emission factor is </w:t>
      </w:r>
      <w:r w:rsidR="51C8246B" w:rsidRPr="00780E96">
        <w:t>determined</w:t>
      </w:r>
      <w:r w:rsidR="00B141B0" w:rsidRPr="00780E96">
        <w:t>;</w:t>
      </w:r>
      <w:r w:rsidR="00393D05" w:rsidRPr="00780E96">
        <w:rPr>
          <w:rStyle w:val="FootnoteReference"/>
        </w:rPr>
        <w:footnoteReference w:id="32"/>
      </w:r>
      <w:r w:rsidR="00A931A6" w:rsidRPr="00780E96">
        <w:t xml:space="preserve"> or</w:t>
      </w:r>
    </w:p>
    <w:p w14:paraId="5E9082CF" w14:textId="73E28926" w:rsidR="005B1A75" w:rsidRPr="00780E96" w:rsidRDefault="003126DE" w:rsidP="00F65332">
      <w:pPr>
        <w:pStyle w:val="SDMSubPara1"/>
      </w:pPr>
      <w:r w:rsidRPr="00780E96">
        <w:t>O</w:t>
      </w:r>
      <w:r w:rsidR="00BE5F22" w:rsidRPr="00780E96">
        <w:t>therwise</w:t>
      </w:r>
      <w:r w:rsidR="00BE5F22" w:rsidRPr="00780E96">
        <w:rPr>
          <w:b/>
          <w:bCs/>
        </w:rPr>
        <w:t xml:space="preserve"> </w:t>
      </w:r>
      <w:r w:rsidR="1104066E" w:rsidRPr="00780E96">
        <w:rPr>
          <w:b/>
          <w:bCs/>
        </w:rPr>
        <w:t>0.03</w:t>
      </w:r>
      <w:r w:rsidR="391F197F" w:rsidRPr="00780E96">
        <w:rPr>
          <w:b/>
          <w:bCs/>
        </w:rPr>
        <w:t> </w:t>
      </w:r>
      <w:r w:rsidR="1BAB97A9" w:rsidRPr="00780E96">
        <w:rPr>
          <w:b/>
          <w:bCs/>
        </w:rPr>
        <w:t>t</w:t>
      </w:r>
      <w:r w:rsidR="740B9364" w:rsidRPr="00780E96">
        <w:rPr>
          <w:b/>
          <w:bCs/>
        </w:rPr>
        <w:t xml:space="preserve"> </w:t>
      </w:r>
      <w:r w:rsidR="1BAB97A9" w:rsidRPr="00780E96">
        <w:rPr>
          <w:b/>
          <w:bCs/>
        </w:rPr>
        <w:t>CO</w:t>
      </w:r>
      <w:r w:rsidR="1BAB97A9" w:rsidRPr="00780E96">
        <w:rPr>
          <w:b/>
          <w:bCs/>
          <w:vertAlign w:val="subscript"/>
        </w:rPr>
        <w:t>2</w:t>
      </w:r>
      <w:r w:rsidR="1BAB97A9" w:rsidRPr="00780E96">
        <w:rPr>
          <w:b/>
          <w:bCs/>
        </w:rPr>
        <w:t>e</w:t>
      </w:r>
      <w:r w:rsidR="00E12CA9" w:rsidRPr="00780E96">
        <w:rPr>
          <w:b/>
          <w:bCs/>
        </w:rPr>
        <w:t>q</w:t>
      </w:r>
      <w:r w:rsidR="0022179C" w:rsidRPr="00780E96">
        <w:rPr>
          <w:rFonts w:eastAsia="SimSun"/>
          <w:lang w:eastAsia="zh-CN"/>
        </w:rPr>
        <w:t> / </w:t>
      </w:r>
      <w:r w:rsidR="1104066E" w:rsidRPr="00780E96">
        <w:rPr>
          <w:b/>
          <w:bCs/>
        </w:rPr>
        <w:t>MWh</w:t>
      </w:r>
      <w:r w:rsidR="1104066E" w:rsidRPr="00780E96">
        <w:t>.</w:t>
      </w:r>
      <w:r w:rsidR="0028439B" w:rsidRPr="00780E96">
        <w:rPr>
          <w:rStyle w:val="FootnoteReference"/>
        </w:rPr>
        <w:footnoteReference w:id="33"/>
      </w:r>
    </w:p>
    <w:p w14:paraId="68F71E22" w14:textId="600DC664" w:rsidR="0036736A" w:rsidRPr="00780E96" w:rsidRDefault="1D2FAD5D">
      <w:pPr>
        <w:pStyle w:val="SDMPara"/>
      </w:pPr>
      <w:r w:rsidRPr="00780E96">
        <w:t xml:space="preserve">For determining the emission factor applied under </w:t>
      </w:r>
      <w:r w:rsidR="160E9E89" w:rsidRPr="00780E96">
        <w:rPr>
          <w:b/>
          <w:bCs/>
        </w:rPr>
        <w:t>case</w:t>
      </w:r>
      <w:r w:rsidR="6D1B6811" w:rsidRPr="00780E96">
        <w:rPr>
          <w:b/>
          <w:bCs/>
        </w:rPr>
        <w:t> </w:t>
      </w:r>
      <w:r w:rsidRPr="00780E96">
        <w:rPr>
          <w:b/>
          <w:bCs/>
        </w:rPr>
        <w:t>1</w:t>
      </w:r>
      <w:r w:rsidRPr="00780E96">
        <w:t>, the data</w:t>
      </w:r>
      <w:r w:rsidR="25640D88" w:rsidRPr="00780E96">
        <w:t xml:space="preserve"> used to identify</w:t>
      </w:r>
      <w:r w:rsidRPr="00780E96">
        <w:t xml:space="preserve"> the share of </w:t>
      </w:r>
      <w:r w:rsidR="09B94F3E" w:rsidRPr="00780E96">
        <w:t xml:space="preserve">electricity generation from </w:t>
      </w:r>
      <w:r w:rsidRPr="00780E96">
        <w:t xml:space="preserve">renewable </w:t>
      </w:r>
      <w:r w:rsidR="25640D88" w:rsidRPr="00780E96">
        <w:t xml:space="preserve">energy </w:t>
      </w:r>
      <w:r w:rsidR="09B94F3E" w:rsidRPr="00780E96">
        <w:t xml:space="preserve">(excluding solar and wind) </w:t>
      </w:r>
      <w:r w:rsidRPr="00780E96">
        <w:t xml:space="preserve">and nuclear energy </w:t>
      </w:r>
      <w:r w:rsidR="60440168" w:rsidRPr="00780E96">
        <w:t>i</w:t>
      </w:r>
      <w:r w:rsidR="651A9ABC" w:rsidRPr="00780E96">
        <w:t>n</w:t>
      </w:r>
      <w:r w:rsidRPr="00780E96">
        <w:t xml:space="preserve"> the electricity </w:t>
      </w:r>
      <w:r w:rsidR="09B94F3E" w:rsidRPr="00780E96">
        <w:t xml:space="preserve">system </w:t>
      </w:r>
      <w:r w:rsidRPr="00780E96">
        <w:t xml:space="preserve">may be determined </w:t>
      </w:r>
      <w:r w:rsidR="25640D88" w:rsidRPr="00780E96">
        <w:t xml:space="preserve">either </w:t>
      </w:r>
      <w:r w:rsidRPr="00780E96">
        <w:t>ex</w:t>
      </w:r>
      <w:r w:rsidR="18C7AA9C" w:rsidRPr="00780E96">
        <w:t>-</w:t>
      </w:r>
      <w:r w:rsidRPr="00780E96">
        <w:t>ante</w:t>
      </w:r>
      <w:r w:rsidR="25640D88" w:rsidRPr="00780E96">
        <w:t>,</w:t>
      </w:r>
      <w:r w:rsidRPr="00780E96">
        <w:t xml:space="preserve"> based on the average data </w:t>
      </w:r>
      <w:r w:rsidR="112398BE" w:rsidRPr="00780E96">
        <w:t xml:space="preserve">from </w:t>
      </w:r>
      <w:r w:rsidRPr="00780E96">
        <w:t xml:space="preserve">the most recent three years </w:t>
      </w:r>
      <w:r w:rsidR="7769344C" w:rsidRPr="00780E96">
        <w:t>at the time of submission</w:t>
      </w:r>
      <w:r w:rsidR="112398BE" w:rsidRPr="00780E96">
        <w:t>,</w:t>
      </w:r>
      <w:r w:rsidR="7769344C" w:rsidRPr="00780E96">
        <w:t xml:space="preserve"> </w:t>
      </w:r>
      <w:r w:rsidRPr="00780E96">
        <w:t xml:space="preserve">or </w:t>
      </w:r>
      <w:r w:rsidR="7769344C" w:rsidRPr="00780E96">
        <w:t>ex</w:t>
      </w:r>
      <w:r w:rsidR="5B50F321" w:rsidRPr="00780E96">
        <w:t>-</w:t>
      </w:r>
      <w:r w:rsidR="7769344C" w:rsidRPr="00780E96">
        <w:t>post for period</w:t>
      </w:r>
      <w:r w:rsidR="59E04B99" w:rsidRPr="00780E96">
        <w:t> </w:t>
      </w:r>
      <w:r w:rsidR="59E04B99" w:rsidRPr="00780E96">
        <w:rPr>
          <w:i/>
          <w:iCs/>
        </w:rPr>
        <w:t>t</w:t>
      </w:r>
      <w:r w:rsidR="59E04B99" w:rsidRPr="00780E96">
        <w:t xml:space="preserve"> for which the emission factor is </w:t>
      </w:r>
      <w:r w:rsidR="4E2FE1D2" w:rsidRPr="00780E96">
        <w:t>determined</w:t>
      </w:r>
      <w:r w:rsidR="651A9ABC" w:rsidRPr="00780E96">
        <w:t>.</w:t>
      </w:r>
      <w:r w:rsidRPr="00780E96">
        <w:t xml:space="preserve"> </w:t>
      </w:r>
      <w:r w:rsidR="4ACE0E70" w:rsidRPr="00780E96">
        <w:t>For</w:t>
      </w:r>
      <w:r w:rsidRPr="00780E96">
        <w:t xml:space="preserve"> </w:t>
      </w:r>
      <w:r w:rsidR="112398BE" w:rsidRPr="00780E96">
        <w:rPr>
          <w:b/>
          <w:bCs/>
        </w:rPr>
        <w:t>case</w:t>
      </w:r>
      <w:r w:rsidR="6D1B6811" w:rsidRPr="00780E96">
        <w:rPr>
          <w:b/>
          <w:bCs/>
        </w:rPr>
        <w:t> </w:t>
      </w:r>
      <w:r w:rsidRPr="00780E96">
        <w:rPr>
          <w:b/>
          <w:bCs/>
        </w:rPr>
        <w:t>2</w:t>
      </w:r>
      <w:r w:rsidRPr="00780E96">
        <w:t>,</w:t>
      </w:r>
      <w:r w:rsidR="188DDA0A" w:rsidRPr="00780E96">
        <w:t xml:space="preserve"> the share of renewable and nuclear energy (</w:t>
      </w:r>
      <w:r w:rsidR="3FFCB4EF" w:rsidRPr="00780E96">
        <w:t xml:space="preserve">including </w:t>
      </w:r>
      <w:r w:rsidR="188DDA0A" w:rsidRPr="00780E96">
        <w:t xml:space="preserve">solar and wind) in the electricity </w:t>
      </w:r>
      <w:r w:rsidR="3778C41E" w:rsidRPr="00780E96">
        <w:t>system</w:t>
      </w:r>
      <w:r w:rsidR="188DDA0A" w:rsidRPr="00780E96">
        <w:t xml:space="preserve"> shall be </w:t>
      </w:r>
      <w:r w:rsidR="6629E85F" w:rsidRPr="00780E96">
        <w:t>determined ex</w:t>
      </w:r>
      <w:r w:rsidR="7A7E0D1A" w:rsidRPr="00780E96">
        <w:t>-</w:t>
      </w:r>
      <w:r w:rsidR="6629E85F" w:rsidRPr="00780E96">
        <w:t>post for period </w:t>
      </w:r>
      <w:r w:rsidR="6629E85F" w:rsidRPr="00780E96">
        <w:rPr>
          <w:i/>
          <w:iCs/>
        </w:rPr>
        <w:t>t</w:t>
      </w:r>
      <w:r w:rsidR="6629E85F" w:rsidRPr="00780E96">
        <w:t xml:space="preserve"> for which the emission factor is </w:t>
      </w:r>
      <w:r w:rsidR="3573F641" w:rsidRPr="00780E96">
        <w:t>determined</w:t>
      </w:r>
      <w:r w:rsidR="37118368" w:rsidRPr="00780E96">
        <w:t>.</w:t>
      </w:r>
    </w:p>
    <w:p w14:paraId="6B4BDD82" w14:textId="2C69EDD1" w:rsidR="0099122F" w:rsidRPr="00780E96" w:rsidRDefault="0099122F">
      <w:pPr>
        <w:pStyle w:val="SDMPara"/>
      </w:pPr>
      <w:r w:rsidRPr="00780E96">
        <w:t xml:space="preserve">Under </w:t>
      </w:r>
      <w:r w:rsidR="008662B2" w:rsidRPr="00780E96">
        <w:rPr>
          <w:b/>
          <w:bCs/>
        </w:rPr>
        <w:t>option</w:t>
      </w:r>
      <w:r w:rsidR="00B23B70" w:rsidRPr="00780E96">
        <w:rPr>
          <w:b/>
          <w:bCs/>
        </w:rPr>
        <w:t> </w:t>
      </w:r>
      <w:r w:rsidRPr="00780E96">
        <w:rPr>
          <w:b/>
          <w:bCs/>
        </w:rPr>
        <w:t>B</w:t>
      </w:r>
      <w:r w:rsidRPr="00780E96">
        <w:t xml:space="preserve">, uncertainty </w:t>
      </w:r>
      <w:r w:rsidR="00C17F56" w:rsidRPr="00780E96">
        <w:t xml:space="preserve">associated with </w:t>
      </w:r>
      <w:r w:rsidRPr="00780E96">
        <w:t xml:space="preserve">the emission factor </w:t>
      </w:r>
      <w:r w:rsidR="00D72FD1" w:rsidRPr="00780E96">
        <w:t xml:space="preserve">is already addressed through the use of these conservative values and </w:t>
      </w:r>
      <w:r w:rsidRPr="00780E96">
        <w:t xml:space="preserve">does not need to be </w:t>
      </w:r>
      <w:r w:rsidR="00D72FD1" w:rsidRPr="00780E96">
        <w:t>considered in calculating the combined uncertain</w:t>
      </w:r>
      <w:r w:rsidR="00136502" w:rsidRPr="00780E96">
        <w:t>ty</w:t>
      </w:r>
      <w:r w:rsidR="00D72FD1" w:rsidRPr="00780E96">
        <w:t xml:space="preserve"> in section</w:t>
      </w:r>
      <w:r w:rsidR="00EA305E" w:rsidRPr="00780E96">
        <w:t xml:space="preserve"> </w:t>
      </w:r>
      <w:r w:rsidR="00EA305E" w:rsidRPr="00780E96">
        <w:fldChar w:fldCharType="begin"/>
      </w:r>
      <w:r w:rsidR="00EA305E" w:rsidRPr="00780E96">
        <w:instrText xml:space="preserve"> REF _Ref240301548 \r \h </w:instrText>
      </w:r>
      <w:r w:rsidR="00780E96">
        <w:instrText xml:space="preserve"> \* MERGEFORMAT </w:instrText>
      </w:r>
      <w:r w:rsidR="00EA305E" w:rsidRPr="00780E96">
        <w:fldChar w:fldCharType="separate"/>
      </w:r>
      <w:r w:rsidR="003B0135" w:rsidRPr="00780E96">
        <w:rPr>
          <w:cs/>
        </w:rPr>
        <w:t>‎</w:t>
      </w:r>
      <w:r w:rsidR="003B0135" w:rsidRPr="00780E96">
        <w:t>5.11</w:t>
      </w:r>
      <w:r w:rsidR="00EA305E" w:rsidRPr="00780E96">
        <w:fldChar w:fldCharType="end"/>
      </w:r>
      <w:r w:rsidRPr="00780E96">
        <w:t>.</w:t>
      </w:r>
    </w:p>
    <w:p w14:paraId="587DB84A" w14:textId="184528C8" w:rsidR="00FF70B5" w:rsidRDefault="00614109">
      <w:pPr>
        <w:pStyle w:val="SDMHead2"/>
      </w:pPr>
      <w:bookmarkStart w:id="689" w:name="_Toc215208606"/>
      <w:bookmarkStart w:id="690" w:name="_Toc215216125"/>
      <w:bookmarkStart w:id="691" w:name="_Toc215222861"/>
      <w:bookmarkStart w:id="692" w:name="_Toc215223049"/>
      <w:bookmarkStart w:id="693" w:name="_Toc215223271"/>
      <w:bookmarkStart w:id="694" w:name="_Toc215574892"/>
      <w:bookmarkStart w:id="695" w:name="_Ref215680292"/>
      <w:bookmarkStart w:id="696" w:name="_Ref215682023"/>
      <w:bookmarkStart w:id="697" w:name="_Toc215923332"/>
      <w:bookmarkStart w:id="698" w:name="_Toc216093028"/>
      <w:bookmarkStart w:id="699" w:name="_Toc216271757"/>
      <w:bookmarkStart w:id="700" w:name="_Toc216279374"/>
      <w:bookmarkStart w:id="701" w:name="_Toc216283412"/>
      <w:bookmarkStart w:id="702" w:name="_Toc216288030"/>
      <w:bookmarkStart w:id="703" w:name="_Toc219666137"/>
      <w:bookmarkStart w:id="704" w:name="_Toc220001397"/>
      <w:bookmarkStart w:id="705" w:name="_Toc221096421"/>
      <w:bookmarkStart w:id="706" w:name="_Toc221097973"/>
      <w:bookmarkStart w:id="707" w:name="_Toc221116269"/>
      <w:bookmarkStart w:id="708" w:name="_Toc221117285"/>
      <w:bookmarkStart w:id="709" w:name="_Toc222132123"/>
      <w:bookmarkStart w:id="710" w:name="_Toc222494924"/>
      <w:bookmarkStart w:id="711" w:name="_Toc222512440"/>
      <w:bookmarkStart w:id="712" w:name="_Toc222741760"/>
      <w:bookmarkStart w:id="713" w:name="_Toc234853841"/>
      <w:bookmarkStart w:id="714" w:name="_Toc235002279"/>
      <w:bookmarkStart w:id="715" w:name="_Toc235003438"/>
      <w:bookmarkStart w:id="716" w:name="_Toc236154235"/>
      <w:bookmarkStart w:id="717" w:name="_Toc236216612"/>
      <w:bookmarkStart w:id="718" w:name="_Toc240545100"/>
      <w:bookmarkStart w:id="719" w:name="_Toc240545316"/>
      <w:bookmarkStart w:id="720" w:name="_Toc240576898"/>
      <w:bookmarkStart w:id="721" w:name="_Toc212389910"/>
      <w:r>
        <w:t>Step</w:t>
      </w:r>
      <w:r w:rsidR="00B23B70">
        <w:t> </w:t>
      </w:r>
      <w:r>
        <w:t xml:space="preserve">8: </w:t>
      </w:r>
      <w:r w:rsidR="008E0FBB" w:rsidRPr="008E0FBB">
        <w:t>Determine the emission factor for electricity sourced from captive fossil fuel power plant</w:t>
      </w:r>
      <w:r w:rsidR="00290B9A">
        <w:t>(</w:t>
      </w:r>
      <w:r w:rsidR="008E0FBB" w:rsidRPr="008E0FBB">
        <w:t>s</w:t>
      </w:r>
      <w:r w:rsidR="00290B9A">
        <w:t>)</w:t>
      </w:r>
      <w:r w:rsidR="008E0FBB" w:rsidRPr="008E0FBB">
        <w:t xml:space="preserve">, </w:t>
      </w:r>
      <w:bookmarkEnd w:id="689"/>
      <w:bookmarkEnd w:id="690"/>
      <w:bookmarkEnd w:id="691"/>
      <w:bookmarkEnd w:id="692"/>
      <w:bookmarkEnd w:id="693"/>
      <w:bookmarkEnd w:id="694"/>
      <w:r w:rsidR="00FA001B" w:rsidRPr="00CD7E50">
        <w:t>where applicable</w:t>
      </w:r>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p>
    <w:p w14:paraId="6A13D6A8" w14:textId="12FA5248" w:rsidR="00FA001B" w:rsidRPr="00CD7E50" w:rsidRDefault="00FA001B">
      <w:pPr>
        <w:pStyle w:val="SDMPara"/>
      </w:pPr>
      <w:r w:rsidRPr="00CD7E50">
        <w:t xml:space="preserve">This step is applicable if </w:t>
      </w:r>
      <w:r w:rsidR="008535B2" w:rsidRPr="008535B2">
        <w:rPr>
          <w:b/>
          <w:bCs/>
        </w:rPr>
        <w:t>step </w:t>
      </w:r>
      <w:r w:rsidRPr="008535B2">
        <w:rPr>
          <w:b/>
          <w:bCs/>
        </w:rPr>
        <w:t>6</w:t>
      </w:r>
      <w:r w:rsidRPr="00CD7E50" w:rsidDel="004D503A">
        <w:t xml:space="preserve"> </w:t>
      </w:r>
      <w:r w:rsidR="004D503A" w:rsidRPr="00CD7E50">
        <w:t>confirm</w:t>
      </w:r>
      <w:r w:rsidR="004D503A">
        <w:t>s</w:t>
      </w:r>
      <w:r w:rsidR="004D503A" w:rsidRPr="00CD7E50">
        <w:t xml:space="preserve"> </w:t>
      </w:r>
      <w:r w:rsidRPr="00CD7E50">
        <w:t xml:space="preserve">that the emission factor for electricity </w:t>
      </w:r>
      <w:r w:rsidR="00B26A9C" w:rsidRPr="00CD7E50">
        <w:t xml:space="preserve">sourced from captive fossil fuel </w:t>
      </w:r>
      <w:r w:rsidR="000E56F6" w:rsidRPr="00CD7E50">
        <w:t>power plant</w:t>
      </w:r>
      <w:r w:rsidR="00290B9A">
        <w:t>(</w:t>
      </w:r>
      <w:r w:rsidR="000E56F6" w:rsidRPr="00CD7E50">
        <w:t>s</w:t>
      </w:r>
      <w:r w:rsidR="00290B9A">
        <w:t>)</w:t>
      </w:r>
      <w:r w:rsidRPr="00CD7E50">
        <w:t xml:space="preserve"> shall be used.</w:t>
      </w:r>
    </w:p>
    <w:p w14:paraId="161EDAD4" w14:textId="2E07FF2D" w:rsidR="0062276A" w:rsidRPr="00780E96" w:rsidRDefault="0062276A" w:rsidP="00F62D64">
      <w:pPr>
        <w:pStyle w:val="SDMPara"/>
        <w:keepNext/>
      </w:pPr>
      <w:r>
        <w:t xml:space="preserve">Activity participants shall determine the emission factor </w:t>
      </w:r>
      <w:r w:rsidRPr="0062276A">
        <w:t>for electricity sourced from captive fossil fuel power plant</w:t>
      </w:r>
      <w:r w:rsidR="004D46D8">
        <w:t>(</w:t>
      </w:r>
      <w:r w:rsidRPr="0062276A">
        <w:t>s</w:t>
      </w:r>
      <w:r w:rsidR="004D46D8">
        <w:t>)</w:t>
      </w:r>
      <w:r>
        <w:t xml:space="preserve"> by choosing one of the following two options and </w:t>
      </w:r>
      <w:r w:rsidR="004D503A">
        <w:t xml:space="preserve">shall </w:t>
      </w:r>
      <w:r>
        <w:t xml:space="preserve">document their choice in the </w:t>
      </w:r>
      <w:r w:rsidRPr="00780E96">
        <w:t>PDD</w:t>
      </w:r>
      <w:r w:rsidR="00140231" w:rsidRPr="00780E96">
        <w:t xml:space="preserve"> or CP-DD</w:t>
      </w:r>
      <w:r w:rsidRPr="00780E96">
        <w:t>:</w:t>
      </w:r>
    </w:p>
    <w:p w14:paraId="38BDAACB" w14:textId="76D530A3" w:rsidR="0062276A" w:rsidRPr="00780E96" w:rsidRDefault="0062276A" w:rsidP="00F65332">
      <w:pPr>
        <w:pStyle w:val="SDMSubPara1"/>
      </w:pPr>
      <w:r w:rsidRPr="00780E96">
        <w:rPr>
          <w:b/>
          <w:bCs/>
        </w:rPr>
        <w:t>Option</w:t>
      </w:r>
      <w:r w:rsidR="00B23B70" w:rsidRPr="00780E96">
        <w:rPr>
          <w:b/>
          <w:bCs/>
        </w:rPr>
        <w:t> </w:t>
      </w:r>
      <w:r w:rsidRPr="00780E96">
        <w:rPr>
          <w:b/>
          <w:bCs/>
        </w:rPr>
        <w:t>A</w:t>
      </w:r>
      <w:r w:rsidRPr="00780E96">
        <w:t xml:space="preserve">: </w:t>
      </w:r>
      <w:r w:rsidR="009C6BE4" w:rsidRPr="00780E96">
        <w:t xml:space="preserve">calculate </w:t>
      </w:r>
      <w:r w:rsidRPr="00780E96">
        <w:t xml:space="preserve">the actual emission factor of the fossil fuel </w:t>
      </w:r>
      <w:r w:rsidR="00890623" w:rsidRPr="00780E96">
        <w:t xml:space="preserve">fired captive </w:t>
      </w:r>
      <w:r w:rsidRPr="00780E96">
        <w:t>power plant</w:t>
      </w:r>
      <w:r w:rsidR="004D46D8" w:rsidRPr="00780E96">
        <w:t>(</w:t>
      </w:r>
      <w:r w:rsidRPr="00780E96">
        <w:t>s</w:t>
      </w:r>
      <w:r w:rsidR="004D46D8" w:rsidRPr="00780E96">
        <w:t>)</w:t>
      </w:r>
      <w:r w:rsidRPr="00780E96">
        <w:t>, as set out in section</w:t>
      </w:r>
      <w:r w:rsidR="00776E57" w:rsidRPr="00780E96">
        <w:t xml:space="preserve"> </w:t>
      </w:r>
      <w:r w:rsidR="004A3EB1" w:rsidRPr="00780E96">
        <w:fldChar w:fldCharType="begin"/>
      </w:r>
      <w:r w:rsidR="004A3EB1" w:rsidRPr="00780E96">
        <w:instrText xml:space="preserve"> REF  _Ref216179116 \h \n </w:instrText>
      </w:r>
      <w:r w:rsidR="00780E96">
        <w:instrText xml:space="preserve"> \* MERGEFORMAT </w:instrText>
      </w:r>
      <w:r w:rsidR="004A3EB1" w:rsidRPr="00780E96">
        <w:fldChar w:fldCharType="separate"/>
      </w:r>
      <w:r w:rsidR="003B0135" w:rsidRPr="00780E96">
        <w:rPr>
          <w:cs/>
        </w:rPr>
        <w:t>‎</w:t>
      </w:r>
      <w:r w:rsidR="003B0135" w:rsidRPr="00780E96">
        <w:t>5.8.1</w:t>
      </w:r>
      <w:r w:rsidR="004A3EB1" w:rsidRPr="00780E96">
        <w:fldChar w:fldCharType="end"/>
      </w:r>
      <w:r w:rsidRPr="00780E96">
        <w:t>; or</w:t>
      </w:r>
    </w:p>
    <w:p w14:paraId="5F4DF4ED" w14:textId="6BB7DE17" w:rsidR="00D9066E" w:rsidRPr="00780E96" w:rsidRDefault="00D9066E" w:rsidP="00F65332">
      <w:pPr>
        <w:pStyle w:val="SDMSubPara1"/>
      </w:pPr>
      <w:r w:rsidRPr="00780E96">
        <w:rPr>
          <w:b/>
          <w:bCs/>
        </w:rPr>
        <w:t>Option</w:t>
      </w:r>
      <w:r w:rsidR="00B23B70" w:rsidRPr="00780E96">
        <w:rPr>
          <w:b/>
          <w:bCs/>
        </w:rPr>
        <w:t> </w:t>
      </w:r>
      <w:r w:rsidRPr="00780E96">
        <w:rPr>
          <w:b/>
          <w:bCs/>
        </w:rPr>
        <w:t>B</w:t>
      </w:r>
      <w:r w:rsidRPr="00780E96">
        <w:t xml:space="preserve">: </w:t>
      </w:r>
      <w:r w:rsidR="009C6BE4" w:rsidRPr="00780E96">
        <w:t xml:space="preserve">use </w:t>
      </w:r>
      <w:r w:rsidRPr="00780E96">
        <w:t>a conservative default emission factor, as set out in section</w:t>
      </w:r>
      <w:r w:rsidR="00ED01C9" w:rsidRPr="00780E96">
        <w:t xml:space="preserve"> </w:t>
      </w:r>
      <w:r w:rsidR="004A3EB1" w:rsidRPr="00780E96">
        <w:fldChar w:fldCharType="begin"/>
      </w:r>
      <w:r w:rsidR="004A3EB1" w:rsidRPr="00780E96">
        <w:instrText xml:space="preserve"> REF  _Ref216179138 \h \n </w:instrText>
      </w:r>
      <w:r w:rsidR="00780E96">
        <w:instrText xml:space="preserve"> \* MERGEFORMAT </w:instrText>
      </w:r>
      <w:r w:rsidR="004A3EB1" w:rsidRPr="00780E96">
        <w:fldChar w:fldCharType="separate"/>
      </w:r>
      <w:r w:rsidR="003B0135" w:rsidRPr="00780E96">
        <w:rPr>
          <w:cs/>
        </w:rPr>
        <w:t>‎</w:t>
      </w:r>
      <w:r w:rsidR="003B0135" w:rsidRPr="00780E96">
        <w:t>5.8.2</w:t>
      </w:r>
      <w:r w:rsidR="004A3EB1" w:rsidRPr="00780E96">
        <w:fldChar w:fldCharType="end"/>
      </w:r>
      <w:r w:rsidRPr="00780E96">
        <w:t>.</w:t>
      </w:r>
    </w:p>
    <w:p w14:paraId="4CBA175E" w14:textId="7BD69310" w:rsidR="00FF70B5" w:rsidRPr="00780E96" w:rsidRDefault="00DD1140">
      <w:pPr>
        <w:pStyle w:val="SDMHead3"/>
      </w:pPr>
      <w:bookmarkStart w:id="722" w:name="_Toc215923333"/>
      <w:bookmarkStart w:id="723" w:name="_Toc216093029"/>
      <w:bookmarkStart w:id="724" w:name="_Ref216179116"/>
      <w:bookmarkStart w:id="725" w:name="_Toc216271758"/>
      <w:bookmarkStart w:id="726" w:name="_Toc216279375"/>
      <w:bookmarkStart w:id="727" w:name="_Toc216283413"/>
      <w:bookmarkStart w:id="728" w:name="_Toc216288031"/>
      <w:bookmarkStart w:id="729" w:name="_Toc219666138"/>
      <w:bookmarkStart w:id="730" w:name="_Toc220001398"/>
      <w:bookmarkStart w:id="731" w:name="_Toc221096422"/>
      <w:bookmarkStart w:id="732" w:name="_Toc221097974"/>
      <w:bookmarkStart w:id="733" w:name="_Toc221116270"/>
      <w:bookmarkStart w:id="734" w:name="_Toc221117286"/>
      <w:bookmarkStart w:id="735" w:name="_Toc222132124"/>
      <w:bookmarkStart w:id="736" w:name="_Toc222494925"/>
      <w:bookmarkStart w:id="737" w:name="_Toc222512441"/>
      <w:bookmarkStart w:id="738" w:name="_Toc222741761"/>
      <w:bookmarkStart w:id="739" w:name="_Toc234853842"/>
      <w:bookmarkStart w:id="740" w:name="_Toc235002280"/>
      <w:bookmarkStart w:id="741" w:name="_Toc235003439"/>
      <w:bookmarkStart w:id="742" w:name="_Toc236154236"/>
      <w:bookmarkStart w:id="743" w:name="_Toc236216613"/>
      <w:bookmarkStart w:id="744" w:name="_Toc240545101"/>
      <w:bookmarkStart w:id="745" w:name="_Toc240545317"/>
      <w:bookmarkStart w:id="746" w:name="_Toc240576899"/>
      <w:bookmarkEnd w:id="721"/>
      <w:r w:rsidRPr="00780E96">
        <w:t>Option</w:t>
      </w:r>
      <w:r w:rsidR="00B23B70" w:rsidRPr="00780E96">
        <w:t> </w:t>
      </w:r>
      <w:r w:rsidR="009076AA" w:rsidRPr="00780E96">
        <w:t>A</w:t>
      </w:r>
      <w:r w:rsidRPr="00780E96">
        <w:t xml:space="preserve">: </w:t>
      </w:r>
      <w:r w:rsidR="0062276A" w:rsidRPr="00780E96">
        <w:t>Calculate</w:t>
      </w:r>
      <w:r w:rsidR="007B7F1C" w:rsidRPr="00780E96">
        <w:t xml:space="preserve"> the actual emission factor of the </w:t>
      </w:r>
      <w:r w:rsidR="00890623" w:rsidRPr="00780E96">
        <w:t xml:space="preserve">fossil fuel fired </w:t>
      </w:r>
      <w:r w:rsidR="007B7F1C" w:rsidRPr="00780E96">
        <w:t xml:space="preserve">captive power </w:t>
      </w:r>
      <w:bookmarkEnd w:id="722"/>
      <w:bookmarkEnd w:id="723"/>
      <w:bookmarkEnd w:id="724"/>
      <w:bookmarkEnd w:id="725"/>
      <w:bookmarkEnd w:id="726"/>
      <w:bookmarkEnd w:id="727"/>
      <w:bookmarkEnd w:id="728"/>
      <w:r w:rsidR="007B7F1C" w:rsidRPr="00780E96">
        <w:t>plant</w:t>
      </w:r>
      <w:r w:rsidR="00290B9A" w:rsidRPr="00780E96">
        <w:t>(</w:t>
      </w:r>
      <w:r w:rsidR="007B7F1C" w:rsidRPr="00780E96">
        <w:t>s</w:t>
      </w:r>
      <w:bookmarkEnd w:id="729"/>
      <w:r w:rsidR="00290B9A" w:rsidRPr="00780E96">
        <w:t>)</w:t>
      </w:r>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p>
    <w:p w14:paraId="1A1F40E0" w14:textId="0AAA7123" w:rsidR="00073D6D" w:rsidRPr="00780E96" w:rsidRDefault="00073D6D" w:rsidP="00F62D64">
      <w:pPr>
        <w:pStyle w:val="SDMPara"/>
        <w:keepNext/>
      </w:pPr>
      <w:bookmarkStart w:id="747" w:name="_Ref242432202"/>
      <w:r w:rsidRPr="00780E96">
        <w:t xml:space="preserve">The emission factor for electricity generation </w:t>
      </w:r>
      <w:r w:rsidR="00394CC1" w:rsidRPr="00780E96">
        <w:t xml:space="preserve">shall be </w:t>
      </w:r>
      <w:r w:rsidRPr="00780E96">
        <w:t xml:space="preserve">determined based on the CO2 emissions from fuel combustion and the electricity generation </w:t>
      </w:r>
      <w:r w:rsidR="00394CC1" w:rsidRPr="00780E96">
        <w:t xml:space="preserve">of </w:t>
      </w:r>
      <w:r w:rsidRPr="00780E96">
        <w:t xml:space="preserve">the </w:t>
      </w:r>
      <w:r w:rsidR="58778428" w:rsidRPr="00780E96">
        <w:t xml:space="preserve">fossil-fuel fired </w:t>
      </w:r>
      <w:r w:rsidRPr="00780E96">
        <w:t xml:space="preserve">captive power plant(s) </w:t>
      </w:r>
      <w:r w:rsidR="076E49D6" w:rsidRPr="00780E96">
        <w:t xml:space="preserve">identified in </w:t>
      </w:r>
      <w:r w:rsidR="00394CC1" w:rsidRPr="00780E96">
        <w:rPr>
          <w:b/>
          <w:bCs/>
        </w:rPr>
        <w:t>step</w:t>
      </w:r>
      <w:r w:rsidR="00B23B70" w:rsidRPr="00780E96">
        <w:rPr>
          <w:b/>
          <w:bCs/>
        </w:rPr>
        <w:t> </w:t>
      </w:r>
      <w:r w:rsidR="076E49D6" w:rsidRPr="00780E96">
        <w:rPr>
          <w:b/>
          <w:bCs/>
        </w:rPr>
        <w:t>2</w:t>
      </w:r>
      <w:r w:rsidR="16496CBF" w:rsidRPr="00780E96">
        <w:t>.</w:t>
      </w:r>
      <w:r w:rsidRPr="00780E96">
        <w:t xml:space="preserve"> In </w:t>
      </w:r>
      <w:r w:rsidR="2F3632BC" w:rsidRPr="00780E96">
        <w:t>the</w:t>
      </w:r>
      <w:r w:rsidRPr="00780E96">
        <w:t xml:space="preserve"> case of plants that co-generate heat and power (cogeneration plants), activity participants may:</w:t>
      </w:r>
      <w:bookmarkEnd w:id="747"/>
    </w:p>
    <w:p w14:paraId="3C088F0B" w14:textId="296A40D8" w:rsidR="000F4F7B" w:rsidRDefault="1D03ADF1" w:rsidP="00F65332">
      <w:pPr>
        <w:pStyle w:val="SDMSubPara1"/>
      </w:pPr>
      <w:r w:rsidRPr="00780E96">
        <w:t>Ignore, as a conservative assumption</w:t>
      </w:r>
      <w:r>
        <w:t>, the heat generation</w:t>
      </w:r>
      <w:r w:rsidR="15A8FEAC">
        <w:t xml:space="preserve"> for activities under </w:t>
      </w:r>
      <w:r w:rsidR="00394CC1" w:rsidRPr="00394CC1">
        <w:rPr>
          <w:b/>
          <w:bCs/>
        </w:rPr>
        <w:t>case </w:t>
      </w:r>
      <w:r w:rsidR="15A8FEAC" w:rsidRPr="00394CC1">
        <w:rPr>
          <w:b/>
          <w:bCs/>
        </w:rPr>
        <w:t>1</w:t>
      </w:r>
      <w:r w:rsidR="00B141B0">
        <w:t>;</w:t>
      </w:r>
      <w:r w:rsidR="0065321A">
        <w:t xml:space="preserve"> or</w:t>
      </w:r>
    </w:p>
    <w:p w14:paraId="2F645F48" w14:textId="5D2C31E3" w:rsidR="000F4F7B" w:rsidRDefault="000F4F7B" w:rsidP="00F65332">
      <w:pPr>
        <w:pStyle w:val="SDMSubPara1"/>
      </w:pPr>
      <w:r>
        <w:t xml:space="preserve">Allocate the emissions of the </w:t>
      </w:r>
      <w:r w:rsidR="004D770D">
        <w:t>fossil</w:t>
      </w:r>
      <w:r w:rsidR="001E2084">
        <w:t xml:space="preserve"> </w:t>
      </w:r>
      <w:r w:rsidR="004D770D">
        <w:t xml:space="preserve">fuel fired </w:t>
      </w:r>
      <w:r>
        <w:t>captive power plant to heat and power by assuming that</w:t>
      </w:r>
      <w:r w:rsidR="004B66F6">
        <w:t>,</w:t>
      </w:r>
      <w:r>
        <w:t xml:space="preserve"> </w:t>
      </w:r>
      <w:r w:rsidR="004B66F6">
        <w:t xml:space="preserve">in the absence of </w:t>
      </w:r>
      <w:r>
        <w:t>cogeneration</w:t>
      </w:r>
      <w:r w:rsidR="004B66F6">
        <w:t>,</w:t>
      </w:r>
      <w:r>
        <w:t xml:space="preserve"> the heat would be generated in a boiler</w:t>
      </w:r>
      <w:r w:rsidDel="004B66F6">
        <w:t xml:space="preserve"> </w:t>
      </w:r>
      <w:r>
        <w:t>using the same type</w:t>
      </w:r>
      <w:r w:rsidR="00E82D37">
        <w:t>(s)</w:t>
      </w:r>
      <w:r>
        <w:t xml:space="preserve"> of fossil fuel </w:t>
      </w:r>
      <w:r w:rsidR="00E82D37">
        <w:t>as those</w:t>
      </w:r>
      <w:r>
        <w:t xml:space="preserve"> used in the captive power plant</w:t>
      </w:r>
      <w:r w:rsidR="00A315CD">
        <w:t>(s)</w:t>
      </w:r>
      <w:r>
        <w:t xml:space="preserve">. </w:t>
      </w:r>
      <w:r w:rsidR="00E82D37">
        <w:t xml:space="preserve">This </w:t>
      </w:r>
      <w:r>
        <w:t xml:space="preserve">option requires determining the </w:t>
      </w:r>
      <w:r w:rsidR="00074670">
        <w:t xml:space="preserve">quantity of </w:t>
      </w:r>
      <w:r>
        <w:t xml:space="preserve">heat </w:t>
      </w:r>
      <w:r w:rsidR="00074670">
        <w:t xml:space="preserve">generated </w:t>
      </w:r>
      <w:r w:rsidR="0042173E">
        <w:t xml:space="preserve">by </w:t>
      </w:r>
      <w:r>
        <w:t>the captive power plant(s).</w:t>
      </w:r>
    </w:p>
    <w:p w14:paraId="38A80F2B" w14:textId="5F28EB6A" w:rsidR="000F4F7B" w:rsidRDefault="0037461C" w:rsidP="00F62D64">
      <w:pPr>
        <w:pStyle w:val="SDMPara"/>
        <w:keepNext/>
      </w:pPr>
      <w:r>
        <w:t>W</w:t>
      </w:r>
      <w:r w:rsidR="000F4F7B">
        <w:t xml:space="preserve">here none of the </w:t>
      </w:r>
      <w:r w:rsidR="583696BB">
        <w:t>fossil-fuel fired</w:t>
      </w:r>
      <w:r w:rsidR="000F4F7B">
        <w:t xml:space="preserve"> captive power plants is a cogeneration plant</w:t>
      </w:r>
      <w:r w:rsidR="00520BC9">
        <w:t>,</w:t>
      </w:r>
      <w:r w:rsidR="000F4F7B">
        <w:t xml:space="preserve"> or where heat generation is ignored </w:t>
      </w:r>
      <w:r w:rsidR="00520BC9">
        <w:t>in accordance with the</w:t>
      </w:r>
      <w:r w:rsidR="000F4F7B">
        <w:t xml:space="preserve"> conditions outlined </w:t>
      </w:r>
      <w:r w:rsidR="00520BC9">
        <w:t xml:space="preserve">in </w:t>
      </w:r>
      <w:r w:rsidR="00520BC9" w:rsidRPr="00FD443B">
        <w:t>paragraph</w:t>
      </w:r>
      <w:r w:rsidR="00371E1E" w:rsidRPr="00FD443B">
        <w:t> </w:t>
      </w:r>
      <w:r w:rsidR="006C07A5">
        <w:fldChar w:fldCharType="begin"/>
      </w:r>
      <w:r w:rsidR="006C07A5">
        <w:instrText xml:space="preserve"> REF _Ref242432202 \w \h </w:instrText>
      </w:r>
      <w:r w:rsidR="006C07A5">
        <w:fldChar w:fldCharType="separate"/>
      </w:r>
      <w:r w:rsidR="003B0135">
        <w:rPr>
          <w:cs/>
        </w:rPr>
        <w:t>‎</w:t>
      </w:r>
      <w:r w:rsidR="003B0135">
        <w:t>113</w:t>
      </w:r>
      <w:r w:rsidR="006C07A5">
        <w:fldChar w:fldCharType="end"/>
      </w:r>
      <w:r w:rsidR="000F4F7B" w:rsidRPr="00FD443B">
        <w:t>,</w:t>
      </w:r>
      <w:r w:rsidR="000F4F7B">
        <w:t xml:space="preserve"> the emission factor of the captive power plant(s) </w:t>
      </w:r>
      <w:r w:rsidR="003B4A09">
        <w:t>shall be</w:t>
      </w:r>
      <w:r w:rsidR="000F4F7B">
        <w:t xml:space="preserve"> calculated as follows:</w:t>
      </w:r>
    </w:p>
    <w:tbl>
      <w:tblPr>
        <w:tblStyle w:val="SDMMethTableEquation"/>
        <w:tblW w:w="8760" w:type="dxa"/>
        <w:tblLook w:val="0600" w:firstRow="0" w:lastRow="0" w:firstColumn="0" w:lastColumn="0" w:noHBand="1" w:noVBand="1"/>
      </w:tblPr>
      <w:tblGrid>
        <w:gridCol w:w="7103"/>
        <w:gridCol w:w="1657"/>
      </w:tblGrid>
      <w:tr w:rsidR="008E0D2F" w:rsidRPr="00E32F75" w14:paraId="4F4E961A" w14:textId="77777777">
        <w:tc>
          <w:tcPr>
            <w:tcW w:w="7224" w:type="dxa"/>
          </w:tcPr>
          <w:p w14:paraId="225ABF70" w14:textId="20F00E16" w:rsidR="008E0D2F" w:rsidRPr="00B23B70" w:rsidRDefault="003F6646" w:rsidP="00F423CA">
            <w:pPr>
              <w:pStyle w:val="SDMMethEquation"/>
            </w:pPr>
            <m:oMathPara>
              <m:oMathParaPr>
                <m:jc m:val="left"/>
              </m:oMathParaPr>
              <m:oMath>
                <m:sSub>
                  <m:sSubPr>
                    <m:ctrlPr>
                      <w:rPr>
                        <w:rFonts w:ascii="Cambria Math" w:hAnsi="Cambria Math"/>
                        <w:i/>
                      </w:rPr>
                    </m:ctrlPr>
                  </m:sSubPr>
                  <m:e>
                    <m:r>
                      <w:rPr>
                        <w:rFonts w:ascii="Cambria Math" w:hAnsi="Cambria Math"/>
                      </w:rPr>
                      <m:t>EF</m:t>
                    </m:r>
                  </m:e>
                  <m:sub>
                    <m:r>
                      <w:rPr>
                        <w:rFonts w:ascii="Cambria Math" w:hAnsi="Cambria Math"/>
                      </w:rPr>
                      <m:t>BE/PE/LE,p,t</m:t>
                    </m:r>
                  </m:sub>
                </m:sSub>
                <m:r>
                  <w:rPr>
                    <w:rFonts w:ascii="Cambria Math" w:hAnsi="Cambria Math"/>
                  </w:rPr>
                  <m:t>=</m:t>
                </m:r>
                <m:f>
                  <m:fPr>
                    <m:ctrlPr>
                      <w:rPr>
                        <w:rFonts w:ascii="Cambria Math" w:hAnsi="Cambria Math"/>
                        <w:i/>
                      </w:rPr>
                    </m:ctrlPr>
                  </m:fPr>
                  <m:num>
                    <m:nary>
                      <m:naryPr>
                        <m:chr m:val="∑"/>
                        <m:limLoc m:val="undOvr"/>
                        <m:supHide m:val="1"/>
                        <m:ctrlPr>
                          <w:rPr>
                            <w:rFonts w:ascii="Cambria Math" w:hAnsi="Cambria Math"/>
                            <w:i/>
                          </w:rPr>
                        </m:ctrlPr>
                      </m:naryPr>
                      <m:sub>
                        <m:r>
                          <w:rPr>
                            <w:rFonts w:ascii="Cambria Math" w:hAnsi="Cambria Math"/>
                          </w:rPr>
                          <m:t>i</m:t>
                        </m:r>
                      </m:sub>
                      <m:sup/>
                      <m:e>
                        <m:sSub>
                          <m:sSubPr>
                            <m:ctrlPr>
                              <w:rPr>
                                <w:rFonts w:ascii="Cambria Math" w:hAnsi="Cambria Math"/>
                                <w:i/>
                              </w:rPr>
                            </m:ctrlPr>
                          </m:sSubPr>
                          <m:e>
                            <m:r>
                              <w:rPr>
                                <w:rFonts w:ascii="Cambria Math" w:hAnsi="Cambria Math"/>
                              </w:rPr>
                              <m:t>FC</m:t>
                            </m:r>
                          </m:e>
                          <m:sub>
                            <m:r>
                              <w:rPr>
                                <w:rFonts w:ascii="Cambria Math" w:hAnsi="Cambria Math"/>
                              </w:rPr>
                              <m:t>i,p,t</m:t>
                            </m:r>
                          </m:sub>
                        </m:sSub>
                        <m:r>
                          <w:rPr>
                            <w:rFonts w:ascii="Cambria Math" w:hAnsi="Cambria Math"/>
                          </w:rPr>
                          <m:t>×</m:t>
                        </m:r>
                        <m:sSub>
                          <m:sSubPr>
                            <m:ctrlPr>
                              <w:rPr>
                                <w:rFonts w:ascii="Cambria Math" w:hAnsi="Cambria Math"/>
                                <w:i/>
                              </w:rPr>
                            </m:ctrlPr>
                          </m:sSubPr>
                          <m:e>
                            <m:r>
                              <w:rPr>
                                <w:rFonts w:ascii="Cambria Math" w:hAnsi="Cambria Math"/>
                              </w:rPr>
                              <m:t>NCV</m:t>
                            </m:r>
                          </m:e>
                          <m:sub>
                            <m:r>
                              <w:rPr>
                                <w:rFonts w:ascii="Cambria Math" w:hAnsi="Cambria Math"/>
                              </w:rPr>
                              <m:t>i,t</m:t>
                            </m:r>
                          </m:sub>
                        </m:sSub>
                        <m:r>
                          <w:rPr>
                            <w:rFonts w:ascii="Cambria Math" w:hAnsi="Cambria Math"/>
                          </w:rPr>
                          <m:t>×</m:t>
                        </m:r>
                        <m:sSub>
                          <m:sSubPr>
                            <m:ctrlPr>
                              <w:rPr>
                                <w:rFonts w:ascii="Cambria Math" w:hAnsi="Cambria Math"/>
                                <w:i/>
                              </w:rPr>
                            </m:ctrlPr>
                          </m:sSubPr>
                          <m:e>
                            <m:r>
                              <w:rPr>
                                <w:rFonts w:ascii="Cambria Math" w:hAnsi="Cambria Math"/>
                              </w:rPr>
                              <m:t>EF</m:t>
                            </m:r>
                          </m:e>
                          <m:sub>
                            <m:r>
                              <w:rPr>
                                <w:rFonts w:ascii="Cambria Math" w:hAnsi="Cambria Math"/>
                              </w:rPr>
                              <m:t>CO2,i,t</m:t>
                            </m:r>
                          </m:sub>
                        </m:sSub>
                      </m:e>
                    </m:nary>
                  </m:num>
                  <m:den>
                    <m:sSub>
                      <m:sSubPr>
                        <m:ctrlPr>
                          <w:rPr>
                            <w:rFonts w:ascii="Cambria Math" w:hAnsi="Cambria Math"/>
                            <w:i/>
                          </w:rPr>
                        </m:ctrlPr>
                      </m:sSubPr>
                      <m:e>
                        <m:r>
                          <w:rPr>
                            <w:rFonts w:ascii="Cambria Math" w:hAnsi="Cambria Math"/>
                          </w:rPr>
                          <m:t>EG</m:t>
                        </m:r>
                      </m:e>
                      <m:sub>
                        <m:r>
                          <w:rPr>
                            <w:rFonts w:ascii="Cambria Math" w:hAnsi="Cambria Math"/>
                          </w:rPr>
                          <m:t>p,t</m:t>
                        </m:r>
                      </m:sub>
                    </m:sSub>
                  </m:den>
                </m:f>
              </m:oMath>
            </m:oMathPara>
          </w:p>
        </w:tc>
        <w:tc>
          <w:tcPr>
            <w:tcW w:w="1701" w:type="dxa"/>
          </w:tcPr>
          <w:p w14:paraId="0E6EE4DC" w14:textId="77777777" w:rsidR="008E0D2F" w:rsidRPr="002B6960" w:rsidRDefault="008E0D2F">
            <w:pPr>
              <w:pStyle w:val="SDMMethEquationNr"/>
              <w:numPr>
                <w:ilvl w:val="0"/>
                <w:numId w:val="6"/>
              </w:numPr>
            </w:pPr>
          </w:p>
        </w:tc>
      </w:tr>
    </w:tbl>
    <w:p w14:paraId="14E1368B" w14:textId="77777777" w:rsidR="008E0D2F" w:rsidRDefault="008E0D2F" w:rsidP="00F62D64">
      <w:pPr>
        <w:pStyle w:val="SDMMethCaptionEquationParametersTable"/>
      </w:pPr>
      <w:r>
        <w:t>Where:</w:t>
      </w:r>
    </w:p>
    <w:tbl>
      <w:tblPr>
        <w:tblStyle w:val="SDMMethTableEquationParameters"/>
        <w:tblW w:w="8760" w:type="dxa"/>
        <w:tblLook w:val="04A0" w:firstRow="1" w:lastRow="0" w:firstColumn="1" w:lastColumn="0" w:noHBand="0" w:noVBand="1"/>
      </w:tblPr>
      <w:tblGrid>
        <w:gridCol w:w="1696"/>
        <w:gridCol w:w="345"/>
        <w:gridCol w:w="6719"/>
      </w:tblGrid>
      <w:tr w:rsidR="008E0D2F" w:rsidRPr="007967A9" w14:paraId="1CF3FF17" w14:textId="77777777" w:rsidTr="00AA7E37">
        <w:trPr>
          <w:trHeight w:val="300"/>
        </w:trPr>
        <w:tc>
          <w:tcPr>
            <w:tcW w:w="1701" w:type="dxa"/>
            <w:vAlign w:val="top"/>
          </w:tcPr>
          <w:p w14:paraId="1EF636D5" w14:textId="77777777" w:rsidR="008E0D2F" w:rsidRPr="00814DCD" w:rsidRDefault="003F6646" w:rsidP="007967A9">
            <w:pPr>
              <w:pStyle w:val="SDMTableBoxParaNotNumbered"/>
              <w:rPr>
                <w:rFonts w:cs="Arial"/>
              </w:rPr>
            </w:pPr>
            <m:oMathPara>
              <m:oMathParaPr>
                <m:jc m:val="left"/>
              </m:oMathParaPr>
              <m:oMath>
                <m:sSub>
                  <m:sSubPr>
                    <m:ctrlPr>
                      <w:rPr>
                        <w:rFonts w:ascii="Cambria Math" w:hAnsi="Cambria Math" w:cs="Arial"/>
                        <w:i/>
                        <w:szCs w:val="22"/>
                      </w:rPr>
                    </m:ctrlPr>
                  </m:sSubPr>
                  <m:e>
                    <m:r>
                      <w:rPr>
                        <w:rFonts w:ascii="Cambria Math" w:hAnsi="Cambria Math" w:cs="Arial"/>
                        <w:szCs w:val="22"/>
                      </w:rPr>
                      <m:t>EF</m:t>
                    </m:r>
                  </m:e>
                  <m:sub>
                    <m:r>
                      <w:rPr>
                        <w:rFonts w:ascii="Cambria Math" w:hAnsi="Cambria Math" w:cs="Arial"/>
                      </w:rPr>
                      <m:t>BE</m:t>
                    </m:r>
                    <m:r>
                      <w:rPr>
                        <w:rFonts w:ascii="Cambria Math" w:hAnsi="Cambria Math" w:cs="Arial"/>
                        <w:szCs w:val="22"/>
                      </w:rPr>
                      <m:t>/</m:t>
                    </m:r>
                    <m:r>
                      <w:rPr>
                        <w:rFonts w:ascii="Cambria Math" w:hAnsi="Cambria Math" w:cs="Arial"/>
                      </w:rPr>
                      <m:t>PE</m:t>
                    </m:r>
                    <m:r>
                      <w:rPr>
                        <w:rFonts w:ascii="Cambria Math" w:hAnsi="Cambria Math" w:cs="Arial"/>
                        <w:szCs w:val="22"/>
                      </w:rPr>
                      <m:t>/</m:t>
                    </m:r>
                    <m:r>
                      <w:rPr>
                        <w:rFonts w:ascii="Cambria Math" w:hAnsi="Cambria Math" w:cs="Arial"/>
                      </w:rPr>
                      <m:t>LE</m:t>
                    </m:r>
                    <m:r>
                      <w:rPr>
                        <w:rFonts w:ascii="Cambria Math" w:hAnsi="Cambria Math" w:cs="Arial"/>
                        <w:szCs w:val="22"/>
                      </w:rPr>
                      <m:t>,p,t</m:t>
                    </m:r>
                  </m:sub>
                </m:sSub>
              </m:oMath>
            </m:oMathPara>
          </w:p>
        </w:tc>
        <w:tc>
          <w:tcPr>
            <w:tcW w:w="345" w:type="dxa"/>
            <w:vAlign w:val="top"/>
          </w:tcPr>
          <w:p w14:paraId="66A25607" w14:textId="77777777" w:rsidR="008E0D2F" w:rsidRPr="007967A9" w:rsidRDefault="008E0D2F" w:rsidP="007967A9">
            <w:pPr>
              <w:pStyle w:val="SDMTableBoxParaNotNumbered"/>
              <w:rPr>
                <w:rFonts w:cs="Arial"/>
              </w:rPr>
            </w:pPr>
            <w:r w:rsidRPr="007967A9">
              <w:rPr>
                <w:rFonts w:cs="Arial"/>
              </w:rPr>
              <w:t>=</w:t>
            </w:r>
          </w:p>
        </w:tc>
        <w:tc>
          <w:tcPr>
            <w:tcW w:w="6795" w:type="dxa"/>
            <w:vAlign w:val="top"/>
          </w:tcPr>
          <w:p w14:paraId="7CCB43C6" w14:textId="638307D4" w:rsidR="008E0D2F" w:rsidRPr="007967A9" w:rsidRDefault="00280A0E" w:rsidP="007967A9">
            <w:pPr>
              <w:pStyle w:val="SDMTableBoxParaNotNumbered"/>
              <w:rPr>
                <w:rFonts w:cs="Arial"/>
              </w:rPr>
            </w:pPr>
            <w:r w:rsidRPr="007967A9">
              <w:rPr>
                <w:rFonts w:cs="Arial"/>
              </w:rPr>
              <w:t>Emission factor of captive power plant</w:t>
            </w:r>
            <w:r w:rsidR="00995ECB" w:rsidRPr="007967A9">
              <w:rPr>
                <w:rFonts w:cs="Arial"/>
              </w:rPr>
              <w:t> </w:t>
            </w:r>
            <w:r w:rsidRPr="007967A9">
              <w:rPr>
                <w:rFonts w:cs="Arial"/>
                <w:i/>
                <w:iCs/>
              </w:rPr>
              <w:t>p</w:t>
            </w:r>
            <w:r w:rsidRPr="007967A9">
              <w:rPr>
                <w:rFonts w:cs="Arial"/>
              </w:rPr>
              <w:t xml:space="preserve"> in the period</w:t>
            </w:r>
            <w:r w:rsidR="00995ECB" w:rsidRPr="007967A9">
              <w:rPr>
                <w:rFonts w:cs="Arial"/>
              </w:rPr>
              <w:t> </w:t>
            </w:r>
            <w:r w:rsidRPr="007967A9">
              <w:rPr>
                <w:rFonts w:cs="Arial"/>
                <w:i/>
                <w:iCs/>
              </w:rPr>
              <w:t>t</w:t>
            </w:r>
            <w:r w:rsidR="00F423BA" w:rsidRPr="007967A9">
              <w:rPr>
                <w:rFonts w:cs="Arial"/>
                <w:i/>
                <w:iCs/>
              </w:rPr>
              <w:t xml:space="preserve"> </w:t>
            </w:r>
            <w:r w:rsidR="00F423BA" w:rsidRPr="007967A9">
              <w:rPr>
                <w:rFonts w:cs="Arial"/>
              </w:rPr>
              <w:t>(t</w:t>
            </w:r>
            <w:r w:rsidR="00995ECB" w:rsidRPr="007967A9">
              <w:rPr>
                <w:rFonts w:cs="Arial"/>
              </w:rPr>
              <w:t> </w:t>
            </w:r>
            <w:r w:rsidR="00F423BA" w:rsidRPr="007967A9">
              <w:rPr>
                <w:rFonts w:cs="Arial"/>
              </w:rPr>
              <w:t>CO</w:t>
            </w:r>
            <w:r w:rsidR="00F423BA" w:rsidRPr="007967A9">
              <w:rPr>
                <w:rFonts w:cs="Arial"/>
                <w:vertAlign w:val="subscript"/>
              </w:rPr>
              <w:t>2</w:t>
            </w:r>
            <w:r w:rsidR="007D502A" w:rsidRPr="007967A9">
              <w:rPr>
                <w:rFonts w:cs="Arial"/>
              </w:rPr>
              <w:t>e</w:t>
            </w:r>
            <w:r w:rsidR="00F1430B">
              <w:rPr>
                <w:rFonts w:cs="Arial"/>
              </w:rPr>
              <w:t>q / </w:t>
            </w:r>
            <w:r w:rsidR="00F423BA" w:rsidRPr="007967A9">
              <w:rPr>
                <w:rFonts w:cs="Arial"/>
              </w:rPr>
              <w:t>MWh)</w:t>
            </w:r>
          </w:p>
        </w:tc>
      </w:tr>
      <w:tr w:rsidR="009F3ECE" w:rsidRPr="007967A9" w14:paraId="336C6DCF" w14:textId="77777777" w:rsidTr="00AA7E37">
        <w:trPr>
          <w:trHeight w:val="300"/>
        </w:trPr>
        <w:tc>
          <w:tcPr>
            <w:tcW w:w="1701" w:type="dxa"/>
            <w:vAlign w:val="top"/>
          </w:tcPr>
          <w:p w14:paraId="578DC815" w14:textId="53C9A7C1" w:rsidR="009F3ECE" w:rsidRPr="00814DCD" w:rsidRDefault="003F6646" w:rsidP="007967A9">
            <w:pPr>
              <w:pStyle w:val="SDMTableBoxParaNotNumbered"/>
              <w:rPr>
                <w:rFonts w:cs="Arial"/>
              </w:rPr>
            </w:pPr>
            <m:oMathPara>
              <m:oMathParaPr>
                <m:jc m:val="left"/>
              </m:oMathParaPr>
              <m:oMath>
                <m:sSub>
                  <m:sSubPr>
                    <m:ctrlPr>
                      <w:rPr>
                        <w:rFonts w:ascii="Cambria Math" w:hAnsi="Cambria Math" w:cs="Arial"/>
                        <w:i/>
                        <w:szCs w:val="22"/>
                      </w:rPr>
                    </m:ctrlPr>
                  </m:sSubPr>
                  <m:e>
                    <m:r>
                      <w:rPr>
                        <w:rFonts w:ascii="Cambria Math" w:hAnsi="Cambria Math" w:cs="Arial"/>
                        <w:szCs w:val="22"/>
                      </w:rPr>
                      <m:t>FC</m:t>
                    </m:r>
                  </m:e>
                  <m:sub>
                    <m:r>
                      <w:rPr>
                        <w:rFonts w:ascii="Cambria Math" w:hAnsi="Cambria Math" w:cs="Arial"/>
                        <w:szCs w:val="22"/>
                      </w:rPr>
                      <m:t>i,p,t</m:t>
                    </m:r>
                  </m:sub>
                </m:sSub>
              </m:oMath>
            </m:oMathPara>
          </w:p>
        </w:tc>
        <w:tc>
          <w:tcPr>
            <w:tcW w:w="345" w:type="dxa"/>
            <w:vAlign w:val="top"/>
          </w:tcPr>
          <w:p w14:paraId="7541A657" w14:textId="77777777" w:rsidR="009F3ECE" w:rsidRPr="007967A9" w:rsidRDefault="009F3ECE" w:rsidP="007967A9">
            <w:pPr>
              <w:pStyle w:val="SDMTableBoxParaNotNumbered"/>
              <w:rPr>
                <w:rFonts w:cs="Arial"/>
              </w:rPr>
            </w:pPr>
            <w:r w:rsidRPr="007967A9">
              <w:rPr>
                <w:rFonts w:cs="Arial"/>
              </w:rPr>
              <w:t>=</w:t>
            </w:r>
          </w:p>
        </w:tc>
        <w:tc>
          <w:tcPr>
            <w:tcW w:w="6795" w:type="dxa"/>
            <w:vAlign w:val="top"/>
          </w:tcPr>
          <w:p w14:paraId="72975A34" w14:textId="6A50CF96" w:rsidR="009F3ECE" w:rsidRPr="007967A9" w:rsidRDefault="009F3ECE" w:rsidP="007967A9">
            <w:pPr>
              <w:pStyle w:val="SDMTableBoxParaNotNumbered"/>
              <w:rPr>
                <w:rFonts w:cs="Arial"/>
              </w:rPr>
            </w:pPr>
            <w:r w:rsidRPr="007967A9">
              <w:rPr>
                <w:rFonts w:cs="Arial"/>
              </w:rPr>
              <w:t>Quantity of fossil fuel type</w:t>
            </w:r>
            <w:r w:rsidRPr="007967A9">
              <w:rPr>
                <w:rFonts w:cs="Arial"/>
                <w:i/>
              </w:rPr>
              <w:t xml:space="preserve"> i </w:t>
            </w:r>
            <w:r w:rsidRPr="007967A9">
              <w:rPr>
                <w:rFonts w:cs="Arial"/>
              </w:rPr>
              <w:t>fired in captive power plant</w:t>
            </w:r>
            <w:r w:rsidRPr="007967A9">
              <w:rPr>
                <w:rFonts w:cs="Arial"/>
                <w:i/>
              </w:rPr>
              <w:t> </w:t>
            </w:r>
            <w:r w:rsidR="00F05B1B" w:rsidRPr="007967A9">
              <w:rPr>
                <w:rFonts w:cs="Arial"/>
                <w:i/>
                <w:iCs/>
              </w:rPr>
              <w:t>p</w:t>
            </w:r>
            <w:r w:rsidRPr="007967A9">
              <w:rPr>
                <w:rFonts w:cs="Arial"/>
                <w:i/>
              </w:rPr>
              <w:t xml:space="preserve"> </w:t>
            </w:r>
            <w:r w:rsidRPr="007967A9">
              <w:rPr>
                <w:rFonts w:cs="Arial"/>
              </w:rPr>
              <w:t>in period</w:t>
            </w:r>
            <w:r w:rsidRPr="007967A9">
              <w:rPr>
                <w:rFonts w:cs="Arial"/>
                <w:i/>
              </w:rPr>
              <w:t xml:space="preserve"> t </w:t>
            </w:r>
            <w:r w:rsidRPr="007967A9">
              <w:rPr>
                <w:rFonts w:cs="Arial"/>
              </w:rPr>
              <w:t>(mass or volume unit)</w:t>
            </w:r>
          </w:p>
        </w:tc>
      </w:tr>
      <w:tr w:rsidR="009F3ECE" w:rsidRPr="007967A9" w14:paraId="6C5BC838" w14:textId="77777777" w:rsidTr="00AA7E37">
        <w:trPr>
          <w:trHeight w:val="300"/>
        </w:trPr>
        <w:tc>
          <w:tcPr>
            <w:tcW w:w="1701" w:type="dxa"/>
            <w:vAlign w:val="top"/>
          </w:tcPr>
          <w:p w14:paraId="61BD6DD9" w14:textId="77777777" w:rsidR="009F3ECE" w:rsidRPr="00814DCD" w:rsidRDefault="003F6646" w:rsidP="007967A9">
            <w:pPr>
              <w:pStyle w:val="SDMTableBoxParaNotNumbered"/>
              <w:rPr>
                <w:rFonts w:cs="Arial"/>
              </w:rPr>
            </w:pPr>
            <m:oMathPara>
              <m:oMathParaPr>
                <m:jc m:val="left"/>
              </m:oMathParaPr>
              <m:oMath>
                <m:sSub>
                  <m:sSubPr>
                    <m:ctrlPr>
                      <w:rPr>
                        <w:rFonts w:ascii="Cambria Math" w:hAnsi="Cambria Math" w:cs="Arial"/>
                        <w:i/>
                        <w:szCs w:val="22"/>
                      </w:rPr>
                    </m:ctrlPr>
                  </m:sSubPr>
                  <m:e>
                    <m:r>
                      <w:rPr>
                        <w:rFonts w:ascii="Cambria Math" w:hAnsi="Cambria Math" w:cs="Arial"/>
                        <w:szCs w:val="22"/>
                      </w:rPr>
                      <m:t>NCV</m:t>
                    </m:r>
                  </m:e>
                  <m:sub>
                    <m:r>
                      <w:rPr>
                        <w:rFonts w:ascii="Cambria Math" w:hAnsi="Cambria Math" w:cs="Arial"/>
                        <w:szCs w:val="22"/>
                      </w:rPr>
                      <m:t>i,t</m:t>
                    </m:r>
                  </m:sub>
                </m:sSub>
              </m:oMath>
            </m:oMathPara>
          </w:p>
        </w:tc>
        <w:tc>
          <w:tcPr>
            <w:tcW w:w="345" w:type="dxa"/>
            <w:vAlign w:val="top"/>
          </w:tcPr>
          <w:p w14:paraId="3B2BFAE5" w14:textId="77777777" w:rsidR="009F3ECE" w:rsidRPr="007967A9" w:rsidRDefault="009F3ECE" w:rsidP="007967A9">
            <w:pPr>
              <w:pStyle w:val="SDMTableBoxParaNotNumbered"/>
              <w:rPr>
                <w:rFonts w:cs="Arial"/>
              </w:rPr>
            </w:pPr>
            <w:r w:rsidRPr="007967A9">
              <w:rPr>
                <w:rFonts w:cs="Arial"/>
              </w:rPr>
              <w:t>=</w:t>
            </w:r>
          </w:p>
        </w:tc>
        <w:tc>
          <w:tcPr>
            <w:tcW w:w="6795" w:type="dxa"/>
            <w:vAlign w:val="top"/>
          </w:tcPr>
          <w:p w14:paraId="3A112626" w14:textId="77777777" w:rsidR="00910B18" w:rsidRDefault="009F3ECE" w:rsidP="007967A9">
            <w:pPr>
              <w:pStyle w:val="SDMTableBoxParaNotNumbered"/>
              <w:rPr>
                <w:rFonts w:cs="Arial"/>
                <w:i/>
              </w:rPr>
            </w:pPr>
            <w:r w:rsidRPr="007967A9">
              <w:rPr>
                <w:rFonts w:cs="Arial"/>
              </w:rPr>
              <w:t>Average net calorific value of fossil fuel type</w:t>
            </w:r>
            <w:r w:rsidRPr="007967A9">
              <w:rPr>
                <w:rFonts w:cs="Arial"/>
                <w:i/>
              </w:rPr>
              <w:t xml:space="preserve"> i </w:t>
            </w:r>
            <w:r w:rsidRPr="007967A9">
              <w:rPr>
                <w:rFonts w:cs="Arial"/>
              </w:rPr>
              <w:t>used in period </w:t>
            </w:r>
            <w:r w:rsidRPr="007967A9">
              <w:rPr>
                <w:rFonts w:cs="Arial"/>
                <w:i/>
              </w:rPr>
              <w:t>t</w:t>
            </w:r>
          </w:p>
          <w:p w14:paraId="2144ED99" w14:textId="59C01C79" w:rsidR="009F3ECE" w:rsidRPr="007967A9" w:rsidRDefault="009F3ECE" w:rsidP="007967A9">
            <w:pPr>
              <w:pStyle w:val="SDMTableBoxParaNotNumbered"/>
              <w:rPr>
                <w:rFonts w:cs="Arial"/>
              </w:rPr>
            </w:pPr>
            <w:r w:rsidRPr="007967A9">
              <w:rPr>
                <w:rFonts w:cs="Arial"/>
              </w:rPr>
              <w:t>(GJ</w:t>
            </w:r>
            <w:r w:rsidR="00FC11BA">
              <w:rPr>
                <w:rFonts w:cs="Arial"/>
              </w:rPr>
              <w:t> </w:t>
            </w:r>
            <w:r w:rsidRPr="007967A9">
              <w:rPr>
                <w:rFonts w:cs="Arial"/>
              </w:rPr>
              <w:t>/</w:t>
            </w:r>
            <w:r w:rsidR="00FC11BA">
              <w:rPr>
                <w:rFonts w:cs="Arial"/>
              </w:rPr>
              <w:t> </w:t>
            </w:r>
            <w:r w:rsidRPr="007967A9">
              <w:rPr>
                <w:rFonts w:cs="Arial"/>
              </w:rPr>
              <w:t>mass or volume unit)</w:t>
            </w:r>
          </w:p>
        </w:tc>
      </w:tr>
      <w:tr w:rsidR="009F3ECE" w:rsidRPr="007967A9" w14:paraId="0378A894" w14:textId="77777777" w:rsidTr="00AA7E37">
        <w:trPr>
          <w:trHeight w:val="300"/>
        </w:trPr>
        <w:tc>
          <w:tcPr>
            <w:tcW w:w="1701" w:type="dxa"/>
            <w:vAlign w:val="top"/>
          </w:tcPr>
          <w:p w14:paraId="181CEAAE" w14:textId="77777777" w:rsidR="009F3ECE" w:rsidRPr="00814DCD" w:rsidRDefault="003F6646" w:rsidP="007967A9">
            <w:pPr>
              <w:pStyle w:val="SDMTableBoxParaNotNumbered"/>
              <w:rPr>
                <w:rFonts w:cs="Arial"/>
              </w:rPr>
            </w:pPr>
            <m:oMathPara>
              <m:oMathParaPr>
                <m:jc m:val="left"/>
              </m:oMathParaPr>
              <m:oMath>
                <m:sSub>
                  <m:sSubPr>
                    <m:ctrlPr>
                      <w:rPr>
                        <w:rFonts w:ascii="Cambria Math" w:hAnsi="Cambria Math" w:cs="Arial"/>
                        <w:i/>
                        <w:szCs w:val="22"/>
                      </w:rPr>
                    </m:ctrlPr>
                  </m:sSubPr>
                  <m:e>
                    <m:r>
                      <w:rPr>
                        <w:rFonts w:ascii="Cambria Math" w:hAnsi="Cambria Math" w:cs="Arial"/>
                        <w:szCs w:val="22"/>
                      </w:rPr>
                      <m:t>EF</m:t>
                    </m:r>
                  </m:e>
                  <m:sub>
                    <m:r>
                      <w:rPr>
                        <w:rFonts w:ascii="Cambria Math" w:hAnsi="Cambria Math" w:cs="Arial"/>
                        <w:szCs w:val="22"/>
                      </w:rPr>
                      <m:t>CO2,i,t</m:t>
                    </m:r>
                  </m:sub>
                </m:sSub>
              </m:oMath>
            </m:oMathPara>
          </w:p>
        </w:tc>
        <w:tc>
          <w:tcPr>
            <w:tcW w:w="345" w:type="dxa"/>
            <w:vAlign w:val="top"/>
          </w:tcPr>
          <w:p w14:paraId="2863E310" w14:textId="77777777" w:rsidR="009F3ECE" w:rsidRPr="007967A9" w:rsidRDefault="009F3ECE" w:rsidP="007967A9">
            <w:pPr>
              <w:pStyle w:val="SDMTableBoxParaNotNumbered"/>
              <w:rPr>
                <w:rFonts w:cs="Arial"/>
              </w:rPr>
            </w:pPr>
            <w:r w:rsidRPr="007967A9">
              <w:rPr>
                <w:rFonts w:cs="Arial"/>
              </w:rPr>
              <w:t>=</w:t>
            </w:r>
          </w:p>
        </w:tc>
        <w:tc>
          <w:tcPr>
            <w:tcW w:w="6795" w:type="dxa"/>
            <w:vAlign w:val="top"/>
          </w:tcPr>
          <w:p w14:paraId="1B0AAC17" w14:textId="6EE19F7B" w:rsidR="009F3ECE" w:rsidRPr="007967A9" w:rsidRDefault="009F3ECE" w:rsidP="007967A9">
            <w:pPr>
              <w:pStyle w:val="SDMTableBoxParaNotNumbered"/>
              <w:rPr>
                <w:rFonts w:cs="Arial"/>
              </w:rPr>
            </w:pPr>
            <w:r w:rsidRPr="007967A9">
              <w:rPr>
                <w:rFonts w:cs="Arial"/>
              </w:rPr>
              <w:t>Average CO</w:t>
            </w:r>
            <w:r w:rsidRPr="007967A9">
              <w:rPr>
                <w:rFonts w:cs="Arial"/>
                <w:vertAlign w:val="subscript"/>
              </w:rPr>
              <w:t>2</w:t>
            </w:r>
            <w:r w:rsidRPr="007967A9">
              <w:rPr>
                <w:rFonts w:cs="Arial"/>
              </w:rPr>
              <w:t xml:space="preserve"> emission factor of fossil fuel type</w:t>
            </w:r>
            <w:r w:rsidRPr="007967A9">
              <w:rPr>
                <w:rFonts w:cs="Arial"/>
                <w:i/>
              </w:rPr>
              <w:t xml:space="preserve"> i </w:t>
            </w:r>
            <w:r w:rsidRPr="007967A9">
              <w:rPr>
                <w:rFonts w:cs="Arial"/>
              </w:rPr>
              <w:t>used in period</w:t>
            </w:r>
            <w:r w:rsidRPr="007967A9">
              <w:rPr>
                <w:rFonts w:cs="Arial"/>
                <w:i/>
              </w:rPr>
              <w:t xml:space="preserve"> t </w:t>
            </w:r>
            <w:r w:rsidRPr="007967A9">
              <w:rPr>
                <w:rFonts w:cs="Arial"/>
              </w:rPr>
              <w:t>(t CO</w:t>
            </w:r>
            <w:r w:rsidRPr="007967A9">
              <w:rPr>
                <w:rFonts w:cs="Arial"/>
                <w:vertAlign w:val="subscript"/>
              </w:rPr>
              <w:t>2</w:t>
            </w:r>
            <w:r w:rsidR="00F1430B" w:rsidRPr="007967A9">
              <w:rPr>
                <w:rFonts w:cs="Arial"/>
              </w:rPr>
              <w:t>e</w:t>
            </w:r>
            <w:r w:rsidR="00F1430B">
              <w:rPr>
                <w:rFonts w:cs="Arial"/>
              </w:rPr>
              <w:t>q / </w:t>
            </w:r>
            <w:r w:rsidRPr="007967A9">
              <w:rPr>
                <w:rFonts w:cs="Arial"/>
              </w:rPr>
              <w:t>GJ)</w:t>
            </w:r>
          </w:p>
        </w:tc>
      </w:tr>
      <w:tr w:rsidR="009F3ECE" w:rsidRPr="007967A9" w14:paraId="7098D7CD" w14:textId="77777777" w:rsidTr="00AA7E37">
        <w:trPr>
          <w:trHeight w:val="300"/>
        </w:trPr>
        <w:tc>
          <w:tcPr>
            <w:tcW w:w="1701" w:type="dxa"/>
            <w:vAlign w:val="top"/>
          </w:tcPr>
          <w:p w14:paraId="46E7EE69" w14:textId="77777777" w:rsidR="009F3ECE" w:rsidRPr="00814DCD" w:rsidRDefault="003F6646" w:rsidP="007967A9">
            <w:pPr>
              <w:pStyle w:val="SDMTableBoxParaNotNumbered"/>
              <w:rPr>
                <w:rFonts w:cs="Arial"/>
                <w:szCs w:val="22"/>
              </w:rPr>
            </w:pPr>
            <m:oMathPara>
              <m:oMathParaPr>
                <m:jc m:val="left"/>
              </m:oMathParaPr>
              <m:oMath>
                <m:sSub>
                  <m:sSubPr>
                    <m:ctrlPr>
                      <w:rPr>
                        <w:rFonts w:ascii="Cambria Math" w:hAnsi="Cambria Math" w:cs="Arial"/>
                        <w:i/>
                        <w:szCs w:val="22"/>
                      </w:rPr>
                    </m:ctrlPr>
                  </m:sSubPr>
                  <m:e>
                    <m:r>
                      <w:rPr>
                        <w:rFonts w:ascii="Cambria Math" w:hAnsi="Cambria Math" w:cs="Arial"/>
                        <w:szCs w:val="22"/>
                      </w:rPr>
                      <m:t>EG</m:t>
                    </m:r>
                  </m:e>
                  <m:sub>
                    <m:r>
                      <w:rPr>
                        <w:rFonts w:ascii="Cambria Math" w:hAnsi="Cambria Math" w:cs="Arial"/>
                        <w:szCs w:val="22"/>
                      </w:rPr>
                      <m:t>p,t</m:t>
                    </m:r>
                  </m:sub>
                </m:sSub>
              </m:oMath>
            </m:oMathPara>
          </w:p>
        </w:tc>
        <w:tc>
          <w:tcPr>
            <w:tcW w:w="345" w:type="dxa"/>
            <w:vAlign w:val="top"/>
          </w:tcPr>
          <w:p w14:paraId="4AB21845" w14:textId="77777777" w:rsidR="009F3ECE" w:rsidRPr="007967A9" w:rsidRDefault="009F3ECE" w:rsidP="007967A9">
            <w:pPr>
              <w:pStyle w:val="SDMTableBoxParaNotNumbered"/>
              <w:rPr>
                <w:rFonts w:cs="Arial"/>
              </w:rPr>
            </w:pPr>
            <w:r w:rsidRPr="007967A9">
              <w:rPr>
                <w:rFonts w:cs="Arial"/>
              </w:rPr>
              <w:t>=</w:t>
            </w:r>
          </w:p>
        </w:tc>
        <w:tc>
          <w:tcPr>
            <w:tcW w:w="6795" w:type="dxa"/>
            <w:vAlign w:val="top"/>
          </w:tcPr>
          <w:p w14:paraId="2D59FF03" w14:textId="0E1672A8" w:rsidR="009F3ECE" w:rsidRPr="007967A9" w:rsidRDefault="009F3ECE" w:rsidP="007967A9">
            <w:pPr>
              <w:pStyle w:val="SDMTableBoxParaNotNumbered"/>
              <w:rPr>
                <w:rFonts w:cs="Arial"/>
              </w:rPr>
            </w:pPr>
            <w:r w:rsidRPr="007967A9">
              <w:rPr>
                <w:rFonts w:cs="Arial"/>
              </w:rPr>
              <w:t>Quantity of electricity generated in</w:t>
            </w:r>
            <w:r w:rsidR="00924518" w:rsidRPr="007967A9">
              <w:rPr>
                <w:rFonts w:cs="Arial"/>
              </w:rPr>
              <w:t xml:space="preserve"> </w:t>
            </w:r>
            <w:r w:rsidRPr="007967A9">
              <w:rPr>
                <w:rFonts w:cs="Arial"/>
              </w:rPr>
              <w:t>captive power plant</w:t>
            </w:r>
            <w:r w:rsidRPr="007967A9">
              <w:rPr>
                <w:rFonts w:cs="Arial"/>
                <w:i/>
              </w:rPr>
              <w:t> </w:t>
            </w:r>
            <w:r w:rsidR="00F05B1B" w:rsidRPr="007967A9">
              <w:rPr>
                <w:rFonts w:cs="Arial"/>
                <w:i/>
                <w:iCs/>
              </w:rPr>
              <w:t>p</w:t>
            </w:r>
            <w:r w:rsidRPr="007967A9">
              <w:rPr>
                <w:rFonts w:cs="Arial"/>
                <w:i/>
              </w:rPr>
              <w:t xml:space="preserve"> </w:t>
            </w:r>
            <w:r w:rsidRPr="007967A9">
              <w:rPr>
                <w:rFonts w:cs="Arial"/>
              </w:rPr>
              <w:t>in period</w:t>
            </w:r>
            <w:r w:rsidRPr="007967A9">
              <w:rPr>
                <w:rFonts w:cs="Arial"/>
                <w:i/>
              </w:rPr>
              <w:t xml:space="preserve"> t </w:t>
            </w:r>
            <w:r w:rsidRPr="007967A9">
              <w:rPr>
                <w:rFonts w:cs="Arial"/>
              </w:rPr>
              <w:t>(MWh)</w:t>
            </w:r>
          </w:p>
        </w:tc>
      </w:tr>
      <w:tr w:rsidR="008B41E4" w:rsidRPr="007967A9" w14:paraId="042A0D31" w14:textId="77777777" w:rsidTr="00AA7E37">
        <w:trPr>
          <w:trHeight w:val="300"/>
        </w:trPr>
        <w:tc>
          <w:tcPr>
            <w:tcW w:w="1701" w:type="dxa"/>
            <w:vAlign w:val="top"/>
          </w:tcPr>
          <w:p w14:paraId="329BB8C7" w14:textId="77777777" w:rsidR="008B41E4" w:rsidRPr="007967A9" w:rsidRDefault="00000DE0" w:rsidP="007967A9">
            <w:pPr>
              <w:pStyle w:val="SDMTableBoxParaNotNumbered"/>
              <w:rPr>
                <w:rFonts w:cs="Arial"/>
                <w:szCs w:val="22"/>
              </w:rPr>
            </w:pPr>
            <m:oMathPara>
              <m:oMathParaPr>
                <m:jc m:val="left"/>
              </m:oMathParaPr>
              <m:oMath>
                <m:r>
                  <w:rPr>
                    <w:rFonts w:ascii="Cambria Math" w:hAnsi="Cambria Math" w:cs="Arial"/>
                    <w:szCs w:val="22"/>
                  </w:rPr>
                  <m:t>p</m:t>
                </m:r>
              </m:oMath>
            </m:oMathPara>
          </w:p>
        </w:tc>
        <w:tc>
          <w:tcPr>
            <w:tcW w:w="345" w:type="dxa"/>
            <w:vAlign w:val="top"/>
          </w:tcPr>
          <w:p w14:paraId="1B0C73F3" w14:textId="77777777" w:rsidR="008B41E4" w:rsidRPr="007967A9" w:rsidRDefault="008B41E4" w:rsidP="007967A9">
            <w:pPr>
              <w:pStyle w:val="SDMTableBoxParaNotNumbered"/>
              <w:rPr>
                <w:rFonts w:cs="Arial"/>
              </w:rPr>
            </w:pPr>
            <w:r w:rsidRPr="007967A9">
              <w:rPr>
                <w:rFonts w:cs="Arial"/>
              </w:rPr>
              <w:t>=</w:t>
            </w:r>
          </w:p>
        </w:tc>
        <w:tc>
          <w:tcPr>
            <w:tcW w:w="6795" w:type="dxa"/>
            <w:vAlign w:val="top"/>
          </w:tcPr>
          <w:p w14:paraId="47C8F9F5" w14:textId="71A09674" w:rsidR="008B41E4" w:rsidRPr="007967A9" w:rsidRDefault="0399E683" w:rsidP="007967A9">
            <w:pPr>
              <w:pStyle w:val="SDMTableBoxParaNotNumbered"/>
              <w:rPr>
                <w:rFonts w:cs="Arial"/>
              </w:rPr>
            </w:pPr>
            <w:r w:rsidRPr="007967A9">
              <w:rPr>
                <w:rFonts w:cs="Arial"/>
              </w:rPr>
              <w:t xml:space="preserve">Fossil fuel fired captive power plants </w:t>
            </w:r>
            <w:r w:rsidR="58DB4D39" w:rsidRPr="007967A9">
              <w:rPr>
                <w:rFonts w:cs="Arial"/>
              </w:rPr>
              <w:t xml:space="preserve">identified in </w:t>
            </w:r>
            <w:r w:rsidR="00520D93" w:rsidRPr="007967A9">
              <w:rPr>
                <w:rFonts w:cs="Arial"/>
              </w:rPr>
              <w:t>step </w:t>
            </w:r>
            <w:r w:rsidR="0CD1A9D8" w:rsidRPr="007967A9">
              <w:rPr>
                <w:rFonts w:cs="Arial"/>
              </w:rPr>
              <w:t>2</w:t>
            </w:r>
          </w:p>
        </w:tc>
      </w:tr>
      <w:tr w:rsidR="008B41E4" w:rsidRPr="007967A9" w14:paraId="5F8F6E5A" w14:textId="77777777" w:rsidTr="00AA7E37">
        <w:trPr>
          <w:trHeight w:val="300"/>
        </w:trPr>
        <w:tc>
          <w:tcPr>
            <w:tcW w:w="1701" w:type="dxa"/>
            <w:vAlign w:val="top"/>
          </w:tcPr>
          <w:p w14:paraId="5C48B477" w14:textId="77777777" w:rsidR="008B41E4" w:rsidRPr="007967A9" w:rsidRDefault="008B41E4" w:rsidP="007967A9">
            <w:pPr>
              <w:pStyle w:val="SDMTableBoxParaNotNumbered"/>
              <w:rPr>
                <w:rFonts w:cs="Arial"/>
                <w:szCs w:val="22"/>
              </w:rPr>
            </w:pPr>
            <m:oMathPara>
              <m:oMathParaPr>
                <m:jc m:val="left"/>
              </m:oMathParaPr>
              <m:oMath>
                <m:r>
                  <w:rPr>
                    <w:rFonts w:ascii="Cambria Math" w:hAnsi="Cambria Math" w:cs="Arial"/>
                    <w:szCs w:val="22"/>
                  </w:rPr>
                  <m:t>t</m:t>
                </m:r>
              </m:oMath>
            </m:oMathPara>
          </w:p>
        </w:tc>
        <w:tc>
          <w:tcPr>
            <w:tcW w:w="345" w:type="dxa"/>
            <w:vAlign w:val="top"/>
          </w:tcPr>
          <w:p w14:paraId="6C4024C0" w14:textId="77777777" w:rsidR="008B41E4" w:rsidRPr="007967A9" w:rsidRDefault="008B41E4" w:rsidP="007967A9">
            <w:pPr>
              <w:pStyle w:val="SDMTableBoxParaNotNumbered"/>
              <w:rPr>
                <w:rFonts w:cs="Arial"/>
              </w:rPr>
            </w:pPr>
            <w:r w:rsidRPr="007967A9">
              <w:rPr>
                <w:rFonts w:cs="Arial"/>
              </w:rPr>
              <w:t>=</w:t>
            </w:r>
          </w:p>
        </w:tc>
        <w:tc>
          <w:tcPr>
            <w:tcW w:w="6795" w:type="dxa"/>
            <w:vAlign w:val="top"/>
          </w:tcPr>
          <w:p w14:paraId="73CECCB0" w14:textId="7CB5789C" w:rsidR="008B41E4" w:rsidRPr="007967A9" w:rsidRDefault="57115A23" w:rsidP="007967A9">
            <w:pPr>
              <w:pStyle w:val="SDMTableBoxParaNotNumbered"/>
              <w:rPr>
                <w:rFonts w:cs="Arial"/>
              </w:rPr>
            </w:pPr>
            <w:r w:rsidRPr="007967A9">
              <w:rPr>
                <w:rFonts w:cs="Arial"/>
              </w:rPr>
              <w:t>P</w:t>
            </w:r>
            <w:r w:rsidR="33198DCE" w:rsidRPr="007967A9">
              <w:rPr>
                <w:rFonts w:cs="Arial"/>
              </w:rPr>
              <w:t>eriod</w:t>
            </w:r>
            <w:r w:rsidR="008B41E4" w:rsidRPr="007967A9">
              <w:rPr>
                <w:rFonts w:cs="Arial"/>
              </w:rPr>
              <w:t xml:space="preserve"> for which the emission factor for electricity generation is determined (see </w:t>
            </w:r>
            <w:r w:rsidR="004E25D8" w:rsidRPr="009F6AC4">
              <w:rPr>
                <w:rFonts w:cs="Arial"/>
              </w:rPr>
              <w:t>paragraph</w:t>
            </w:r>
            <w:r w:rsidR="006F7A0B" w:rsidRPr="009F6AC4">
              <w:rPr>
                <w:rFonts w:cs="Arial"/>
              </w:rPr>
              <w:t> </w:t>
            </w:r>
            <w:r w:rsidR="00962CCB" w:rsidRPr="009F6AC4">
              <w:rPr>
                <w:rFonts w:cs="Arial"/>
              </w:rPr>
              <w:fldChar w:fldCharType="begin"/>
            </w:r>
            <w:r w:rsidR="00962CCB" w:rsidRPr="007967A9">
              <w:rPr>
                <w:rFonts w:cs="Arial"/>
              </w:rPr>
              <w:instrText xml:space="preserve"> REF _Ref219693154 \w \h </w:instrText>
            </w:r>
            <w:r w:rsidR="007967A9">
              <w:rPr>
                <w:rFonts w:cs="Arial"/>
              </w:rPr>
              <w:instrText xml:space="preserve"> \* MERGEFORMAT </w:instrText>
            </w:r>
            <w:r w:rsidR="00962CCB" w:rsidRPr="009F6AC4">
              <w:rPr>
                <w:rFonts w:cs="Arial"/>
              </w:rPr>
            </w:r>
            <w:r w:rsidR="00962CCB" w:rsidRPr="009F6AC4">
              <w:rPr>
                <w:rFonts w:cs="Arial"/>
              </w:rPr>
              <w:fldChar w:fldCharType="separate"/>
            </w:r>
            <w:r w:rsidR="003B0135">
              <w:rPr>
                <w:rFonts w:cs="Arial"/>
                <w:cs/>
              </w:rPr>
              <w:t>‎</w:t>
            </w:r>
            <w:r w:rsidR="003B0135">
              <w:rPr>
                <w:rFonts w:cs="Arial"/>
              </w:rPr>
              <w:t>116</w:t>
            </w:r>
            <w:r w:rsidR="00962CCB" w:rsidRPr="009F6AC4">
              <w:rPr>
                <w:rFonts w:cs="Arial"/>
              </w:rPr>
              <w:fldChar w:fldCharType="end"/>
            </w:r>
            <w:r w:rsidR="008B41E4" w:rsidRPr="007967A9">
              <w:rPr>
                <w:rFonts w:cs="Arial"/>
              </w:rPr>
              <w:t>)</w:t>
            </w:r>
          </w:p>
        </w:tc>
      </w:tr>
    </w:tbl>
    <w:p w14:paraId="1C895AA0" w14:textId="53D0B135" w:rsidR="00E1782A" w:rsidRPr="00E1782A" w:rsidRDefault="00E1782A" w:rsidP="00F62D64">
      <w:pPr>
        <w:pStyle w:val="SDMPara"/>
        <w:keepNext/>
      </w:pPr>
      <w:r w:rsidRPr="00E1782A">
        <w:t>In other cases, the CO</w:t>
      </w:r>
      <w:r w:rsidRPr="00E1782A">
        <w:rPr>
          <w:vertAlign w:val="subscript"/>
        </w:rPr>
        <w:t>2</w:t>
      </w:r>
      <w:r w:rsidRPr="00E1782A">
        <w:t xml:space="preserve"> emission factor for electricity generation </w:t>
      </w:r>
      <w:r w:rsidR="002539CE">
        <w:t>shall be</w:t>
      </w:r>
      <w:r w:rsidR="002539CE" w:rsidRPr="00E1782A">
        <w:t xml:space="preserve"> </w:t>
      </w:r>
      <w:r w:rsidRPr="00E1782A">
        <w:t>calculated by allocating fuel consumption between electricity and heat generation, as follows:</w:t>
      </w:r>
    </w:p>
    <w:tbl>
      <w:tblPr>
        <w:tblStyle w:val="SDMMethTableEquation"/>
        <w:tblW w:w="8760" w:type="dxa"/>
        <w:tblLook w:val="0600" w:firstRow="0" w:lastRow="0" w:firstColumn="0" w:lastColumn="0" w:noHBand="1" w:noVBand="1"/>
      </w:tblPr>
      <w:tblGrid>
        <w:gridCol w:w="7115"/>
        <w:gridCol w:w="1645"/>
      </w:tblGrid>
      <w:tr w:rsidR="00E1782A" w:rsidRPr="00E32F75" w14:paraId="159CA866" w14:textId="77777777">
        <w:tc>
          <w:tcPr>
            <w:tcW w:w="7224" w:type="dxa"/>
          </w:tcPr>
          <w:p w14:paraId="5C665D20" w14:textId="7B2D7E46" w:rsidR="00E1782A" w:rsidRPr="0045644E" w:rsidRDefault="003F6646" w:rsidP="00F423CA">
            <w:pPr>
              <w:pStyle w:val="SDMMethEquation"/>
            </w:pPr>
            <m:oMathPara>
              <m:oMathParaPr>
                <m:jc m:val="left"/>
              </m:oMathParaPr>
              <m:oMath>
                <m:sSub>
                  <m:sSubPr>
                    <m:ctrlPr>
                      <w:rPr>
                        <w:rFonts w:ascii="Cambria Math" w:hAnsi="Cambria Math"/>
                        <w:i/>
                      </w:rPr>
                    </m:ctrlPr>
                  </m:sSubPr>
                  <m:e>
                    <m:r>
                      <w:rPr>
                        <w:rFonts w:ascii="Cambria Math" w:hAnsi="Cambria Math"/>
                      </w:rPr>
                      <m:t>EF</m:t>
                    </m:r>
                  </m:e>
                  <m:sub>
                    <m:r>
                      <w:rPr>
                        <w:rFonts w:ascii="Cambria Math" w:hAnsi="Cambria Math"/>
                      </w:rPr>
                      <m:t>BE/PE/LE,p,t</m:t>
                    </m:r>
                  </m:sub>
                </m:sSub>
                <m:r>
                  <w:rPr>
                    <w:rFonts w:ascii="Cambria Math" w:hAnsi="Cambria Math"/>
                  </w:rPr>
                  <m:t>=</m:t>
                </m:r>
                <m:f>
                  <m:fPr>
                    <m:ctrlPr>
                      <w:rPr>
                        <w:rFonts w:ascii="Cambria Math" w:hAnsi="Cambria Math"/>
                        <w:i/>
                      </w:rPr>
                    </m:ctrlPr>
                  </m:fPr>
                  <m:num>
                    <m:d>
                      <m:dPr>
                        <m:begChr m:val="["/>
                        <m:endChr m:val="]"/>
                        <m:ctrlPr>
                          <w:rPr>
                            <w:rFonts w:ascii="Cambria Math" w:hAnsi="Cambria Math"/>
                            <w:i/>
                          </w:rPr>
                        </m:ctrlPr>
                      </m:dPr>
                      <m:e>
                        <m:nary>
                          <m:naryPr>
                            <m:chr m:val="∑"/>
                            <m:limLoc m:val="undOvr"/>
                            <m:supHide m:val="1"/>
                            <m:ctrlPr>
                              <w:rPr>
                                <w:rFonts w:ascii="Cambria Math" w:hAnsi="Cambria Math"/>
                                <w:i/>
                              </w:rPr>
                            </m:ctrlPr>
                          </m:naryPr>
                          <m:sub>
                            <m:r>
                              <w:rPr>
                                <w:rFonts w:ascii="Cambria Math" w:hAnsi="Cambria Math"/>
                              </w:rPr>
                              <m:t>i</m:t>
                            </m:r>
                          </m:sub>
                          <m:sup/>
                          <m:e>
                            <m:d>
                              <m:dPr>
                                <m:ctrlPr>
                                  <w:rPr>
                                    <w:rFonts w:ascii="Cambria Math" w:hAnsi="Cambria Math"/>
                                    <w:i/>
                                  </w:rPr>
                                </m:ctrlPr>
                              </m:dPr>
                              <m:e>
                                <m:sSub>
                                  <m:sSubPr>
                                    <m:ctrlPr>
                                      <w:rPr>
                                        <w:rFonts w:ascii="Cambria Math" w:hAnsi="Cambria Math"/>
                                        <w:i/>
                                      </w:rPr>
                                    </m:ctrlPr>
                                  </m:sSubPr>
                                  <m:e>
                                    <m:r>
                                      <w:rPr>
                                        <w:rFonts w:ascii="Cambria Math" w:hAnsi="Cambria Math"/>
                                      </w:rPr>
                                      <m:t>FC</m:t>
                                    </m:r>
                                  </m:e>
                                  <m:sub>
                                    <m:r>
                                      <w:rPr>
                                        <w:rFonts w:ascii="Cambria Math" w:hAnsi="Cambria Math"/>
                                      </w:rPr>
                                      <m:t>i,p,t</m:t>
                                    </m:r>
                                  </m:sub>
                                </m:sSub>
                                <m:r>
                                  <w:rPr>
                                    <w:rFonts w:ascii="Cambria Math" w:hAnsi="Cambria Math"/>
                                  </w:rPr>
                                  <m:t>×</m:t>
                                </m:r>
                                <m:sSub>
                                  <m:sSubPr>
                                    <m:ctrlPr>
                                      <w:rPr>
                                        <w:rFonts w:ascii="Cambria Math" w:hAnsi="Cambria Math"/>
                                        <w:i/>
                                      </w:rPr>
                                    </m:ctrlPr>
                                  </m:sSubPr>
                                  <m:e>
                                    <m:r>
                                      <w:rPr>
                                        <w:rFonts w:ascii="Cambria Math" w:hAnsi="Cambria Math"/>
                                      </w:rPr>
                                      <m:t>NCV</m:t>
                                    </m:r>
                                  </m:e>
                                  <m:sub>
                                    <m:r>
                                      <w:rPr>
                                        <w:rFonts w:ascii="Cambria Math" w:hAnsi="Cambria Math"/>
                                      </w:rPr>
                                      <m:t>i,t</m:t>
                                    </m:r>
                                  </m:sub>
                                </m:sSub>
                              </m:e>
                            </m:d>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HG</m:t>
                                    </m:r>
                                  </m:e>
                                  <m:sub>
                                    <m:r>
                                      <w:rPr>
                                        <w:rFonts w:ascii="Cambria Math" w:hAnsi="Cambria Math"/>
                                      </w:rPr>
                                      <m:t>p,t</m:t>
                                    </m:r>
                                  </m:sub>
                                </m:sSub>
                              </m:num>
                              <m:den>
                                <m:sSub>
                                  <m:sSubPr>
                                    <m:ctrlPr>
                                      <w:rPr>
                                        <w:rFonts w:ascii="Cambria Math" w:hAnsi="Cambria Math"/>
                                        <w:i/>
                                      </w:rPr>
                                    </m:ctrlPr>
                                  </m:sSubPr>
                                  <m:e>
                                    <m:r>
                                      <w:rPr>
                                        <w:rFonts w:ascii="Cambria Math" w:hAnsi="Cambria Math"/>
                                      </w:rPr>
                                      <m:t>η</m:t>
                                    </m:r>
                                  </m:e>
                                  <m:sub>
                                    <m:r>
                                      <w:rPr>
                                        <w:rFonts w:ascii="Cambria Math" w:hAnsi="Cambria Math"/>
                                      </w:rPr>
                                      <m:t>boiler</m:t>
                                    </m:r>
                                  </m:sub>
                                </m:sSub>
                              </m:den>
                            </m:f>
                          </m:e>
                        </m:nary>
                      </m:e>
                    </m:d>
                    <m:r>
                      <w:rPr>
                        <w:rFonts w:ascii="Cambria Math" w:hAnsi="Cambria Math"/>
                      </w:rPr>
                      <m:t>×</m:t>
                    </m:r>
                    <m:sSub>
                      <m:sSubPr>
                        <m:ctrlPr>
                          <w:rPr>
                            <w:rFonts w:ascii="Cambria Math" w:hAnsi="Cambria Math"/>
                            <w:i/>
                          </w:rPr>
                        </m:ctrlPr>
                      </m:sSubPr>
                      <m:e>
                        <m:r>
                          <w:rPr>
                            <w:rFonts w:ascii="Cambria Math" w:hAnsi="Cambria Math"/>
                          </w:rPr>
                          <m:t>EF</m:t>
                        </m:r>
                      </m:e>
                      <m:sub>
                        <m:r>
                          <w:rPr>
                            <w:rFonts w:ascii="Cambria Math" w:hAnsi="Cambria Math"/>
                          </w:rPr>
                          <m:t>CO2,p,t</m:t>
                        </m:r>
                      </m:sub>
                    </m:sSub>
                  </m:num>
                  <m:den>
                    <m:sSub>
                      <m:sSubPr>
                        <m:ctrlPr>
                          <w:rPr>
                            <w:rFonts w:ascii="Cambria Math" w:hAnsi="Cambria Math"/>
                            <w:i/>
                          </w:rPr>
                        </m:ctrlPr>
                      </m:sSubPr>
                      <m:e>
                        <m:r>
                          <w:rPr>
                            <w:rFonts w:ascii="Cambria Math" w:hAnsi="Cambria Math"/>
                          </w:rPr>
                          <m:t>EG</m:t>
                        </m:r>
                      </m:e>
                      <m:sub>
                        <m:r>
                          <w:rPr>
                            <w:rFonts w:ascii="Cambria Math" w:hAnsi="Cambria Math"/>
                          </w:rPr>
                          <m:t>p,t</m:t>
                        </m:r>
                      </m:sub>
                    </m:sSub>
                  </m:den>
                </m:f>
              </m:oMath>
            </m:oMathPara>
          </w:p>
        </w:tc>
        <w:tc>
          <w:tcPr>
            <w:tcW w:w="1701" w:type="dxa"/>
          </w:tcPr>
          <w:p w14:paraId="5E0F8CE2" w14:textId="77777777" w:rsidR="00E1782A" w:rsidRPr="002B6960" w:rsidRDefault="00E1782A">
            <w:pPr>
              <w:pStyle w:val="SDMMethEquationNr"/>
              <w:numPr>
                <w:ilvl w:val="0"/>
                <w:numId w:val="6"/>
              </w:numPr>
            </w:pPr>
          </w:p>
        </w:tc>
      </w:tr>
    </w:tbl>
    <w:p w14:paraId="35F512EB" w14:textId="77777777" w:rsidR="00E1782A" w:rsidRDefault="00E1782A" w:rsidP="00F62D64">
      <w:pPr>
        <w:pStyle w:val="SDMMethCaptionEquationParametersTable"/>
      </w:pPr>
      <w:r>
        <w:t>Where:</w:t>
      </w:r>
    </w:p>
    <w:tbl>
      <w:tblPr>
        <w:tblStyle w:val="SDMMethTableEquationParameters"/>
        <w:tblW w:w="8760" w:type="dxa"/>
        <w:tblLook w:val="04A0" w:firstRow="1" w:lastRow="0" w:firstColumn="1" w:lastColumn="0" w:noHBand="0" w:noVBand="1"/>
      </w:tblPr>
      <w:tblGrid>
        <w:gridCol w:w="1701"/>
        <w:gridCol w:w="345"/>
        <w:gridCol w:w="6714"/>
      </w:tblGrid>
      <w:tr w:rsidR="00E1782A" w:rsidRPr="00B23B70" w14:paraId="4FD14093" w14:textId="77777777" w:rsidTr="00B23B70">
        <w:tc>
          <w:tcPr>
            <w:tcW w:w="1701" w:type="dxa"/>
            <w:vAlign w:val="top"/>
          </w:tcPr>
          <w:p w14:paraId="15E38E40" w14:textId="00332BA1" w:rsidR="00E1782A" w:rsidRPr="00814DCD" w:rsidRDefault="003F6646" w:rsidP="00B23B70">
            <w:pPr>
              <w:pStyle w:val="SDMTableBoxParaNotNumbered"/>
              <w:rPr>
                <w:rFonts w:cs="Arial"/>
              </w:rPr>
            </w:pPr>
            <m:oMathPara>
              <m:oMathParaPr>
                <m:jc m:val="left"/>
              </m:oMathParaPr>
              <m:oMath>
                <m:sSub>
                  <m:sSubPr>
                    <m:ctrlPr>
                      <w:rPr>
                        <w:rFonts w:ascii="Cambria Math" w:hAnsi="Cambria Math" w:cs="Arial"/>
                        <w:i/>
                      </w:rPr>
                    </m:ctrlPr>
                  </m:sSubPr>
                  <m:e>
                    <m:r>
                      <w:rPr>
                        <w:rFonts w:ascii="Cambria Math" w:hAnsi="Cambria Math" w:cs="Arial"/>
                      </w:rPr>
                      <m:t>EF</m:t>
                    </m:r>
                  </m:e>
                  <m:sub>
                    <m:r>
                      <w:rPr>
                        <w:rFonts w:ascii="Cambria Math" w:hAnsi="Cambria Math" w:cs="Arial"/>
                      </w:rPr>
                      <m:t>BE/PE/LE,</m:t>
                    </m:r>
                    <m:r>
                      <w:rPr>
                        <w:rFonts w:ascii="Cambria Math" w:hAnsi="Cambria Math" w:cs="Arial"/>
                        <w:strike/>
                      </w:rPr>
                      <m:t>y</m:t>
                    </m:r>
                    <m:r>
                      <w:rPr>
                        <w:rFonts w:ascii="Cambria Math" w:hAnsi="Cambria Math" w:cs="Arial"/>
                      </w:rPr>
                      <m:t>t</m:t>
                    </m:r>
                  </m:sub>
                </m:sSub>
              </m:oMath>
            </m:oMathPara>
          </w:p>
        </w:tc>
        <w:tc>
          <w:tcPr>
            <w:tcW w:w="345" w:type="dxa"/>
            <w:vAlign w:val="top"/>
          </w:tcPr>
          <w:p w14:paraId="55D4EEA9" w14:textId="77777777" w:rsidR="00E1782A" w:rsidRPr="00B23B70" w:rsidRDefault="00E1782A" w:rsidP="00B23B70">
            <w:pPr>
              <w:pStyle w:val="SDMTableBoxParaNotNumbered"/>
              <w:rPr>
                <w:rFonts w:cs="Arial"/>
              </w:rPr>
            </w:pPr>
            <w:r w:rsidRPr="00B23B70">
              <w:rPr>
                <w:rFonts w:cs="Arial"/>
              </w:rPr>
              <w:t>=</w:t>
            </w:r>
          </w:p>
        </w:tc>
        <w:tc>
          <w:tcPr>
            <w:tcW w:w="0" w:type="auto"/>
            <w:vAlign w:val="top"/>
          </w:tcPr>
          <w:p w14:paraId="64D4B930" w14:textId="0D1E6622" w:rsidR="00E1782A" w:rsidRPr="00B23B70" w:rsidRDefault="1620E03D" w:rsidP="00B23B70">
            <w:pPr>
              <w:pStyle w:val="SDMTableBoxParaNotNumbered"/>
              <w:rPr>
                <w:rFonts w:cs="Arial"/>
              </w:rPr>
            </w:pPr>
            <w:r w:rsidRPr="00B23B70">
              <w:rPr>
                <w:rFonts w:cs="Arial"/>
              </w:rPr>
              <w:t>Emission factor of captive power plant</w:t>
            </w:r>
            <w:r w:rsidR="00331E35" w:rsidRPr="00B23B70">
              <w:rPr>
                <w:rFonts w:cs="Arial"/>
              </w:rPr>
              <w:t> </w:t>
            </w:r>
            <w:r w:rsidRPr="00B23B70">
              <w:rPr>
                <w:rFonts w:cs="Arial"/>
                <w:i/>
              </w:rPr>
              <w:t>p</w:t>
            </w:r>
            <w:r w:rsidRPr="00B23B70">
              <w:rPr>
                <w:rFonts w:cs="Arial"/>
              </w:rPr>
              <w:t xml:space="preserve"> in period</w:t>
            </w:r>
            <w:r w:rsidR="00331E35" w:rsidRPr="00B23B70">
              <w:rPr>
                <w:rFonts w:cs="Arial"/>
              </w:rPr>
              <w:t> </w:t>
            </w:r>
            <w:r w:rsidRPr="00B23B70">
              <w:rPr>
                <w:rFonts w:cs="Arial"/>
                <w:i/>
                <w:iCs/>
              </w:rPr>
              <w:t xml:space="preserve">t </w:t>
            </w:r>
            <w:r w:rsidRPr="00B23B70">
              <w:rPr>
                <w:rFonts w:cs="Arial"/>
              </w:rPr>
              <w:t>(t</w:t>
            </w:r>
            <w:r w:rsidR="00331E35" w:rsidRPr="00B23B70">
              <w:rPr>
                <w:rFonts w:cs="Arial"/>
              </w:rPr>
              <w:t> </w:t>
            </w:r>
            <w:r w:rsidRPr="00B23B70">
              <w:rPr>
                <w:rFonts w:cs="Arial"/>
              </w:rPr>
              <w:t>CO</w:t>
            </w:r>
            <w:r w:rsidRPr="00B23B70">
              <w:rPr>
                <w:rFonts w:cs="Arial"/>
                <w:vertAlign w:val="subscript"/>
              </w:rPr>
              <w:t>2</w:t>
            </w:r>
            <w:r w:rsidR="00FC11BA" w:rsidRPr="007967A9">
              <w:rPr>
                <w:rFonts w:cs="Arial"/>
              </w:rPr>
              <w:t>e</w:t>
            </w:r>
            <w:r w:rsidR="00FC11BA">
              <w:rPr>
                <w:rFonts w:cs="Arial"/>
              </w:rPr>
              <w:t>q / </w:t>
            </w:r>
            <w:r w:rsidRPr="00B23B70">
              <w:rPr>
                <w:rFonts w:cs="Arial"/>
              </w:rPr>
              <w:t>MWh)</w:t>
            </w:r>
          </w:p>
        </w:tc>
      </w:tr>
      <w:tr w:rsidR="00CB6DD6" w:rsidRPr="00B23B70" w14:paraId="69E9B723" w14:textId="77777777" w:rsidTr="00B23B70">
        <w:tc>
          <w:tcPr>
            <w:tcW w:w="1701" w:type="dxa"/>
            <w:vAlign w:val="top"/>
          </w:tcPr>
          <w:p w14:paraId="29A734F3" w14:textId="65EAA805" w:rsidR="00CB6DD6" w:rsidRPr="00814DCD" w:rsidRDefault="003F6646" w:rsidP="00B23B70">
            <w:pPr>
              <w:pStyle w:val="SDMTableBoxParaNotNumbered"/>
              <w:rPr>
                <w:rFonts w:cs="Arial"/>
              </w:rPr>
            </w:pPr>
            <m:oMathPara>
              <m:oMathParaPr>
                <m:jc m:val="left"/>
              </m:oMathParaPr>
              <m:oMath>
                <m:sSub>
                  <m:sSubPr>
                    <m:ctrlPr>
                      <w:rPr>
                        <w:rFonts w:ascii="Cambria Math" w:hAnsi="Cambria Math" w:cs="Arial"/>
                        <w:i/>
                      </w:rPr>
                    </m:ctrlPr>
                  </m:sSubPr>
                  <m:e>
                    <m:r>
                      <w:rPr>
                        <w:rFonts w:ascii="Cambria Math" w:hAnsi="Cambria Math" w:cs="Arial"/>
                      </w:rPr>
                      <m:t>FC</m:t>
                    </m:r>
                  </m:e>
                  <m:sub>
                    <m:r>
                      <w:rPr>
                        <w:rFonts w:ascii="Cambria Math" w:hAnsi="Cambria Math" w:cs="Arial"/>
                      </w:rPr>
                      <m:t>i,p,t</m:t>
                    </m:r>
                  </m:sub>
                </m:sSub>
              </m:oMath>
            </m:oMathPara>
          </w:p>
        </w:tc>
        <w:tc>
          <w:tcPr>
            <w:tcW w:w="345" w:type="dxa"/>
            <w:vAlign w:val="top"/>
          </w:tcPr>
          <w:p w14:paraId="0EA71730" w14:textId="77777777" w:rsidR="00CB6DD6" w:rsidRPr="00B23B70" w:rsidRDefault="00CB6DD6" w:rsidP="00B23B70">
            <w:pPr>
              <w:pStyle w:val="SDMTableBoxParaNotNumbered"/>
              <w:rPr>
                <w:rFonts w:cs="Arial"/>
              </w:rPr>
            </w:pPr>
            <w:r w:rsidRPr="00B23B70">
              <w:rPr>
                <w:rFonts w:cs="Arial"/>
              </w:rPr>
              <w:t>=</w:t>
            </w:r>
          </w:p>
        </w:tc>
        <w:tc>
          <w:tcPr>
            <w:tcW w:w="0" w:type="auto"/>
            <w:vAlign w:val="top"/>
          </w:tcPr>
          <w:p w14:paraId="3B3135CC" w14:textId="36DA66C5" w:rsidR="00CB6DD6" w:rsidRPr="00B23B70" w:rsidRDefault="00CB6DD6" w:rsidP="00B23B70">
            <w:pPr>
              <w:pStyle w:val="SDMTableBoxParaNotNumbered"/>
              <w:rPr>
                <w:rFonts w:cs="Arial"/>
              </w:rPr>
            </w:pPr>
            <w:r w:rsidRPr="00B23B70">
              <w:rPr>
                <w:rFonts w:cs="Arial"/>
              </w:rPr>
              <w:t>Quantity of fossil fuel type</w:t>
            </w:r>
            <w:r w:rsidRPr="00B23B70">
              <w:rPr>
                <w:rFonts w:cs="Arial"/>
                <w:i/>
              </w:rPr>
              <w:t xml:space="preserve"> i </w:t>
            </w:r>
            <w:r w:rsidRPr="00B23B70">
              <w:rPr>
                <w:rFonts w:cs="Arial"/>
              </w:rPr>
              <w:t>fired in captive power plant</w:t>
            </w:r>
            <w:r w:rsidRPr="00B23B70">
              <w:rPr>
                <w:rFonts w:cs="Arial"/>
                <w:i/>
              </w:rPr>
              <w:t> </w:t>
            </w:r>
            <w:r w:rsidR="756339C9" w:rsidRPr="00B23B70">
              <w:rPr>
                <w:rFonts w:cs="Arial"/>
                <w:i/>
                <w:iCs/>
              </w:rPr>
              <w:t>p</w:t>
            </w:r>
            <w:r w:rsidRPr="00B23B70">
              <w:rPr>
                <w:rFonts w:cs="Arial"/>
                <w:i/>
              </w:rPr>
              <w:t xml:space="preserve"> </w:t>
            </w:r>
            <w:r w:rsidRPr="00B23B70">
              <w:rPr>
                <w:rFonts w:cs="Arial"/>
              </w:rPr>
              <w:t>in the period</w:t>
            </w:r>
            <w:r w:rsidRPr="00B23B70">
              <w:rPr>
                <w:rFonts w:cs="Arial"/>
                <w:i/>
              </w:rPr>
              <w:t xml:space="preserve"> t </w:t>
            </w:r>
            <w:r w:rsidRPr="00B23B70">
              <w:rPr>
                <w:rFonts w:cs="Arial"/>
              </w:rPr>
              <w:t>(mass or volume unit)</w:t>
            </w:r>
          </w:p>
        </w:tc>
      </w:tr>
      <w:tr w:rsidR="00CB6DD6" w:rsidRPr="00B23B70" w14:paraId="0202B046" w14:textId="77777777" w:rsidTr="00B23B70">
        <w:tc>
          <w:tcPr>
            <w:tcW w:w="1701" w:type="dxa"/>
            <w:vAlign w:val="top"/>
          </w:tcPr>
          <w:p w14:paraId="4623A65C" w14:textId="77777777" w:rsidR="00CB6DD6" w:rsidRPr="00814DCD" w:rsidRDefault="003F6646" w:rsidP="00B23B70">
            <w:pPr>
              <w:pStyle w:val="SDMTableBoxParaNotNumbered"/>
              <w:rPr>
                <w:rFonts w:cs="Arial"/>
              </w:rPr>
            </w:pPr>
            <m:oMathPara>
              <m:oMathParaPr>
                <m:jc m:val="left"/>
              </m:oMathParaPr>
              <m:oMath>
                <m:sSub>
                  <m:sSubPr>
                    <m:ctrlPr>
                      <w:rPr>
                        <w:rFonts w:ascii="Cambria Math" w:hAnsi="Cambria Math" w:cs="Arial"/>
                        <w:i/>
                      </w:rPr>
                    </m:ctrlPr>
                  </m:sSubPr>
                  <m:e>
                    <m:r>
                      <w:rPr>
                        <w:rFonts w:ascii="Cambria Math" w:hAnsi="Cambria Math" w:cs="Arial"/>
                      </w:rPr>
                      <m:t>NCV</m:t>
                    </m:r>
                  </m:e>
                  <m:sub>
                    <m:r>
                      <w:rPr>
                        <w:rFonts w:ascii="Cambria Math" w:hAnsi="Cambria Math" w:cs="Arial"/>
                      </w:rPr>
                      <m:t>i,t</m:t>
                    </m:r>
                  </m:sub>
                </m:sSub>
              </m:oMath>
            </m:oMathPara>
          </w:p>
        </w:tc>
        <w:tc>
          <w:tcPr>
            <w:tcW w:w="345" w:type="dxa"/>
            <w:vAlign w:val="top"/>
          </w:tcPr>
          <w:p w14:paraId="60B1FFCC" w14:textId="77777777" w:rsidR="00CB6DD6" w:rsidRPr="00B23B70" w:rsidRDefault="00CB6DD6" w:rsidP="00B23B70">
            <w:pPr>
              <w:pStyle w:val="SDMTableBoxParaNotNumbered"/>
              <w:rPr>
                <w:rFonts w:cs="Arial"/>
              </w:rPr>
            </w:pPr>
            <w:r w:rsidRPr="00B23B70">
              <w:rPr>
                <w:rFonts w:cs="Arial"/>
              </w:rPr>
              <w:t>=</w:t>
            </w:r>
          </w:p>
        </w:tc>
        <w:tc>
          <w:tcPr>
            <w:tcW w:w="0" w:type="auto"/>
            <w:vAlign w:val="top"/>
          </w:tcPr>
          <w:p w14:paraId="34233D12" w14:textId="77777777" w:rsidR="00D67D1C" w:rsidRDefault="00CB6DD6" w:rsidP="00B23B70">
            <w:pPr>
              <w:pStyle w:val="SDMTableBoxParaNotNumbered"/>
              <w:rPr>
                <w:rFonts w:cs="Arial"/>
                <w:i/>
              </w:rPr>
            </w:pPr>
            <w:r w:rsidRPr="00B23B70">
              <w:rPr>
                <w:rFonts w:cs="Arial"/>
              </w:rPr>
              <w:t>Average net calorific value of fossil fuel type</w:t>
            </w:r>
            <w:r w:rsidRPr="00B23B70">
              <w:rPr>
                <w:rFonts w:cs="Arial"/>
                <w:i/>
              </w:rPr>
              <w:t xml:space="preserve"> i </w:t>
            </w:r>
            <w:r w:rsidRPr="00B23B70">
              <w:rPr>
                <w:rFonts w:cs="Arial"/>
              </w:rPr>
              <w:t>used in period </w:t>
            </w:r>
            <w:r w:rsidRPr="00B23B70">
              <w:rPr>
                <w:rFonts w:cs="Arial"/>
                <w:i/>
              </w:rPr>
              <w:t>t</w:t>
            </w:r>
          </w:p>
          <w:p w14:paraId="27AF0FED" w14:textId="6AB17004" w:rsidR="00CB6DD6" w:rsidRPr="00B23B70" w:rsidRDefault="00CB6DD6" w:rsidP="00B23B70">
            <w:pPr>
              <w:pStyle w:val="SDMTableBoxParaNotNumbered"/>
              <w:rPr>
                <w:rFonts w:cs="Arial"/>
              </w:rPr>
            </w:pPr>
            <w:r w:rsidRPr="00B23B70">
              <w:rPr>
                <w:rFonts w:cs="Arial"/>
              </w:rPr>
              <w:t>(GJ</w:t>
            </w:r>
            <w:r w:rsidR="00FC11BA">
              <w:rPr>
                <w:rFonts w:cs="Arial"/>
              </w:rPr>
              <w:t> </w:t>
            </w:r>
            <w:r w:rsidRPr="00B23B70">
              <w:rPr>
                <w:rFonts w:cs="Arial"/>
              </w:rPr>
              <w:t>/</w:t>
            </w:r>
            <w:r w:rsidR="00FC11BA">
              <w:rPr>
                <w:rFonts w:cs="Arial"/>
              </w:rPr>
              <w:t> </w:t>
            </w:r>
            <w:r w:rsidRPr="00B23B70">
              <w:rPr>
                <w:rFonts w:cs="Arial"/>
              </w:rPr>
              <w:t>mass or volume unit)</w:t>
            </w:r>
          </w:p>
        </w:tc>
      </w:tr>
      <w:tr w:rsidR="00041094" w:rsidRPr="00B23B70" w14:paraId="36351E0D" w14:textId="77777777" w:rsidTr="00B23B70">
        <w:tc>
          <w:tcPr>
            <w:tcW w:w="1701" w:type="dxa"/>
            <w:vAlign w:val="top"/>
          </w:tcPr>
          <w:p w14:paraId="3C31113F" w14:textId="77777777" w:rsidR="00041094" w:rsidRPr="00814DCD" w:rsidRDefault="003F6646" w:rsidP="00B23B70">
            <w:pPr>
              <w:pStyle w:val="SDMTableBoxParaNotNumbered"/>
              <w:rPr>
                <w:rFonts w:cs="Arial"/>
              </w:rPr>
            </w:pPr>
            <m:oMathPara>
              <m:oMathParaPr>
                <m:jc m:val="left"/>
              </m:oMathParaPr>
              <m:oMath>
                <m:sSub>
                  <m:sSubPr>
                    <m:ctrlPr>
                      <w:rPr>
                        <w:rFonts w:ascii="Cambria Math" w:hAnsi="Cambria Math" w:cs="Arial"/>
                        <w:i/>
                      </w:rPr>
                    </m:ctrlPr>
                  </m:sSubPr>
                  <m:e>
                    <m:r>
                      <w:rPr>
                        <w:rFonts w:ascii="Cambria Math" w:hAnsi="Cambria Math" w:cs="Arial"/>
                      </w:rPr>
                      <m:t>HG</m:t>
                    </m:r>
                  </m:e>
                  <m:sub>
                    <m:r>
                      <w:rPr>
                        <w:rFonts w:ascii="Cambria Math" w:hAnsi="Cambria Math" w:cs="Arial"/>
                      </w:rPr>
                      <m:t>p,t</m:t>
                    </m:r>
                  </m:sub>
                </m:sSub>
              </m:oMath>
            </m:oMathPara>
          </w:p>
        </w:tc>
        <w:tc>
          <w:tcPr>
            <w:tcW w:w="345" w:type="dxa"/>
            <w:vAlign w:val="top"/>
          </w:tcPr>
          <w:p w14:paraId="416F70FC" w14:textId="77777777" w:rsidR="00041094" w:rsidRPr="00B23B70" w:rsidRDefault="00041094" w:rsidP="00B23B70">
            <w:pPr>
              <w:pStyle w:val="SDMTableBoxParaNotNumbered"/>
              <w:rPr>
                <w:rFonts w:cs="Arial"/>
              </w:rPr>
            </w:pPr>
            <w:r w:rsidRPr="00B23B70">
              <w:rPr>
                <w:rFonts w:cs="Arial"/>
              </w:rPr>
              <w:t>=</w:t>
            </w:r>
          </w:p>
        </w:tc>
        <w:tc>
          <w:tcPr>
            <w:tcW w:w="0" w:type="auto"/>
            <w:vAlign w:val="top"/>
          </w:tcPr>
          <w:p w14:paraId="6B4E4EE2" w14:textId="21EB2193" w:rsidR="00041094" w:rsidRPr="00B23B70" w:rsidRDefault="00041094" w:rsidP="00B23B70">
            <w:pPr>
              <w:pStyle w:val="SDMTableBoxParaNotNumbered"/>
              <w:rPr>
                <w:rFonts w:cs="Arial"/>
              </w:rPr>
            </w:pPr>
            <w:r w:rsidRPr="00B23B70">
              <w:rPr>
                <w:rFonts w:cs="Arial"/>
              </w:rPr>
              <w:t xml:space="preserve">Quantity of heat co-generated </w:t>
            </w:r>
            <w:r w:rsidR="00B5293B" w:rsidRPr="00B23B70">
              <w:rPr>
                <w:rFonts w:cs="Arial"/>
              </w:rPr>
              <w:t xml:space="preserve">by </w:t>
            </w:r>
            <w:r w:rsidRPr="00B23B70">
              <w:rPr>
                <w:rFonts w:cs="Arial"/>
              </w:rPr>
              <w:t>captive power plant</w:t>
            </w:r>
            <w:r w:rsidRPr="00B23B70">
              <w:rPr>
                <w:rFonts w:cs="Arial"/>
                <w:i/>
              </w:rPr>
              <w:t> </w:t>
            </w:r>
            <w:r w:rsidR="756339C9" w:rsidRPr="00B23B70">
              <w:rPr>
                <w:rFonts w:cs="Arial"/>
                <w:i/>
                <w:iCs/>
              </w:rPr>
              <w:t>p</w:t>
            </w:r>
            <w:r w:rsidRPr="00B23B70">
              <w:rPr>
                <w:rFonts w:cs="Arial"/>
                <w:i/>
              </w:rPr>
              <w:t xml:space="preserve"> </w:t>
            </w:r>
            <w:r w:rsidRPr="00B23B70">
              <w:rPr>
                <w:rFonts w:cs="Arial"/>
              </w:rPr>
              <w:t>in the period</w:t>
            </w:r>
            <w:r w:rsidRPr="00B23B70">
              <w:rPr>
                <w:rFonts w:cs="Arial"/>
                <w:i/>
              </w:rPr>
              <w:t xml:space="preserve"> t </w:t>
            </w:r>
            <w:r w:rsidRPr="00B23B70">
              <w:rPr>
                <w:rFonts w:cs="Arial"/>
              </w:rPr>
              <w:t>(GJ)</w:t>
            </w:r>
          </w:p>
        </w:tc>
      </w:tr>
      <w:tr w:rsidR="00041094" w:rsidRPr="00B23B70" w14:paraId="208E2832" w14:textId="77777777" w:rsidTr="00B23B70">
        <w:tc>
          <w:tcPr>
            <w:tcW w:w="1701" w:type="dxa"/>
            <w:vAlign w:val="top"/>
          </w:tcPr>
          <w:p w14:paraId="2ECEAC92" w14:textId="77777777" w:rsidR="00041094" w:rsidRPr="00814DCD" w:rsidRDefault="003F6646" w:rsidP="00B23B70">
            <w:pPr>
              <w:pStyle w:val="SDMTableBoxParaNotNumbered"/>
              <w:rPr>
                <w:rFonts w:cs="Arial"/>
              </w:rPr>
            </w:pPr>
            <m:oMathPara>
              <m:oMathParaPr>
                <m:jc m:val="left"/>
              </m:oMathParaPr>
              <m:oMath>
                <m:sSub>
                  <m:sSubPr>
                    <m:ctrlPr>
                      <w:rPr>
                        <w:rFonts w:ascii="Cambria Math" w:hAnsi="Cambria Math" w:cs="Arial"/>
                        <w:i/>
                      </w:rPr>
                    </m:ctrlPr>
                  </m:sSubPr>
                  <m:e>
                    <m:r>
                      <w:rPr>
                        <w:rFonts w:ascii="Cambria Math" w:hAnsi="Cambria Math" w:cs="Arial"/>
                      </w:rPr>
                      <m:t>η</m:t>
                    </m:r>
                  </m:e>
                  <m:sub>
                    <m:r>
                      <w:rPr>
                        <w:rFonts w:ascii="Cambria Math" w:hAnsi="Cambria Math" w:cs="Arial"/>
                      </w:rPr>
                      <m:t>boiler</m:t>
                    </m:r>
                  </m:sub>
                </m:sSub>
              </m:oMath>
            </m:oMathPara>
          </w:p>
        </w:tc>
        <w:tc>
          <w:tcPr>
            <w:tcW w:w="345" w:type="dxa"/>
            <w:vAlign w:val="top"/>
          </w:tcPr>
          <w:p w14:paraId="49BF1A55" w14:textId="77777777" w:rsidR="00041094" w:rsidRPr="00B23B70" w:rsidRDefault="00041094" w:rsidP="00B23B70">
            <w:pPr>
              <w:pStyle w:val="SDMTableBoxParaNotNumbered"/>
              <w:rPr>
                <w:rFonts w:cs="Arial"/>
              </w:rPr>
            </w:pPr>
            <w:r w:rsidRPr="00B23B70">
              <w:rPr>
                <w:rFonts w:cs="Arial"/>
              </w:rPr>
              <w:t>=</w:t>
            </w:r>
          </w:p>
        </w:tc>
        <w:tc>
          <w:tcPr>
            <w:tcW w:w="0" w:type="auto"/>
            <w:vAlign w:val="top"/>
          </w:tcPr>
          <w:p w14:paraId="4361F8AF" w14:textId="6E70A5A5" w:rsidR="00041094" w:rsidRPr="00B23B70" w:rsidRDefault="00041094" w:rsidP="00B23B70">
            <w:pPr>
              <w:pStyle w:val="SDMTableBoxParaNotNumbered"/>
              <w:rPr>
                <w:rFonts w:cs="Arial"/>
              </w:rPr>
            </w:pPr>
            <w:r w:rsidRPr="00B23B70">
              <w:rPr>
                <w:rFonts w:cs="Arial"/>
              </w:rPr>
              <w:t>Efficiency of the boiler assumed to generate</w:t>
            </w:r>
            <w:r w:rsidR="00A2723C" w:rsidRPr="00B23B70">
              <w:rPr>
                <w:rFonts w:cs="Arial"/>
              </w:rPr>
              <w:t xml:space="preserve"> heat</w:t>
            </w:r>
            <w:r w:rsidRPr="00B23B70">
              <w:rPr>
                <w:rFonts w:cs="Arial"/>
              </w:rPr>
              <w:t xml:space="preserve"> in the absence of cogeneration</w:t>
            </w:r>
          </w:p>
        </w:tc>
      </w:tr>
      <w:tr w:rsidR="00041094" w:rsidRPr="00B23B70" w14:paraId="5D19395E" w14:textId="77777777" w:rsidTr="00B23B70">
        <w:tc>
          <w:tcPr>
            <w:tcW w:w="1701" w:type="dxa"/>
            <w:vAlign w:val="top"/>
          </w:tcPr>
          <w:p w14:paraId="08A8B8BF" w14:textId="77777777" w:rsidR="00041094" w:rsidRPr="00814DCD" w:rsidRDefault="003F6646" w:rsidP="00B23B70">
            <w:pPr>
              <w:pStyle w:val="SDMTableBoxParaNotNumbered"/>
              <w:rPr>
                <w:rFonts w:cs="Arial"/>
              </w:rPr>
            </w:pPr>
            <m:oMathPara>
              <m:oMathParaPr>
                <m:jc m:val="left"/>
              </m:oMathParaPr>
              <m:oMath>
                <m:sSub>
                  <m:sSubPr>
                    <m:ctrlPr>
                      <w:rPr>
                        <w:rFonts w:ascii="Cambria Math" w:hAnsi="Cambria Math" w:cs="Arial"/>
                        <w:i/>
                      </w:rPr>
                    </m:ctrlPr>
                  </m:sSubPr>
                  <m:e>
                    <m:r>
                      <w:rPr>
                        <w:rFonts w:ascii="Cambria Math" w:hAnsi="Cambria Math" w:cs="Arial"/>
                      </w:rPr>
                      <m:t>EF</m:t>
                    </m:r>
                  </m:e>
                  <m:sub>
                    <m:r>
                      <w:rPr>
                        <w:rFonts w:ascii="Cambria Math" w:hAnsi="Cambria Math" w:cs="Arial"/>
                      </w:rPr>
                      <m:t>CO2,p,t</m:t>
                    </m:r>
                  </m:sub>
                </m:sSub>
              </m:oMath>
            </m:oMathPara>
          </w:p>
        </w:tc>
        <w:tc>
          <w:tcPr>
            <w:tcW w:w="345" w:type="dxa"/>
            <w:vAlign w:val="top"/>
          </w:tcPr>
          <w:p w14:paraId="4BC41BCD" w14:textId="77777777" w:rsidR="00041094" w:rsidRPr="00B23B70" w:rsidRDefault="00041094" w:rsidP="00B23B70">
            <w:pPr>
              <w:pStyle w:val="SDMTableBoxParaNotNumbered"/>
              <w:rPr>
                <w:rFonts w:cs="Arial"/>
              </w:rPr>
            </w:pPr>
            <w:r w:rsidRPr="00B23B70">
              <w:rPr>
                <w:rFonts w:cs="Arial"/>
              </w:rPr>
              <w:t>=</w:t>
            </w:r>
          </w:p>
        </w:tc>
        <w:tc>
          <w:tcPr>
            <w:tcW w:w="0" w:type="auto"/>
            <w:vAlign w:val="top"/>
          </w:tcPr>
          <w:p w14:paraId="3D6B6BF4" w14:textId="69A7377A" w:rsidR="00041094" w:rsidRPr="00B23B70" w:rsidRDefault="00041094" w:rsidP="00B23B70">
            <w:pPr>
              <w:pStyle w:val="SDMTableBoxParaNotNumbered"/>
              <w:rPr>
                <w:rFonts w:cs="Arial"/>
              </w:rPr>
            </w:pPr>
            <w:r w:rsidRPr="00B23B70">
              <w:rPr>
                <w:rFonts w:cs="Arial"/>
              </w:rPr>
              <w:t>Average CO</w:t>
            </w:r>
            <w:r w:rsidRPr="00B23B70">
              <w:rPr>
                <w:rFonts w:cs="Arial"/>
                <w:vertAlign w:val="subscript"/>
              </w:rPr>
              <w:t>2</w:t>
            </w:r>
            <w:r w:rsidRPr="00B23B70">
              <w:rPr>
                <w:rFonts w:cs="Arial"/>
              </w:rPr>
              <w:t xml:space="preserve"> emission factor of fossil fuels fired in captive power plant</w:t>
            </w:r>
            <w:r w:rsidRPr="00B23B70">
              <w:rPr>
                <w:rFonts w:cs="Arial"/>
                <w:i/>
              </w:rPr>
              <w:t> </w:t>
            </w:r>
            <w:r w:rsidR="756339C9" w:rsidRPr="00B23B70">
              <w:rPr>
                <w:rFonts w:cs="Arial"/>
                <w:i/>
                <w:iCs/>
              </w:rPr>
              <w:t>p</w:t>
            </w:r>
            <w:r w:rsidRPr="00B23B70">
              <w:rPr>
                <w:rFonts w:cs="Arial"/>
                <w:i/>
              </w:rPr>
              <w:t xml:space="preserve"> </w:t>
            </w:r>
            <w:r w:rsidRPr="00B23B70">
              <w:rPr>
                <w:rFonts w:cs="Arial"/>
              </w:rPr>
              <w:t>in period</w:t>
            </w:r>
            <w:r w:rsidRPr="00B23B70">
              <w:rPr>
                <w:rFonts w:cs="Arial"/>
                <w:i/>
              </w:rPr>
              <w:t xml:space="preserve"> t </w:t>
            </w:r>
            <w:r w:rsidRPr="00B23B70">
              <w:rPr>
                <w:rFonts w:cs="Arial"/>
              </w:rPr>
              <w:t>(t </w:t>
            </w:r>
            <w:r w:rsidR="489A97D6" w:rsidRPr="00B23B70">
              <w:rPr>
                <w:rFonts w:cs="Arial"/>
              </w:rPr>
              <w:t>CO</w:t>
            </w:r>
            <w:r w:rsidR="489A97D6" w:rsidRPr="00B23B70">
              <w:rPr>
                <w:rFonts w:cs="Arial"/>
                <w:vertAlign w:val="subscript"/>
              </w:rPr>
              <w:t>2</w:t>
            </w:r>
            <w:r w:rsidR="00FC11BA">
              <w:rPr>
                <w:rFonts w:cs="Arial"/>
              </w:rPr>
              <w:t> / </w:t>
            </w:r>
            <w:r w:rsidRPr="00B23B70">
              <w:rPr>
                <w:rFonts w:cs="Arial"/>
              </w:rPr>
              <w:t>GJ)</w:t>
            </w:r>
          </w:p>
        </w:tc>
      </w:tr>
      <w:tr w:rsidR="00041094" w:rsidRPr="00B23B70" w14:paraId="3254E8C8" w14:textId="77777777" w:rsidTr="00B23B70">
        <w:tc>
          <w:tcPr>
            <w:tcW w:w="1701" w:type="dxa"/>
            <w:vAlign w:val="top"/>
          </w:tcPr>
          <w:p w14:paraId="2BBAC129" w14:textId="16E0B187" w:rsidR="00041094" w:rsidRPr="00AD2370" w:rsidRDefault="003F6646" w:rsidP="00B23B70">
            <w:pPr>
              <w:pStyle w:val="SDMTableBoxParaNotNumbered"/>
              <w:rPr>
                <w:rFonts w:cs="Arial"/>
                <w:highlight w:val="yellow"/>
              </w:rPr>
            </w:pPr>
            <m:oMathPara>
              <m:oMathParaPr>
                <m:jc m:val="left"/>
              </m:oMathParaPr>
              <m:oMath>
                <m:sSub>
                  <m:sSubPr>
                    <m:ctrlPr>
                      <w:rPr>
                        <w:rFonts w:ascii="Cambria Math" w:hAnsi="Cambria Math" w:cs="Arial"/>
                        <w:i/>
                      </w:rPr>
                    </m:ctrlPr>
                  </m:sSubPr>
                  <m:e>
                    <m:r>
                      <w:rPr>
                        <w:rFonts w:ascii="Cambria Math" w:hAnsi="Cambria Math" w:cs="Arial"/>
                      </w:rPr>
                      <m:t>EG</m:t>
                    </m:r>
                  </m:e>
                  <m:sub>
                    <m:r>
                      <w:rPr>
                        <w:rFonts w:ascii="Cambria Math" w:hAnsi="Cambria Math" w:cs="Arial"/>
                      </w:rPr>
                      <m:t>p,t</m:t>
                    </m:r>
                  </m:sub>
                </m:sSub>
              </m:oMath>
            </m:oMathPara>
          </w:p>
        </w:tc>
        <w:tc>
          <w:tcPr>
            <w:tcW w:w="345" w:type="dxa"/>
            <w:vAlign w:val="top"/>
          </w:tcPr>
          <w:p w14:paraId="36911EF5" w14:textId="77777777" w:rsidR="00041094" w:rsidRPr="00B23B70" w:rsidRDefault="00041094" w:rsidP="00B23B70">
            <w:pPr>
              <w:pStyle w:val="SDMTableBoxParaNotNumbered"/>
              <w:rPr>
                <w:rFonts w:cs="Arial"/>
              </w:rPr>
            </w:pPr>
            <w:r w:rsidRPr="00B23B70">
              <w:rPr>
                <w:rFonts w:cs="Arial"/>
              </w:rPr>
              <w:t>=</w:t>
            </w:r>
          </w:p>
        </w:tc>
        <w:tc>
          <w:tcPr>
            <w:tcW w:w="0" w:type="auto"/>
            <w:vAlign w:val="top"/>
          </w:tcPr>
          <w:p w14:paraId="785D6768" w14:textId="2B723367" w:rsidR="00041094" w:rsidRPr="00B23B70" w:rsidRDefault="00041094" w:rsidP="00B23B70">
            <w:pPr>
              <w:pStyle w:val="SDMTableBoxParaNotNumbered"/>
              <w:rPr>
                <w:rFonts w:cs="Arial"/>
              </w:rPr>
            </w:pPr>
            <w:r w:rsidRPr="00B23B70">
              <w:rPr>
                <w:rFonts w:cs="Arial"/>
              </w:rPr>
              <w:t xml:space="preserve">Quantity of electricity generated </w:t>
            </w:r>
            <w:r w:rsidR="00DB0AE8" w:rsidRPr="00B23B70">
              <w:rPr>
                <w:rFonts w:cs="Arial"/>
              </w:rPr>
              <w:t>by</w:t>
            </w:r>
            <w:r w:rsidRPr="00B23B70">
              <w:rPr>
                <w:rFonts w:cs="Arial"/>
              </w:rPr>
              <w:t xml:space="preserve"> captive power plant</w:t>
            </w:r>
            <w:r w:rsidRPr="00B23B70">
              <w:rPr>
                <w:rFonts w:cs="Arial"/>
                <w:i/>
              </w:rPr>
              <w:t> </w:t>
            </w:r>
            <w:r w:rsidR="0FD8AEA5" w:rsidRPr="00B23B70">
              <w:rPr>
                <w:rFonts w:cs="Arial"/>
                <w:i/>
                <w:iCs/>
              </w:rPr>
              <w:t>p</w:t>
            </w:r>
            <w:r w:rsidRPr="00B23B70">
              <w:rPr>
                <w:rFonts w:cs="Arial"/>
                <w:i/>
              </w:rPr>
              <w:t xml:space="preserve"> </w:t>
            </w:r>
            <w:r w:rsidRPr="00B23B70">
              <w:rPr>
                <w:rFonts w:cs="Arial"/>
              </w:rPr>
              <w:t>in period</w:t>
            </w:r>
            <w:r w:rsidRPr="00B23B70">
              <w:rPr>
                <w:rFonts w:cs="Arial"/>
                <w:i/>
              </w:rPr>
              <w:t xml:space="preserve"> t </w:t>
            </w:r>
            <w:r w:rsidRPr="00B23B70">
              <w:rPr>
                <w:rFonts w:cs="Arial"/>
              </w:rPr>
              <w:t>(MWh)</w:t>
            </w:r>
          </w:p>
        </w:tc>
      </w:tr>
      <w:tr w:rsidR="007116DD" w:rsidRPr="00B23B70" w14:paraId="4BB583FD" w14:textId="77777777" w:rsidTr="00B23B70">
        <w:tc>
          <w:tcPr>
            <w:tcW w:w="1701" w:type="dxa"/>
            <w:vAlign w:val="top"/>
          </w:tcPr>
          <w:p w14:paraId="7E731EFD" w14:textId="77777777" w:rsidR="007116DD" w:rsidRPr="00B23B70" w:rsidRDefault="00000DE0" w:rsidP="00B23B70">
            <w:pPr>
              <w:pStyle w:val="SDMTableBoxParaNotNumbered"/>
              <w:rPr>
                <w:rFonts w:cs="Arial"/>
              </w:rPr>
            </w:pPr>
            <m:oMathPara>
              <m:oMathParaPr>
                <m:jc m:val="left"/>
              </m:oMathParaPr>
              <m:oMath>
                <m:r>
                  <w:rPr>
                    <w:rFonts w:ascii="Cambria Math" w:hAnsi="Cambria Math" w:cs="Arial"/>
                  </w:rPr>
                  <m:t>p</m:t>
                </m:r>
              </m:oMath>
            </m:oMathPara>
          </w:p>
        </w:tc>
        <w:tc>
          <w:tcPr>
            <w:tcW w:w="345" w:type="dxa"/>
            <w:vAlign w:val="top"/>
          </w:tcPr>
          <w:p w14:paraId="2178C40D" w14:textId="77777777" w:rsidR="007116DD" w:rsidRPr="00B23B70" w:rsidRDefault="007116DD" w:rsidP="00B23B70">
            <w:pPr>
              <w:pStyle w:val="SDMTableBoxParaNotNumbered"/>
              <w:rPr>
                <w:rFonts w:cs="Arial"/>
              </w:rPr>
            </w:pPr>
            <w:r w:rsidRPr="00B23B70">
              <w:rPr>
                <w:rFonts w:cs="Arial"/>
              </w:rPr>
              <w:t>=</w:t>
            </w:r>
          </w:p>
        </w:tc>
        <w:tc>
          <w:tcPr>
            <w:tcW w:w="0" w:type="auto"/>
            <w:vAlign w:val="top"/>
          </w:tcPr>
          <w:p w14:paraId="3105EF2E" w14:textId="6EC74A0C" w:rsidR="007116DD" w:rsidRPr="00B23B70" w:rsidRDefault="4EE7AB7F" w:rsidP="00B23B70">
            <w:pPr>
              <w:pStyle w:val="SDMTableBoxParaNotNumbered"/>
              <w:rPr>
                <w:rFonts w:cs="Arial"/>
              </w:rPr>
            </w:pPr>
            <w:r w:rsidRPr="00B23B70">
              <w:rPr>
                <w:rFonts w:cs="Arial"/>
              </w:rPr>
              <w:t xml:space="preserve">Fossil fuel fired captive power plants </w:t>
            </w:r>
            <w:r w:rsidR="4F655ADB" w:rsidRPr="00B23B70">
              <w:rPr>
                <w:rFonts w:cs="Arial"/>
              </w:rPr>
              <w:t>identified</w:t>
            </w:r>
            <w:r w:rsidR="0EB039AF" w:rsidRPr="00B23B70">
              <w:rPr>
                <w:rFonts w:cs="Arial"/>
              </w:rPr>
              <w:t xml:space="preserve"> in </w:t>
            </w:r>
            <w:r w:rsidR="00F91AA9" w:rsidRPr="00B23B70">
              <w:rPr>
                <w:rFonts w:cs="Arial"/>
              </w:rPr>
              <w:t>step</w:t>
            </w:r>
            <w:r w:rsidR="006F7A0B">
              <w:rPr>
                <w:rFonts w:cs="Arial"/>
              </w:rPr>
              <w:t> </w:t>
            </w:r>
            <w:r w:rsidR="0EB039AF" w:rsidRPr="00B23B70">
              <w:rPr>
                <w:rFonts w:cs="Arial"/>
              </w:rPr>
              <w:t>2</w:t>
            </w:r>
          </w:p>
        </w:tc>
      </w:tr>
      <w:tr w:rsidR="007116DD" w:rsidRPr="00B23B70" w14:paraId="7D879805" w14:textId="77777777" w:rsidTr="00B23B70">
        <w:tc>
          <w:tcPr>
            <w:tcW w:w="1701" w:type="dxa"/>
            <w:vAlign w:val="top"/>
          </w:tcPr>
          <w:p w14:paraId="0D95574E" w14:textId="77777777" w:rsidR="007116DD" w:rsidRPr="00B23B70" w:rsidRDefault="007116DD" w:rsidP="00B23B70">
            <w:pPr>
              <w:pStyle w:val="SDMTableBoxParaNotNumbered"/>
              <w:rPr>
                <w:rFonts w:cs="Arial"/>
              </w:rPr>
            </w:pPr>
            <m:oMathPara>
              <m:oMathParaPr>
                <m:jc m:val="left"/>
              </m:oMathParaPr>
              <m:oMath>
                <m:r>
                  <w:rPr>
                    <w:rFonts w:ascii="Cambria Math" w:hAnsi="Cambria Math" w:cs="Arial"/>
                  </w:rPr>
                  <m:t>t</m:t>
                </m:r>
              </m:oMath>
            </m:oMathPara>
          </w:p>
        </w:tc>
        <w:tc>
          <w:tcPr>
            <w:tcW w:w="345" w:type="dxa"/>
            <w:vAlign w:val="top"/>
          </w:tcPr>
          <w:p w14:paraId="35430F5F" w14:textId="77777777" w:rsidR="007116DD" w:rsidRPr="00B23B70" w:rsidRDefault="007116DD" w:rsidP="00B23B70">
            <w:pPr>
              <w:pStyle w:val="SDMTableBoxParaNotNumbered"/>
              <w:rPr>
                <w:rFonts w:cs="Arial"/>
              </w:rPr>
            </w:pPr>
            <w:r w:rsidRPr="00B23B70">
              <w:rPr>
                <w:rFonts w:cs="Arial"/>
              </w:rPr>
              <w:t>=</w:t>
            </w:r>
          </w:p>
        </w:tc>
        <w:tc>
          <w:tcPr>
            <w:tcW w:w="0" w:type="auto"/>
            <w:vAlign w:val="top"/>
          </w:tcPr>
          <w:p w14:paraId="68B186A7" w14:textId="483FEBFD" w:rsidR="007116DD" w:rsidRPr="00B23B70" w:rsidRDefault="04B2545F" w:rsidP="00B23B70">
            <w:pPr>
              <w:pStyle w:val="SDMTableBoxParaNotNumbered"/>
              <w:rPr>
                <w:rFonts w:cs="Arial"/>
              </w:rPr>
            </w:pPr>
            <w:r w:rsidRPr="00B23B70">
              <w:rPr>
                <w:rFonts w:cs="Arial"/>
              </w:rPr>
              <w:t>P</w:t>
            </w:r>
            <w:r w:rsidR="56D91EEC" w:rsidRPr="00B23B70">
              <w:rPr>
                <w:rFonts w:cs="Arial"/>
              </w:rPr>
              <w:t>eriod</w:t>
            </w:r>
            <w:r w:rsidR="007116DD" w:rsidRPr="00B23B70">
              <w:rPr>
                <w:rFonts w:cs="Arial"/>
              </w:rPr>
              <w:t xml:space="preserve"> for which the emission factor for electricity generation is determined (see </w:t>
            </w:r>
            <w:r w:rsidR="00E02229" w:rsidRPr="00B23B70">
              <w:rPr>
                <w:rFonts w:cs="Arial"/>
              </w:rPr>
              <w:t>paragraph</w:t>
            </w:r>
            <w:r w:rsidR="007967A9">
              <w:rPr>
                <w:rFonts w:cs="Arial"/>
              </w:rPr>
              <w:t> </w:t>
            </w:r>
            <w:r w:rsidR="00962CCB" w:rsidRPr="00B23B70">
              <w:rPr>
                <w:rFonts w:cs="Arial"/>
              </w:rPr>
              <w:fldChar w:fldCharType="begin"/>
            </w:r>
            <w:r w:rsidR="00962CCB" w:rsidRPr="00B23B70">
              <w:rPr>
                <w:rFonts w:cs="Arial"/>
              </w:rPr>
              <w:instrText xml:space="preserve"> REF _Ref219693154 \w \h </w:instrText>
            </w:r>
            <w:r w:rsidR="00B23B70" w:rsidRPr="00B23B70">
              <w:rPr>
                <w:rFonts w:cs="Arial"/>
              </w:rPr>
              <w:instrText xml:space="preserve"> \* MERGEFORMAT </w:instrText>
            </w:r>
            <w:r w:rsidR="00962CCB" w:rsidRPr="00B23B70">
              <w:rPr>
                <w:rFonts w:cs="Arial"/>
              </w:rPr>
            </w:r>
            <w:r w:rsidR="00962CCB" w:rsidRPr="00B23B70">
              <w:rPr>
                <w:rFonts w:cs="Arial"/>
              </w:rPr>
              <w:fldChar w:fldCharType="separate"/>
            </w:r>
            <w:r w:rsidR="003B0135">
              <w:rPr>
                <w:rFonts w:cs="Arial"/>
                <w:cs/>
              </w:rPr>
              <w:t>‎</w:t>
            </w:r>
            <w:r w:rsidR="003B0135">
              <w:rPr>
                <w:rFonts w:cs="Arial"/>
              </w:rPr>
              <w:t>116</w:t>
            </w:r>
            <w:r w:rsidR="00962CCB" w:rsidRPr="00B23B70">
              <w:rPr>
                <w:rFonts w:cs="Arial"/>
              </w:rPr>
              <w:fldChar w:fldCharType="end"/>
            </w:r>
            <w:r w:rsidR="007116DD" w:rsidRPr="00B23B70">
              <w:rPr>
                <w:rFonts w:cs="Arial"/>
              </w:rPr>
              <w:t>)</w:t>
            </w:r>
          </w:p>
        </w:tc>
      </w:tr>
    </w:tbl>
    <w:p w14:paraId="55DFF279" w14:textId="77777777" w:rsidR="00C07F4A" w:rsidRDefault="00C07F4A" w:rsidP="00F62D64">
      <w:pPr>
        <w:pStyle w:val="SDMPara"/>
        <w:keepNext/>
      </w:pPr>
      <w:bookmarkStart w:id="748" w:name="_Ref219693154"/>
      <w:r>
        <w:t>The period</w:t>
      </w:r>
      <w:r w:rsidR="00B141B0">
        <w:t> </w:t>
      </w:r>
      <w:r w:rsidRPr="00604E75">
        <w:rPr>
          <w:i/>
          <w:iCs/>
        </w:rPr>
        <w:t>t</w:t>
      </w:r>
      <w:r>
        <w:t xml:space="preserve"> </w:t>
      </w:r>
      <w:r w:rsidR="00B5700C">
        <w:t>shall</w:t>
      </w:r>
      <w:r>
        <w:t xml:space="preserve"> correspond to:</w:t>
      </w:r>
      <w:bookmarkEnd w:id="748"/>
    </w:p>
    <w:p w14:paraId="0B65F323" w14:textId="551C4E7E" w:rsidR="00C07F4A" w:rsidRDefault="11E3B292" w:rsidP="00F62D64">
      <w:pPr>
        <w:pStyle w:val="SDMSubPara1"/>
        <w:keepNext/>
      </w:pPr>
      <w:r>
        <w:t>The monitored period (e.g.</w:t>
      </w:r>
      <w:r w:rsidR="0BD8E990">
        <w:t>,</w:t>
      </w:r>
      <w:r>
        <w:t xml:space="preserve"> the year</w:t>
      </w:r>
      <w:r w:rsidR="00B141B0">
        <w:t> </w:t>
      </w:r>
      <w:r w:rsidRPr="00465F76">
        <w:rPr>
          <w:i/>
        </w:rPr>
        <w:t>y</w:t>
      </w:r>
      <w:r>
        <w:t>) for</w:t>
      </w:r>
      <w:r w:rsidR="70609787">
        <w:t>:</w:t>
      </w:r>
    </w:p>
    <w:p w14:paraId="612D3DC2" w14:textId="0F1883DC" w:rsidR="00C07F4A" w:rsidRPr="00780E96" w:rsidRDefault="6A808FA9" w:rsidP="00B15AC9">
      <w:pPr>
        <w:pStyle w:val="SDMSubPara2"/>
      </w:pPr>
      <w:r>
        <w:t xml:space="preserve">Determining </w:t>
      </w:r>
      <w:r w:rsidR="00F122BD" w:rsidRPr="00780E96">
        <w:t xml:space="preserve">project </w:t>
      </w:r>
      <w:r w:rsidR="11E3B292" w:rsidRPr="00780E96">
        <w:t>and leakage</w:t>
      </w:r>
      <w:r w:rsidR="5D54B44E" w:rsidRPr="00780E96">
        <w:t xml:space="preserve"> emissions of</w:t>
      </w:r>
      <w:r w:rsidR="11E3B292" w:rsidRPr="00780E96">
        <w:t xml:space="preserve"> electricity consumption </w:t>
      </w:r>
      <w:r w:rsidR="00B365B0" w:rsidRPr="00780E96">
        <w:t>source </w:t>
      </w:r>
      <w:r w:rsidR="00B365B0" w:rsidRPr="00780E96">
        <w:rPr>
          <w:i/>
          <w:iCs/>
        </w:rPr>
        <w:t>s</w:t>
      </w:r>
      <w:r w:rsidR="11E3B292" w:rsidRPr="00780E96">
        <w:t>;</w:t>
      </w:r>
      <w:r w:rsidR="6814BD07" w:rsidRPr="00780E96">
        <w:t xml:space="preserve"> or</w:t>
      </w:r>
    </w:p>
    <w:p w14:paraId="1FA73696" w14:textId="4780380A" w:rsidR="00C07F4A" w:rsidRPr="00780E96" w:rsidRDefault="1935C55D" w:rsidP="00F65332">
      <w:pPr>
        <w:pStyle w:val="SDMSubPara2"/>
      </w:pPr>
      <w:r w:rsidRPr="00780E96">
        <w:t>Determining</w:t>
      </w:r>
      <w:r w:rsidR="6814BD07" w:rsidRPr="00780E96">
        <w:t xml:space="preserve"> </w:t>
      </w:r>
      <w:r w:rsidR="15D318F4" w:rsidRPr="00780E96">
        <w:t>b</w:t>
      </w:r>
      <w:r w:rsidR="0C4BA903" w:rsidRPr="00780E96">
        <w:t>aseline</w:t>
      </w:r>
      <w:r w:rsidR="79DD1B73" w:rsidRPr="00780E96">
        <w:t xml:space="preserve"> </w:t>
      </w:r>
      <w:r w:rsidR="3D408C1C" w:rsidRPr="00780E96">
        <w:t>emissions</w:t>
      </w:r>
      <w:r w:rsidR="0F69372B" w:rsidRPr="00780E96">
        <w:t xml:space="preserve"> </w:t>
      </w:r>
      <w:r w:rsidR="5B67ACCB" w:rsidRPr="00780E96">
        <w:t>where</w:t>
      </w:r>
      <w:r w:rsidR="0F69372B" w:rsidRPr="00780E96">
        <w:t xml:space="preserve"> </w:t>
      </w:r>
      <w:r w:rsidR="11E3B292" w:rsidRPr="00780E96">
        <w:t xml:space="preserve">existing or new captive power plant(s) are operated at the site of the </w:t>
      </w:r>
      <w:r w:rsidR="2E1A918D" w:rsidRPr="00780E96">
        <w:t xml:space="preserve">electricity </w:t>
      </w:r>
      <w:r w:rsidR="10B536E5" w:rsidRPr="00780E96">
        <w:t>generation</w:t>
      </w:r>
      <w:r w:rsidR="00EE5FC1" w:rsidRPr="00780E96">
        <w:t xml:space="preserve"> or </w:t>
      </w:r>
      <w:r w:rsidR="13FB72B8" w:rsidRPr="00780E96">
        <w:t xml:space="preserve">consumption </w:t>
      </w:r>
      <w:r w:rsidR="007F5A45" w:rsidRPr="00780E96">
        <w:t>source </w:t>
      </w:r>
      <w:r w:rsidR="007F5A45" w:rsidRPr="00780E96">
        <w:rPr>
          <w:i/>
          <w:iCs/>
        </w:rPr>
        <w:t>s</w:t>
      </w:r>
      <w:r w:rsidR="56A50451" w:rsidRPr="00780E96">
        <w:t xml:space="preserve"> during the monitored period</w:t>
      </w:r>
      <w:r w:rsidR="00CD0585" w:rsidRPr="00780E96">
        <w:t>; or</w:t>
      </w:r>
    </w:p>
    <w:p w14:paraId="6CE5DCAD" w14:textId="3A87508F" w:rsidR="00C07F4A" w:rsidRDefault="11E3B292" w:rsidP="00F65332">
      <w:pPr>
        <w:pStyle w:val="SDMSubPara2"/>
      </w:pPr>
      <w:r w:rsidRPr="00780E96">
        <w:t xml:space="preserve">The most recent </w:t>
      </w:r>
      <w:r w:rsidR="00CD0585" w:rsidRPr="00780E96">
        <w:t xml:space="preserve">three </w:t>
      </w:r>
      <w:r w:rsidRPr="00780E96">
        <w:t xml:space="preserve">historical years prior to the implementation of the </w:t>
      </w:r>
      <w:r w:rsidR="000F0C4B" w:rsidRPr="00780E96">
        <w:t>Article 6.4</w:t>
      </w:r>
      <w:r w:rsidRPr="00780E96">
        <w:t xml:space="preserve"> </w:t>
      </w:r>
      <w:r w:rsidR="00DF3097" w:rsidRPr="00780E96">
        <w:rPr>
          <w:rFonts w:eastAsia="Arial"/>
        </w:rPr>
        <w:t>project or CP</w:t>
      </w:r>
      <w:r w:rsidR="00DF3097" w:rsidRPr="00780E96">
        <w:t xml:space="preserve"> </w:t>
      </w:r>
      <w:r w:rsidRPr="00780E96">
        <w:t>for</w:t>
      </w:r>
      <w:r>
        <w:t xml:space="preserve"> </w:t>
      </w:r>
      <w:r w:rsidR="19068CCA">
        <w:t>determi</w:t>
      </w:r>
      <w:r w:rsidR="544F07C6">
        <w:t>ni</w:t>
      </w:r>
      <w:r w:rsidR="19068CCA">
        <w:t xml:space="preserve">ng </w:t>
      </w:r>
      <w:r>
        <w:t>baseline</w:t>
      </w:r>
      <w:r w:rsidR="7037271E">
        <w:t xml:space="preserve"> emissions</w:t>
      </w:r>
      <w:r>
        <w:t xml:space="preserve"> </w:t>
      </w:r>
      <w:r w:rsidR="23C3BB1E">
        <w:t>where</w:t>
      </w:r>
      <w:r>
        <w:t xml:space="preserve"> no captive power plant is operated at the site of the </w:t>
      </w:r>
      <w:r w:rsidR="290684E0">
        <w:t>electricity generation</w:t>
      </w:r>
      <w:r w:rsidR="00CF1DFE">
        <w:t xml:space="preserve"> or </w:t>
      </w:r>
      <w:r w:rsidR="290684E0">
        <w:t xml:space="preserve">consumption </w:t>
      </w:r>
      <w:r w:rsidR="007F5A45">
        <w:t>source </w:t>
      </w:r>
      <w:r w:rsidR="007F5A45" w:rsidRPr="00563551">
        <w:rPr>
          <w:i/>
          <w:iCs/>
        </w:rPr>
        <w:t>s</w:t>
      </w:r>
      <w:r w:rsidR="290684E0">
        <w:t xml:space="preserve"> during the monitored period</w:t>
      </w:r>
      <w:r>
        <w:t>.</w:t>
      </w:r>
    </w:p>
    <w:p w14:paraId="494FBDED" w14:textId="7E378427" w:rsidR="00C07F4A" w:rsidRDefault="00C07F4A" w:rsidP="00412F39">
      <w:pPr>
        <w:pStyle w:val="SDMPara"/>
        <w:keepNext/>
      </w:pPr>
      <w:r>
        <w:t>The average CO</w:t>
      </w:r>
      <w:r w:rsidRPr="00A02BC1">
        <w:rPr>
          <w:vertAlign w:val="subscript"/>
        </w:rPr>
        <w:t>2</w:t>
      </w:r>
      <w:r>
        <w:t xml:space="preserve"> emission factor of the fossil fuels fired in </w:t>
      </w:r>
      <w:r w:rsidR="3234B163">
        <w:t xml:space="preserve">fossil-fuel fired </w:t>
      </w:r>
      <w:r>
        <w:t>captive power plant</w:t>
      </w:r>
      <w:r w:rsidR="0002672B">
        <w:t> </w:t>
      </w:r>
      <w:r w:rsidR="6F0C42AD" w:rsidRPr="00465F76">
        <w:rPr>
          <w:i/>
          <w:iCs/>
        </w:rPr>
        <w:t>p</w:t>
      </w:r>
      <w:r>
        <w:t xml:space="preserve"> (</w:t>
      </w:r>
      <w:r w:rsidRPr="00315B83">
        <w:rPr>
          <w:i/>
          <w:iCs/>
        </w:rPr>
        <w:t>EF</w:t>
      </w:r>
      <w:r w:rsidRPr="00315B83">
        <w:rPr>
          <w:i/>
          <w:iCs/>
          <w:vertAlign w:val="subscript"/>
        </w:rPr>
        <w:t>CO</w:t>
      </w:r>
      <w:r w:rsidR="00A02BC1" w:rsidRPr="00315B83">
        <w:rPr>
          <w:i/>
          <w:iCs/>
          <w:vertAlign w:val="subscript"/>
        </w:rPr>
        <w:t>2</w:t>
      </w:r>
      <w:r w:rsidRPr="00315B83">
        <w:rPr>
          <w:i/>
          <w:iCs/>
          <w:vertAlign w:val="subscript"/>
        </w:rPr>
        <w:t>,</w:t>
      </w:r>
      <w:r w:rsidR="23623509" w:rsidRPr="07B1BF5F">
        <w:rPr>
          <w:i/>
          <w:iCs/>
          <w:vertAlign w:val="subscript"/>
        </w:rPr>
        <w:t>p</w:t>
      </w:r>
      <w:r w:rsidRPr="00315B83">
        <w:rPr>
          <w:i/>
          <w:iCs/>
          <w:vertAlign w:val="subscript"/>
        </w:rPr>
        <w:t>,t</w:t>
      </w:r>
      <w:r>
        <w:t xml:space="preserve">) </w:t>
      </w:r>
      <w:r w:rsidR="0002672B">
        <w:t>shall be</w:t>
      </w:r>
      <w:r>
        <w:t xml:space="preserve"> determined as follows:</w:t>
      </w:r>
    </w:p>
    <w:p w14:paraId="1336084A" w14:textId="755974C5" w:rsidR="00C07F4A" w:rsidRDefault="0085647E" w:rsidP="00B15AC9">
      <w:pPr>
        <w:pStyle w:val="SDMSubPara1"/>
      </w:pPr>
      <w:r>
        <w:t>Where a</w:t>
      </w:r>
      <w:r w:rsidR="00C07F4A">
        <w:t xml:space="preserve"> </w:t>
      </w:r>
      <w:r w:rsidR="37DCA865">
        <w:t>fossil-fuel fired</w:t>
      </w:r>
      <w:r w:rsidR="00C07F4A">
        <w:t xml:space="preserve"> captive power plant</w:t>
      </w:r>
      <w:r>
        <w:t xml:space="preserve"> has used</w:t>
      </w:r>
      <w:r w:rsidR="00C07F4A">
        <w:t xml:space="preserve"> only </w:t>
      </w:r>
      <w:r w:rsidR="00AC33E8">
        <w:t xml:space="preserve">a </w:t>
      </w:r>
      <w:r w:rsidR="00C07F4A">
        <w:t xml:space="preserve">single fuel type since the start of operation (except </w:t>
      </w:r>
      <w:r w:rsidR="73FB0075">
        <w:t xml:space="preserve">for a </w:t>
      </w:r>
      <w:r w:rsidR="00C07F4A">
        <w:t>small amount of start-up fuel), use the CO</w:t>
      </w:r>
      <w:r w:rsidR="00C07F4A" w:rsidRPr="00B15AC9">
        <w:rPr>
          <w:vertAlign w:val="subscript"/>
        </w:rPr>
        <w:t>2</w:t>
      </w:r>
      <w:r w:rsidR="00C07F4A">
        <w:t xml:space="preserve"> emission factor of that fuel type (</w:t>
      </w:r>
      <w:r w:rsidR="00EA6D31">
        <w:t xml:space="preserve">i.e., </w:t>
      </w:r>
      <w:r w:rsidR="00C07F4A" w:rsidRPr="00B15AC9">
        <w:rPr>
          <w:i/>
          <w:iCs/>
        </w:rPr>
        <w:t>EF</w:t>
      </w:r>
      <w:r w:rsidR="00C07F4A" w:rsidRPr="00B15AC9">
        <w:rPr>
          <w:i/>
          <w:iCs/>
          <w:vertAlign w:val="subscript"/>
        </w:rPr>
        <w:t>CO2,</w:t>
      </w:r>
      <w:r w:rsidR="23623509" w:rsidRPr="00B15AC9">
        <w:rPr>
          <w:i/>
          <w:iCs/>
          <w:vertAlign w:val="subscript"/>
        </w:rPr>
        <w:t>p</w:t>
      </w:r>
      <w:r w:rsidR="00C07F4A" w:rsidRPr="00B15AC9">
        <w:rPr>
          <w:i/>
          <w:iCs/>
          <w:vertAlign w:val="subscript"/>
        </w:rPr>
        <w:t>,t</w:t>
      </w:r>
      <w:r w:rsidR="00C07F4A">
        <w:t xml:space="preserve"> = </w:t>
      </w:r>
      <w:r w:rsidR="00C07F4A" w:rsidRPr="00B15AC9">
        <w:rPr>
          <w:i/>
          <w:iCs/>
        </w:rPr>
        <w:t>EF</w:t>
      </w:r>
      <w:r w:rsidR="00C07F4A" w:rsidRPr="00B15AC9">
        <w:rPr>
          <w:i/>
          <w:iCs/>
          <w:vertAlign w:val="subscript"/>
        </w:rPr>
        <w:t>CO2,i</w:t>
      </w:r>
      <w:r w:rsidR="00C07F4A" w:rsidRPr="00B15AC9">
        <w:rPr>
          <w:i/>
          <w:iCs/>
        </w:rPr>
        <w:t>)</w:t>
      </w:r>
      <w:r w:rsidR="00C07F4A">
        <w:t>;</w:t>
      </w:r>
      <w:r w:rsidR="00EA6D31">
        <w:t xml:space="preserve"> or</w:t>
      </w:r>
    </w:p>
    <w:p w14:paraId="1AE8B489" w14:textId="2A00C231" w:rsidR="00C07F4A" w:rsidRDefault="00EA6D31" w:rsidP="00F62D64">
      <w:pPr>
        <w:pStyle w:val="SDMSubPara1"/>
        <w:keepNext/>
      </w:pPr>
      <w:r>
        <w:t>Where a</w:t>
      </w:r>
      <w:r w:rsidR="11E3B292">
        <w:t xml:space="preserve"> </w:t>
      </w:r>
      <w:r w:rsidR="06368072">
        <w:t>fossil-fuel fired</w:t>
      </w:r>
      <w:r w:rsidR="11E3B292">
        <w:t xml:space="preserve"> captive power plant</w:t>
      </w:r>
      <w:r>
        <w:t xml:space="preserve"> has </w:t>
      </w:r>
      <w:r w:rsidR="11E3B292">
        <w:t xml:space="preserve">used multiple fuel types since the start of operation, </w:t>
      </w:r>
      <w:r w:rsidR="00884391">
        <w:t>apply one of</w:t>
      </w:r>
      <w:r w:rsidR="11E3B292">
        <w:t xml:space="preserve"> the following options:</w:t>
      </w:r>
    </w:p>
    <w:p w14:paraId="6C62A157" w14:textId="742A5C48" w:rsidR="00C07F4A" w:rsidRPr="00780E96" w:rsidRDefault="11E3B292" w:rsidP="00F65332">
      <w:pPr>
        <w:pStyle w:val="SDMSubPara2"/>
      </w:pPr>
      <w:r>
        <w:t>For</w:t>
      </w:r>
      <w:r w:rsidR="77A8A14F" w:rsidDel="00884391">
        <w:t xml:space="preserve"> </w:t>
      </w:r>
      <w:r w:rsidR="00884391" w:rsidRPr="00884391">
        <w:rPr>
          <w:b/>
          <w:bCs/>
        </w:rPr>
        <w:t>case</w:t>
      </w:r>
      <w:r w:rsidR="00B23B70">
        <w:rPr>
          <w:b/>
          <w:bCs/>
        </w:rPr>
        <w:t> </w:t>
      </w:r>
      <w:r w:rsidR="77A8A14F" w:rsidRPr="00884391">
        <w:rPr>
          <w:b/>
          <w:bCs/>
        </w:rPr>
        <w:t>1</w:t>
      </w:r>
      <w:r>
        <w:t>, use the fuel type with the highest</w:t>
      </w:r>
      <w:r w:rsidR="0033417D">
        <w:t xml:space="preserve"> </w:t>
      </w:r>
      <w:r>
        <w:t>CO</w:t>
      </w:r>
      <w:r w:rsidRPr="3B057DA6">
        <w:rPr>
          <w:vertAlign w:val="subscript"/>
        </w:rPr>
        <w:t>2</w:t>
      </w:r>
      <w:r>
        <w:t xml:space="preserve"> emission factor (</w:t>
      </w:r>
      <w:r w:rsidRPr="3B057DA6">
        <w:rPr>
          <w:i/>
          <w:iCs/>
        </w:rPr>
        <w:t>EF</w:t>
      </w:r>
      <w:r w:rsidRPr="3B057DA6">
        <w:rPr>
          <w:i/>
          <w:iCs/>
          <w:vertAlign w:val="subscript"/>
        </w:rPr>
        <w:t>CO2,i,t</w:t>
      </w:r>
      <w:r>
        <w:t xml:space="preserve">) among the fuel types </w:t>
      </w:r>
      <w:r w:rsidR="00884391">
        <w:t xml:space="preserve">from </w:t>
      </w:r>
      <w:r>
        <w:t xml:space="preserve">the start of the </w:t>
      </w:r>
      <w:r w:rsidR="000D1913" w:rsidRPr="00780E96">
        <w:t xml:space="preserve">operation of the </w:t>
      </w:r>
      <w:r w:rsidR="00DF3097" w:rsidRPr="00780E96">
        <w:t xml:space="preserve">Article 6.4 project or CP </w:t>
      </w:r>
      <w:r w:rsidR="00EA4C4C" w:rsidRPr="00780E96">
        <w:t xml:space="preserve">to </w:t>
      </w:r>
      <w:r w:rsidRPr="00780E96">
        <w:t>the end of the monitored period in question;</w:t>
      </w:r>
    </w:p>
    <w:p w14:paraId="1ED481F1" w14:textId="181A6E11" w:rsidR="365AD78C" w:rsidRPr="00780E96" w:rsidRDefault="365AD78C" w:rsidP="00F65332">
      <w:pPr>
        <w:pStyle w:val="SDMSubPara2"/>
      </w:pPr>
      <w:r w:rsidRPr="00780E96">
        <w:t>For</w:t>
      </w:r>
      <w:r w:rsidRPr="00780E96" w:rsidDel="00884391">
        <w:t xml:space="preserve"> </w:t>
      </w:r>
      <w:r w:rsidR="00884391" w:rsidRPr="00780E96">
        <w:rPr>
          <w:b/>
          <w:bCs/>
        </w:rPr>
        <w:t>case</w:t>
      </w:r>
      <w:r w:rsidR="004F7EDA" w:rsidRPr="00780E96">
        <w:rPr>
          <w:b/>
          <w:bCs/>
        </w:rPr>
        <w:t> </w:t>
      </w:r>
      <w:r w:rsidRPr="00780E96">
        <w:rPr>
          <w:b/>
          <w:bCs/>
        </w:rPr>
        <w:t>2</w:t>
      </w:r>
      <w:r w:rsidRPr="00780E96">
        <w:t>, use the fuel type with the lowest CO</w:t>
      </w:r>
      <w:r w:rsidRPr="00780E96">
        <w:rPr>
          <w:vertAlign w:val="subscript"/>
        </w:rPr>
        <w:t>2</w:t>
      </w:r>
      <w:r w:rsidRPr="00780E96">
        <w:t xml:space="preserve"> emission factor (EF</w:t>
      </w:r>
      <w:r w:rsidRPr="00780E96">
        <w:rPr>
          <w:vertAlign w:val="subscript"/>
        </w:rPr>
        <w:t>CO2,i,t</w:t>
      </w:r>
      <w:r w:rsidRPr="00780E96">
        <w:t xml:space="preserve">) among the fuel types </w:t>
      </w:r>
      <w:r w:rsidR="004A0CC7" w:rsidRPr="00780E96">
        <w:t xml:space="preserve">from the start of the </w:t>
      </w:r>
      <w:r w:rsidR="000D1913" w:rsidRPr="00780E96">
        <w:t xml:space="preserve">operation of the </w:t>
      </w:r>
      <w:r w:rsidR="008E6013" w:rsidRPr="00780E96">
        <w:t>Article 6.4</w:t>
      </w:r>
      <w:r w:rsidR="004A0CC7" w:rsidRPr="00780E96">
        <w:t xml:space="preserve"> </w:t>
      </w:r>
      <w:r w:rsidR="000D1913" w:rsidRPr="00780E96">
        <w:rPr>
          <w:rFonts w:eastAsia="Arial"/>
        </w:rPr>
        <w:t>project or CP</w:t>
      </w:r>
      <w:r w:rsidR="000D1913" w:rsidRPr="00780E96">
        <w:t xml:space="preserve"> </w:t>
      </w:r>
      <w:r w:rsidR="004A0CC7" w:rsidRPr="00780E96">
        <w:t>to the end of the monitored period in question</w:t>
      </w:r>
      <w:r w:rsidR="008E6013" w:rsidRPr="00780E96">
        <w:t xml:space="preserve">, or where the </w:t>
      </w:r>
      <w:r w:rsidR="0F198A09" w:rsidRPr="00780E96">
        <w:t xml:space="preserve">fossil-fuel fired </w:t>
      </w:r>
      <w:r w:rsidR="008E6013" w:rsidRPr="00780E96">
        <w:t>captive power plant would only operate in the baseline scenario,</w:t>
      </w:r>
      <w:r w:rsidR="004A0CC7" w:rsidRPr="00780E96" w:rsidDel="00B67357">
        <w:t xml:space="preserve"> </w:t>
      </w:r>
      <w:r w:rsidR="00051058" w:rsidRPr="00780E96">
        <w:t>use the fuel type with the lowest CO</w:t>
      </w:r>
      <w:r w:rsidR="00051058" w:rsidRPr="00780E96">
        <w:rPr>
          <w:vertAlign w:val="subscript"/>
        </w:rPr>
        <w:t>2</w:t>
      </w:r>
      <w:r w:rsidR="00051058" w:rsidRPr="00780E96">
        <w:t xml:space="preserve"> emission factor among the fuel types</w:t>
      </w:r>
      <w:r w:rsidR="00051058" w:rsidRPr="00780E96" w:rsidDel="00B67357">
        <w:t xml:space="preserve"> </w:t>
      </w:r>
      <w:r w:rsidRPr="00780E96">
        <w:t xml:space="preserve">used in the </w:t>
      </w:r>
      <w:r w:rsidR="72673FDB" w:rsidRPr="00780E96">
        <w:t>most recent three years</w:t>
      </w:r>
      <w:r w:rsidR="00924518" w:rsidRPr="00780E96">
        <w:t xml:space="preserve"> </w:t>
      </w:r>
      <w:r w:rsidRPr="00780E96">
        <w:t>prior to the</w:t>
      </w:r>
      <w:r w:rsidR="00924518" w:rsidRPr="00780E96">
        <w:t xml:space="preserve"> </w:t>
      </w:r>
      <w:r w:rsidR="355B4EB6" w:rsidRPr="00780E96">
        <w:t>implementation of the Article 6.4</w:t>
      </w:r>
      <w:r w:rsidR="00AD2370" w:rsidRPr="00780E96">
        <w:rPr>
          <w:strike/>
        </w:rPr>
        <w:t xml:space="preserve"> </w:t>
      </w:r>
      <w:r w:rsidR="000D1913" w:rsidRPr="00780E96">
        <w:rPr>
          <w:rFonts w:eastAsia="Arial"/>
        </w:rPr>
        <w:t>project or CP</w:t>
      </w:r>
      <w:r w:rsidRPr="00780E96">
        <w:t>;</w:t>
      </w:r>
      <w:r w:rsidR="00B67357" w:rsidRPr="00780E96">
        <w:t xml:space="preserve"> </w:t>
      </w:r>
      <w:r w:rsidR="00460100" w:rsidRPr="00780E96">
        <w:t>or</w:t>
      </w:r>
    </w:p>
    <w:p w14:paraId="5989AD6D" w14:textId="67E9B89A" w:rsidR="008E0D2F" w:rsidRDefault="006D3A3F" w:rsidP="00F62D64">
      <w:pPr>
        <w:pStyle w:val="SDMSubPara1"/>
        <w:keepNext/>
      </w:pPr>
      <w:r w:rsidRPr="006D3A3F">
        <w:t>Calculate an average CO</w:t>
      </w:r>
      <w:r w:rsidRPr="0086170A">
        <w:rPr>
          <w:vertAlign w:val="subscript"/>
        </w:rPr>
        <w:t>2</w:t>
      </w:r>
      <w:r w:rsidRPr="006D3A3F">
        <w:t xml:space="preserve"> emission factor for period</w:t>
      </w:r>
      <w:r w:rsidR="00275649">
        <w:t> </w:t>
      </w:r>
      <w:r w:rsidRPr="00E941E8">
        <w:rPr>
          <w:i/>
          <w:iCs/>
        </w:rPr>
        <w:t>t</w:t>
      </w:r>
      <w:r w:rsidRPr="006D3A3F">
        <w:t>, provided that the decision on the fuel mix is outside the control of the activity participants (e.g</w:t>
      </w:r>
      <w:r>
        <w:t>.</w:t>
      </w:r>
      <w:r w:rsidR="320BAB45">
        <w:t>,</w:t>
      </w:r>
      <w:r w:rsidRPr="006D3A3F">
        <w:t xml:space="preserve"> </w:t>
      </w:r>
      <w:r w:rsidR="00DF50F0">
        <w:t xml:space="preserve">for </w:t>
      </w:r>
      <w:r w:rsidRPr="006D3A3F">
        <w:t>leakage electricity consumers</w:t>
      </w:r>
      <w:r w:rsidR="006D03EA">
        <w:t>,</w:t>
      </w:r>
      <w:r w:rsidRPr="006D3A3F">
        <w:t xml:space="preserve"> or where the fuel mix is fixed </w:t>
      </w:r>
      <w:r w:rsidR="006D03EA">
        <w:t>by</w:t>
      </w:r>
      <w:r w:rsidRPr="006D3A3F">
        <w:t xml:space="preserve"> regulation or determined by a centralized dispatch authority</w:t>
      </w:r>
      <w:r w:rsidR="0084330B">
        <w:t>)</w:t>
      </w:r>
      <w:r w:rsidRPr="006D3A3F">
        <w:t>, as follows:</w:t>
      </w:r>
    </w:p>
    <w:tbl>
      <w:tblPr>
        <w:tblStyle w:val="SDMMethTableEquation"/>
        <w:tblW w:w="8188" w:type="dxa"/>
        <w:tblInd w:w="1310" w:type="dxa"/>
        <w:tblLook w:val="0600" w:firstRow="0" w:lastRow="0" w:firstColumn="0" w:lastColumn="0" w:noHBand="1" w:noVBand="1"/>
      </w:tblPr>
      <w:tblGrid>
        <w:gridCol w:w="5778"/>
        <w:gridCol w:w="2410"/>
      </w:tblGrid>
      <w:tr w:rsidR="00900C67" w:rsidRPr="00E32F75" w14:paraId="4F35981D" w14:textId="77777777" w:rsidTr="00AA7E37">
        <w:trPr>
          <w:trHeight w:val="300"/>
        </w:trPr>
        <w:tc>
          <w:tcPr>
            <w:tcW w:w="5778" w:type="dxa"/>
          </w:tcPr>
          <w:p w14:paraId="11CF1541" w14:textId="6795386E" w:rsidR="00900C67" w:rsidRPr="00B23B70" w:rsidRDefault="003F6646" w:rsidP="00A0251A">
            <w:pPr>
              <w:pStyle w:val="SDMMethEquation"/>
              <w:jc w:val="left"/>
            </w:pPr>
            <m:oMathPara>
              <m:oMathParaPr>
                <m:jc m:val="left"/>
              </m:oMathParaPr>
              <m:oMath>
                <m:sSub>
                  <m:sSubPr>
                    <m:ctrlPr>
                      <w:rPr>
                        <w:rFonts w:ascii="Cambria Math" w:hAnsi="Cambria Math"/>
                        <w:i/>
                      </w:rPr>
                    </m:ctrlPr>
                  </m:sSubPr>
                  <m:e>
                    <m:r>
                      <w:rPr>
                        <w:rFonts w:ascii="Cambria Math" w:hAnsi="Cambria Math"/>
                      </w:rPr>
                      <m:t>EF</m:t>
                    </m:r>
                  </m:e>
                  <m:sub>
                    <m:r>
                      <w:rPr>
                        <w:rFonts w:ascii="Cambria Math" w:hAnsi="Cambria Math"/>
                      </w:rPr>
                      <m:t>CO2,p,t</m:t>
                    </m:r>
                  </m:sub>
                </m:sSub>
                <m:r>
                  <w:rPr>
                    <w:rFonts w:ascii="Cambria Math" w:hAnsi="Cambria Math"/>
                  </w:rPr>
                  <m:t>=</m:t>
                </m:r>
                <m:f>
                  <m:fPr>
                    <m:ctrlPr>
                      <w:rPr>
                        <w:rFonts w:ascii="Cambria Math" w:hAnsi="Cambria Math"/>
                        <w:i/>
                      </w:rPr>
                    </m:ctrlPr>
                  </m:fPr>
                  <m:num>
                    <m:nary>
                      <m:naryPr>
                        <m:chr m:val="∑"/>
                        <m:limLoc m:val="undOvr"/>
                        <m:supHide m:val="1"/>
                        <m:ctrlPr>
                          <w:rPr>
                            <w:rFonts w:ascii="Cambria Math" w:hAnsi="Cambria Math"/>
                            <w:i/>
                          </w:rPr>
                        </m:ctrlPr>
                      </m:naryPr>
                      <m:sub>
                        <m:r>
                          <w:rPr>
                            <w:rFonts w:ascii="Cambria Math" w:hAnsi="Cambria Math"/>
                          </w:rPr>
                          <m:t>i</m:t>
                        </m:r>
                      </m:sub>
                      <m:sup/>
                      <m:e>
                        <m:sSub>
                          <m:sSubPr>
                            <m:ctrlPr>
                              <w:rPr>
                                <w:rFonts w:ascii="Cambria Math" w:hAnsi="Cambria Math"/>
                                <w:i/>
                              </w:rPr>
                            </m:ctrlPr>
                          </m:sSubPr>
                          <m:e>
                            <m:r>
                              <w:rPr>
                                <w:rFonts w:ascii="Cambria Math" w:hAnsi="Cambria Math"/>
                              </w:rPr>
                              <m:t>FC</m:t>
                            </m:r>
                          </m:e>
                          <m:sub>
                            <m:r>
                              <w:rPr>
                                <w:rFonts w:ascii="Cambria Math" w:hAnsi="Cambria Math"/>
                              </w:rPr>
                              <m:t>i,p,t</m:t>
                            </m:r>
                          </m:sub>
                        </m:sSub>
                        <m:r>
                          <w:rPr>
                            <w:rFonts w:ascii="Cambria Math" w:hAnsi="Cambria Math"/>
                          </w:rPr>
                          <m:t>×</m:t>
                        </m:r>
                        <m:sSub>
                          <m:sSubPr>
                            <m:ctrlPr>
                              <w:rPr>
                                <w:rFonts w:ascii="Cambria Math" w:hAnsi="Cambria Math"/>
                                <w:i/>
                              </w:rPr>
                            </m:ctrlPr>
                          </m:sSubPr>
                          <m:e>
                            <m:r>
                              <w:rPr>
                                <w:rFonts w:ascii="Cambria Math" w:hAnsi="Cambria Math"/>
                              </w:rPr>
                              <m:t>NCV</m:t>
                            </m:r>
                          </m:e>
                          <m:sub>
                            <m:r>
                              <w:rPr>
                                <w:rFonts w:ascii="Cambria Math" w:hAnsi="Cambria Math"/>
                              </w:rPr>
                              <m:t>i,t</m:t>
                            </m:r>
                          </m:sub>
                        </m:sSub>
                        <m:r>
                          <w:rPr>
                            <w:rFonts w:ascii="Cambria Math" w:hAnsi="Cambria Math"/>
                          </w:rPr>
                          <m:t>×</m:t>
                        </m:r>
                        <m:sSub>
                          <m:sSubPr>
                            <m:ctrlPr>
                              <w:rPr>
                                <w:rFonts w:ascii="Cambria Math" w:hAnsi="Cambria Math"/>
                                <w:i/>
                              </w:rPr>
                            </m:ctrlPr>
                          </m:sSubPr>
                          <m:e>
                            <m:r>
                              <w:rPr>
                                <w:rFonts w:ascii="Cambria Math" w:hAnsi="Cambria Math"/>
                              </w:rPr>
                              <m:t>EF</m:t>
                            </m:r>
                          </m:e>
                          <m:sub>
                            <m:r>
                              <w:rPr>
                                <w:rFonts w:ascii="Cambria Math" w:hAnsi="Cambria Math"/>
                              </w:rPr>
                              <m:t>CO2,i,t</m:t>
                            </m:r>
                          </m:sub>
                        </m:sSub>
                      </m:e>
                    </m:nary>
                  </m:num>
                  <m:den>
                    <m:nary>
                      <m:naryPr>
                        <m:chr m:val="∑"/>
                        <m:limLoc m:val="undOvr"/>
                        <m:supHide m:val="1"/>
                        <m:ctrlPr>
                          <w:rPr>
                            <w:rFonts w:ascii="Cambria Math" w:hAnsi="Cambria Math"/>
                            <w:i/>
                          </w:rPr>
                        </m:ctrlPr>
                      </m:naryPr>
                      <m:sub>
                        <m:r>
                          <w:rPr>
                            <w:rFonts w:ascii="Cambria Math" w:hAnsi="Cambria Math"/>
                          </w:rPr>
                          <m:t>i</m:t>
                        </m:r>
                      </m:sub>
                      <m:sup/>
                      <m:e>
                        <m:sSub>
                          <m:sSubPr>
                            <m:ctrlPr>
                              <w:rPr>
                                <w:rFonts w:ascii="Cambria Math" w:hAnsi="Cambria Math"/>
                                <w:i/>
                              </w:rPr>
                            </m:ctrlPr>
                          </m:sSubPr>
                          <m:e>
                            <m:r>
                              <w:rPr>
                                <w:rFonts w:ascii="Cambria Math" w:hAnsi="Cambria Math"/>
                              </w:rPr>
                              <m:t>FC</m:t>
                            </m:r>
                          </m:e>
                          <m:sub>
                            <m:r>
                              <w:rPr>
                                <w:rFonts w:ascii="Cambria Math" w:hAnsi="Cambria Math"/>
                              </w:rPr>
                              <m:t>p,i,t</m:t>
                            </m:r>
                          </m:sub>
                        </m:sSub>
                        <m:r>
                          <w:rPr>
                            <w:rFonts w:ascii="Cambria Math" w:hAnsi="Cambria Math"/>
                          </w:rPr>
                          <m:t>×</m:t>
                        </m:r>
                        <m:sSub>
                          <m:sSubPr>
                            <m:ctrlPr>
                              <w:rPr>
                                <w:rFonts w:ascii="Cambria Math" w:hAnsi="Cambria Math"/>
                                <w:i/>
                              </w:rPr>
                            </m:ctrlPr>
                          </m:sSubPr>
                          <m:e>
                            <m:r>
                              <w:rPr>
                                <w:rFonts w:ascii="Cambria Math" w:hAnsi="Cambria Math"/>
                              </w:rPr>
                              <m:t>NCV</m:t>
                            </m:r>
                          </m:e>
                          <m:sub>
                            <m:r>
                              <w:rPr>
                                <w:rFonts w:ascii="Cambria Math" w:hAnsi="Cambria Math"/>
                              </w:rPr>
                              <m:t>i,t</m:t>
                            </m:r>
                          </m:sub>
                        </m:sSub>
                      </m:e>
                    </m:nary>
                  </m:den>
                </m:f>
              </m:oMath>
            </m:oMathPara>
          </w:p>
        </w:tc>
        <w:tc>
          <w:tcPr>
            <w:tcW w:w="2410" w:type="dxa"/>
          </w:tcPr>
          <w:p w14:paraId="506F0C3E" w14:textId="77777777" w:rsidR="00900C67" w:rsidRPr="002B6960" w:rsidRDefault="00900C67">
            <w:pPr>
              <w:pStyle w:val="SDMMethEquationNr"/>
              <w:numPr>
                <w:ilvl w:val="0"/>
                <w:numId w:val="6"/>
              </w:numPr>
            </w:pPr>
          </w:p>
        </w:tc>
      </w:tr>
    </w:tbl>
    <w:p w14:paraId="56197876" w14:textId="77777777" w:rsidR="00900C67" w:rsidRDefault="00900C67" w:rsidP="00F62D64">
      <w:pPr>
        <w:pStyle w:val="SDMMethCaptionEquationParametersTable"/>
      </w:pPr>
      <w:r>
        <w:t>Where:</w:t>
      </w:r>
    </w:p>
    <w:tbl>
      <w:tblPr>
        <w:tblStyle w:val="SDMMethTableEquationParameters"/>
        <w:tblW w:w="8760" w:type="dxa"/>
        <w:tblLook w:val="04A0" w:firstRow="1" w:lastRow="0" w:firstColumn="1" w:lastColumn="0" w:noHBand="0" w:noVBand="1"/>
      </w:tblPr>
      <w:tblGrid>
        <w:gridCol w:w="1701"/>
        <w:gridCol w:w="345"/>
        <w:gridCol w:w="6714"/>
      </w:tblGrid>
      <w:tr w:rsidR="00900C67" w14:paraId="7EFEF071" w14:textId="77777777" w:rsidTr="00C220BF">
        <w:trPr>
          <w:trHeight w:val="300"/>
        </w:trPr>
        <w:tc>
          <w:tcPr>
            <w:tcW w:w="1701" w:type="dxa"/>
            <w:vAlign w:val="top"/>
          </w:tcPr>
          <w:p w14:paraId="2A2F1E3C" w14:textId="77777777" w:rsidR="00900C67" w:rsidRPr="00DE7682" w:rsidRDefault="003F6646" w:rsidP="00A25D4E">
            <w:pPr>
              <w:pStyle w:val="SDMTableBoxParaNotNumbered"/>
            </w:pPr>
            <m:oMathPara>
              <m:oMathParaPr>
                <m:jc m:val="left"/>
              </m:oMathParaPr>
              <m:oMath>
                <m:sSub>
                  <m:sSubPr>
                    <m:ctrlPr>
                      <w:rPr>
                        <w:rFonts w:ascii="Cambria Math" w:hAnsi="Cambria Math" w:cs="Arial"/>
                        <w:i/>
                        <w:szCs w:val="22"/>
                      </w:rPr>
                    </m:ctrlPr>
                  </m:sSubPr>
                  <m:e>
                    <m:r>
                      <w:rPr>
                        <w:rFonts w:ascii="Cambria Math" w:hAnsi="Cambria Math" w:cs="Arial"/>
                        <w:szCs w:val="22"/>
                      </w:rPr>
                      <m:t>EF</m:t>
                    </m:r>
                  </m:e>
                  <m:sub>
                    <m:r>
                      <w:rPr>
                        <w:rFonts w:ascii="Cambria Math" w:hAnsi="Cambria Math" w:cs="Arial"/>
                        <w:szCs w:val="22"/>
                      </w:rPr>
                      <m:t>CO2,p,t</m:t>
                    </m:r>
                  </m:sub>
                </m:sSub>
              </m:oMath>
            </m:oMathPara>
          </w:p>
        </w:tc>
        <w:tc>
          <w:tcPr>
            <w:tcW w:w="345" w:type="dxa"/>
            <w:vAlign w:val="top"/>
          </w:tcPr>
          <w:p w14:paraId="6CA7B5B1" w14:textId="77777777" w:rsidR="00900C67" w:rsidRDefault="00900C67" w:rsidP="00A25D4E">
            <w:pPr>
              <w:pStyle w:val="SDMTableBoxParaNotNumbered"/>
            </w:pPr>
            <w:r>
              <w:t>=</w:t>
            </w:r>
          </w:p>
        </w:tc>
        <w:tc>
          <w:tcPr>
            <w:tcW w:w="0" w:type="auto"/>
            <w:vAlign w:val="top"/>
          </w:tcPr>
          <w:p w14:paraId="78F23598" w14:textId="5A0507ED" w:rsidR="00900C67" w:rsidRDefault="00622C7C" w:rsidP="00A25D4E">
            <w:pPr>
              <w:pStyle w:val="SDMTableBoxParaNotNumbered"/>
            </w:pPr>
            <w:r w:rsidRPr="007D447E">
              <w:t>Average CO</w:t>
            </w:r>
            <w:r w:rsidRPr="007D447E">
              <w:rPr>
                <w:vertAlign w:val="subscript"/>
              </w:rPr>
              <w:t>2</w:t>
            </w:r>
            <w:r w:rsidRPr="007D447E">
              <w:t xml:space="preserve"> emission factor of the fossil fuels fired in captive power plant</w:t>
            </w:r>
            <w:r w:rsidRPr="007D447E">
              <w:rPr>
                <w:i/>
              </w:rPr>
              <w:t> </w:t>
            </w:r>
            <w:r w:rsidR="00967885" w:rsidRPr="07B1BF5F">
              <w:rPr>
                <w:i/>
                <w:iCs/>
              </w:rPr>
              <w:t>p</w:t>
            </w:r>
            <w:r w:rsidRPr="007D447E">
              <w:rPr>
                <w:i/>
              </w:rPr>
              <w:t xml:space="preserve"> </w:t>
            </w:r>
            <w:r w:rsidRPr="007D447E">
              <w:t>in period</w:t>
            </w:r>
            <w:r w:rsidRPr="007D447E">
              <w:rPr>
                <w:i/>
              </w:rPr>
              <w:t xml:space="preserve"> t </w:t>
            </w:r>
            <w:r w:rsidRPr="007D447E">
              <w:t>(t CO</w:t>
            </w:r>
            <w:r w:rsidRPr="007D447E">
              <w:rPr>
                <w:vertAlign w:val="subscript"/>
              </w:rPr>
              <w:t>2</w:t>
            </w:r>
            <w:r w:rsidR="00CD6A5C">
              <w:t> / </w:t>
            </w:r>
            <w:r w:rsidRPr="007D447E">
              <w:t>GJ)</w:t>
            </w:r>
          </w:p>
        </w:tc>
      </w:tr>
      <w:tr w:rsidR="00900C67" w14:paraId="76F326E2" w14:textId="77777777" w:rsidTr="00C220BF">
        <w:trPr>
          <w:trHeight w:val="300"/>
        </w:trPr>
        <w:tc>
          <w:tcPr>
            <w:tcW w:w="1701" w:type="dxa"/>
            <w:vAlign w:val="top"/>
          </w:tcPr>
          <w:p w14:paraId="155B125E" w14:textId="053CE57C" w:rsidR="00900C67" w:rsidRPr="00DE7682" w:rsidRDefault="003F6646" w:rsidP="00A25D4E">
            <w:pPr>
              <w:pStyle w:val="SDMTableBoxParaNotNumbered"/>
            </w:pPr>
            <m:oMathPara>
              <m:oMathParaPr>
                <m:jc m:val="left"/>
              </m:oMathParaPr>
              <m:oMath>
                <m:sSub>
                  <m:sSubPr>
                    <m:ctrlPr>
                      <w:rPr>
                        <w:rFonts w:ascii="Cambria Math" w:hAnsi="Cambria Math" w:cs="Arial"/>
                        <w:i/>
                        <w:szCs w:val="22"/>
                      </w:rPr>
                    </m:ctrlPr>
                  </m:sSubPr>
                  <m:e>
                    <m:r>
                      <w:rPr>
                        <w:rFonts w:ascii="Cambria Math" w:hAnsi="Cambria Math" w:cs="Arial"/>
                        <w:szCs w:val="22"/>
                      </w:rPr>
                      <m:t>FC</m:t>
                    </m:r>
                  </m:e>
                  <m:sub>
                    <m:r>
                      <w:rPr>
                        <w:rFonts w:ascii="Cambria Math" w:hAnsi="Cambria Math" w:cs="Arial"/>
                        <w:szCs w:val="22"/>
                      </w:rPr>
                      <m:t>i,p,t</m:t>
                    </m:r>
                  </m:sub>
                </m:sSub>
              </m:oMath>
            </m:oMathPara>
          </w:p>
        </w:tc>
        <w:tc>
          <w:tcPr>
            <w:tcW w:w="345" w:type="dxa"/>
            <w:vAlign w:val="top"/>
          </w:tcPr>
          <w:p w14:paraId="61DC689A" w14:textId="77777777" w:rsidR="00900C67" w:rsidRDefault="00900C67" w:rsidP="00A25D4E">
            <w:pPr>
              <w:pStyle w:val="SDMTableBoxParaNotNumbered"/>
            </w:pPr>
            <w:r>
              <w:t>=</w:t>
            </w:r>
          </w:p>
        </w:tc>
        <w:tc>
          <w:tcPr>
            <w:tcW w:w="0" w:type="auto"/>
            <w:vAlign w:val="top"/>
          </w:tcPr>
          <w:p w14:paraId="5FA5CE96" w14:textId="29A8CE10" w:rsidR="00900C67" w:rsidRDefault="000354A6" w:rsidP="00A25D4E">
            <w:pPr>
              <w:pStyle w:val="SDMTableBoxParaNotNumbered"/>
            </w:pPr>
            <w:r w:rsidRPr="007D447E">
              <w:t>Quantity of fossil fuel type</w:t>
            </w:r>
            <w:r w:rsidRPr="007D447E">
              <w:rPr>
                <w:i/>
              </w:rPr>
              <w:t xml:space="preserve"> i </w:t>
            </w:r>
            <w:r w:rsidRPr="007D447E">
              <w:t>fired in captive power plant</w:t>
            </w:r>
            <w:r w:rsidRPr="007D447E">
              <w:rPr>
                <w:i/>
              </w:rPr>
              <w:t> </w:t>
            </w:r>
            <w:r w:rsidR="00967885" w:rsidRPr="07B1BF5F">
              <w:rPr>
                <w:i/>
                <w:iCs/>
              </w:rPr>
              <w:t>p</w:t>
            </w:r>
            <w:r w:rsidRPr="007D447E">
              <w:rPr>
                <w:i/>
              </w:rPr>
              <w:t xml:space="preserve"> </w:t>
            </w:r>
            <w:r w:rsidRPr="007D447E">
              <w:t>in period</w:t>
            </w:r>
            <w:r w:rsidRPr="007D447E">
              <w:rPr>
                <w:i/>
              </w:rPr>
              <w:t xml:space="preserve"> t </w:t>
            </w:r>
            <w:r w:rsidRPr="007D447E">
              <w:t>(mass or volume unit)</w:t>
            </w:r>
          </w:p>
        </w:tc>
      </w:tr>
      <w:tr w:rsidR="00900C67" w14:paraId="4F1B5E1E" w14:textId="77777777" w:rsidTr="00C220BF">
        <w:trPr>
          <w:trHeight w:val="300"/>
        </w:trPr>
        <w:tc>
          <w:tcPr>
            <w:tcW w:w="1701" w:type="dxa"/>
            <w:vAlign w:val="top"/>
          </w:tcPr>
          <w:p w14:paraId="6927967F" w14:textId="77777777" w:rsidR="00900C67" w:rsidRPr="00DE7682" w:rsidRDefault="003F6646" w:rsidP="00A25D4E">
            <w:pPr>
              <w:pStyle w:val="SDMTableBoxParaNotNumbered"/>
            </w:pPr>
            <m:oMathPara>
              <m:oMathParaPr>
                <m:jc m:val="left"/>
              </m:oMathParaPr>
              <m:oMath>
                <m:sSub>
                  <m:sSubPr>
                    <m:ctrlPr>
                      <w:rPr>
                        <w:rFonts w:ascii="Cambria Math" w:hAnsi="Cambria Math" w:cs="Arial"/>
                        <w:i/>
                        <w:szCs w:val="22"/>
                      </w:rPr>
                    </m:ctrlPr>
                  </m:sSubPr>
                  <m:e>
                    <m:r>
                      <w:rPr>
                        <w:rFonts w:ascii="Cambria Math" w:hAnsi="Cambria Math" w:cs="Arial"/>
                        <w:szCs w:val="22"/>
                      </w:rPr>
                      <m:t>NCV</m:t>
                    </m:r>
                  </m:e>
                  <m:sub>
                    <m:r>
                      <w:rPr>
                        <w:rFonts w:ascii="Cambria Math" w:hAnsi="Cambria Math" w:cs="Arial"/>
                        <w:szCs w:val="22"/>
                      </w:rPr>
                      <m:t>i,t</m:t>
                    </m:r>
                  </m:sub>
                </m:sSub>
              </m:oMath>
            </m:oMathPara>
          </w:p>
        </w:tc>
        <w:tc>
          <w:tcPr>
            <w:tcW w:w="345" w:type="dxa"/>
            <w:vAlign w:val="top"/>
          </w:tcPr>
          <w:p w14:paraId="2EC583A5" w14:textId="77777777" w:rsidR="00900C67" w:rsidRDefault="00900C67" w:rsidP="00A25D4E">
            <w:pPr>
              <w:pStyle w:val="SDMTableBoxParaNotNumbered"/>
            </w:pPr>
            <w:r>
              <w:t>=</w:t>
            </w:r>
          </w:p>
        </w:tc>
        <w:tc>
          <w:tcPr>
            <w:tcW w:w="0" w:type="auto"/>
            <w:vAlign w:val="top"/>
          </w:tcPr>
          <w:p w14:paraId="3011742B" w14:textId="77777777" w:rsidR="00D67D1C" w:rsidRDefault="00F42D65" w:rsidP="00A25D4E">
            <w:pPr>
              <w:pStyle w:val="SDMTableBoxParaNotNumbered"/>
              <w:rPr>
                <w:i/>
              </w:rPr>
            </w:pPr>
            <w:r w:rsidRPr="007D447E">
              <w:t>Average net calorific value of fossil fuel type</w:t>
            </w:r>
            <w:r w:rsidRPr="007D447E">
              <w:rPr>
                <w:i/>
              </w:rPr>
              <w:t xml:space="preserve"> i </w:t>
            </w:r>
            <w:r w:rsidRPr="007D447E">
              <w:t>used in period </w:t>
            </w:r>
            <w:r w:rsidRPr="007D447E">
              <w:rPr>
                <w:i/>
              </w:rPr>
              <w:t>t</w:t>
            </w:r>
          </w:p>
          <w:p w14:paraId="6A580DEE" w14:textId="371808AC" w:rsidR="00900C67" w:rsidRDefault="00F42D65" w:rsidP="00A25D4E">
            <w:pPr>
              <w:pStyle w:val="SDMTableBoxParaNotNumbered"/>
            </w:pPr>
            <w:r w:rsidRPr="007D447E">
              <w:t>(GJ</w:t>
            </w:r>
            <w:r w:rsidR="00CD6A5C">
              <w:t> / </w:t>
            </w:r>
            <w:r w:rsidRPr="007D447E">
              <w:t>mass or volume unit)</w:t>
            </w:r>
          </w:p>
        </w:tc>
      </w:tr>
      <w:tr w:rsidR="009D58F4" w14:paraId="0A8BD156" w14:textId="77777777" w:rsidTr="00C220BF">
        <w:trPr>
          <w:trHeight w:val="300"/>
        </w:trPr>
        <w:tc>
          <w:tcPr>
            <w:tcW w:w="1701" w:type="dxa"/>
            <w:vAlign w:val="top"/>
          </w:tcPr>
          <w:p w14:paraId="67F68BFF" w14:textId="77777777" w:rsidR="009D58F4" w:rsidRPr="00DE7682" w:rsidRDefault="003F6646" w:rsidP="00A25D4E">
            <w:pPr>
              <w:pStyle w:val="SDMTableBoxParaNotNumbered"/>
              <w:rPr>
                <w:szCs w:val="22"/>
              </w:rPr>
            </w:pPr>
            <m:oMathPara>
              <m:oMathParaPr>
                <m:jc m:val="left"/>
              </m:oMathParaPr>
              <m:oMath>
                <m:sSub>
                  <m:sSubPr>
                    <m:ctrlPr>
                      <w:rPr>
                        <w:rFonts w:ascii="Cambria Math" w:hAnsi="Cambria Math" w:cs="Arial"/>
                        <w:i/>
                        <w:szCs w:val="22"/>
                      </w:rPr>
                    </m:ctrlPr>
                  </m:sSubPr>
                  <m:e>
                    <m:r>
                      <w:rPr>
                        <w:rFonts w:ascii="Cambria Math" w:hAnsi="Cambria Math" w:cs="Arial"/>
                        <w:szCs w:val="22"/>
                      </w:rPr>
                      <m:t>EF</m:t>
                    </m:r>
                  </m:e>
                  <m:sub>
                    <m:r>
                      <w:rPr>
                        <w:rFonts w:ascii="Cambria Math" w:hAnsi="Cambria Math" w:cs="Arial"/>
                        <w:szCs w:val="22"/>
                      </w:rPr>
                      <m:t>CO2,i,t</m:t>
                    </m:r>
                  </m:sub>
                </m:sSub>
              </m:oMath>
            </m:oMathPara>
          </w:p>
        </w:tc>
        <w:tc>
          <w:tcPr>
            <w:tcW w:w="345" w:type="dxa"/>
            <w:vAlign w:val="top"/>
          </w:tcPr>
          <w:p w14:paraId="7865B370" w14:textId="77777777" w:rsidR="009D58F4" w:rsidRDefault="009D58F4" w:rsidP="00A25D4E">
            <w:pPr>
              <w:pStyle w:val="SDMTableBoxParaNotNumbered"/>
            </w:pPr>
            <w:r>
              <w:t>=</w:t>
            </w:r>
          </w:p>
        </w:tc>
        <w:tc>
          <w:tcPr>
            <w:tcW w:w="0" w:type="auto"/>
            <w:vAlign w:val="top"/>
          </w:tcPr>
          <w:p w14:paraId="70A1CEEA" w14:textId="3C102133" w:rsidR="009D58F4" w:rsidRPr="007D447E" w:rsidRDefault="009D58F4" w:rsidP="00A25D4E">
            <w:pPr>
              <w:pStyle w:val="SDMTableBoxParaNotNumbered"/>
            </w:pPr>
            <w:r w:rsidRPr="007D447E">
              <w:t>CO</w:t>
            </w:r>
            <w:r w:rsidRPr="007D447E">
              <w:rPr>
                <w:vertAlign w:val="subscript"/>
              </w:rPr>
              <w:t>2</w:t>
            </w:r>
            <w:r w:rsidRPr="007D447E">
              <w:t xml:space="preserve"> emission factor of fossil fuel type</w:t>
            </w:r>
            <w:r w:rsidRPr="007D447E">
              <w:rPr>
                <w:i/>
              </w:rPr>
              <w:t xml:space="preserve"> i </w:t>
            </w:r>
            <w:r w:rsidRPr="007D447E">
              <w:t>used in period</w:t>
            </w:r>
            <w:r w:rsidRPr="007D447E">
              <w:rPr>
                <w:i/>
              </w:rPr>
              <w:t xml:space="preserve"> t </w:t>
            </w:r>
            <w:r w:rsidRPr="007D447E">
              <w:t>(</w:t>
            </w:r>
            <w:r>
              <w:t>t</w:t>
            </w:r>
            <w:r w:rsidR="3AB95443">
              <w:t xml:space="preserve"> </w:t>
            </w:r>
            <w:r>
              <w:t>CO</w:t>
            </w:r>
            <w:r w:rsidRPr="2E8433BF">
              <w:rPr>
                <w:vertAlign w:val="subscript"/>
              </w:rPr>
              <w:t>2</w:t>
            </w:r>
            <w:r w:rsidR="00CD6A5C">
              <w:t> / </w:t>
            </w:r>
            <w:r w:rsidRPr="007D447E">
              <w:t>GJ)</w:t>
            </w:r>
          </w:p>
        </w:tc>
      </w:tr>
      <w:tr w:rsidR="009D58F4" w14:paraId="0C29743E" w14:textId="77777777" w:rsidTr="00C220BF">
        <w:trPr>
          <w:trHeight w:val="300"/>
        </w:trPr>
        <w:tc>
          <w:tcPr>
            <w:tcW w:w="1701" w:type="dxa"/>
            <w:vAlign w:val="top"/>
          </w:tcPr>
          <w:p w14:paraId="30EA7A21" w14:textId="77777777" w:rsidR="009D58F4" w:rsidRPr="00AC38E9" w:rsidRDefault="009D58F4" w:rsidP="00A25D4E">
            <w:pPr>
              <w:pStyle w:val="SDMTableBoxParaNotNumbered"/>
              <w:rPr>
                <w:szCs w:val="22"/>
              </w:rPr>
            </w:pPr>
            <m:oMathPara>
              <m:oMathParaPr>
                <m:jc m:val="left"/>
              </m:oMathParaPr>
              <m:oMath>
                <m:r>
                  <w:rPr>
                    <w:rFonts w:ascii="Cambria Math" w:hAnsi="Cambria Math" w:cs="Arial"/>
                    <w:szCs w:val="22"/>
                  </w:rPr>
                  <m:t>i</m:t>
                </m:r>
              </m:oMath>
            </m:oMathPara>
          </w:p>
        </w:tc>
        <w:tc>
          <w:tcPr>
            <w:tcW w:w="345" w:type="dxa"/>
            <w:vAlign w:val="top"/>
          </w:tcPr>
          <w:p w14:paraId="2E5C0C12" w14:textId="77777777" w:rsidR="009D58F4" w:rsidRDefault="009D58F4" w:rsidP="00A25D4E">
            <w:pPr>
              <w:pStyle w:val="SDMTableBoxParaNotNumbered"/>
            </w:pPr>
            <w:r>
              <w:t>=</w:t>
            </w:r>
          </w:p>
        </w:tc>
        <w:tc>
          <w:tcPr>
            <w:tcW w:w="0" w:type="auto"/>
            <w:vAlign w:val="top"/>
          </w:tcPr>
          <w:p w14:paraId="1C47DE57" w14:textId="06F0CD4F" w:rsidR="009D58F4" w:rsidRDefault="009D58F4" w:rsidP="00A25D4E">
            <w:pPr>
              <w:pStyle w:val="SDMTableBoxParaNotNumbered"/>
              <w:rPr>
                <w:i/>
              </w:rPr>
            </w:pPr>
            <w:r w:rsidRPr="007D447E">
              <w:t>Fossil fuel types fired in captive power plant</w:t>
            </w:r>
            <w:r w:rsidRPr="007D447E">
              <w:rPr>
                <w:i/>
              </w:rPr>
              <w:t> </w:t>
            </w:r>
            <w:r w:rsidRPr="6F5890B1" w:rsidDel="30305C63">
              <w:rPr>
                <w:i/>
                <w:iCs/>
              </w:rPr>
              <w:t>p</w:t>
            </w:r>
            <w:r w:rsidRPr="007D447E">
              <w:rPr>
                <w:i/>
              </w:rPr>
              <w:t xml:space="preserve"> </w:t>
            </w:r>
            <w:r w:rsidRPr="007D447E">
              <w:t>in period</w:t>
            </w:r>
            <w:r w:rsidR="00B23B70">
              <w:t> </w:t>
            </w:r>
            <w:r w:rsidRPr="007D447E">
              <w:rPr>
                <w:i/>
              </w:rPr>
              <w:t>t</w:t>
            </w:r>
          </w:p>
        </w:tc>
      </w:tr>
      <w:tr w:rsidR="009D58F4" w14:paraId="07FC4D6C" w14:textId="77777777" w:rsidTr="00C220BF">
        <w:trPr>
          <w:trHeight w:val="300"/>
        </w:trPr>
        <w:tc>
          <w:tcPr>
            <w:tcW w:w="1701" w:type="dxa"/>
            <w:vAlign w:val="top"/>
          </w:tcPr>
          <w:p w14:paraId="2D5D30B0" w14:textId="77777777" w:rsidR="009D58F4" w:rsidRPr="00AC38E9" w:rsidRDefault="00000DE0" w:rsidP="00A25D4E">
            <w:pPr>
              <w:pStyle w:val="SDMTableBoxParaNotNumbered"/>
              <w:rPr>
                <w:szCs w:val="22"/>
              </w:rPr>
            </w:pPr>
            <m:oMathPara>
              <m:oMathParaPr>
                <m:jc m:val="left"/>
              </m:oMathParaPr>
              <m:oMath>
                <m:r>
                  <w:rPr>
                    <w:rFonts w:ascii="Cambria Math" w:hAnsi="Cambria Math" w:cs="Arial"/>
                    <w:szCs w:val="22"/>
                  </w:rPr>
                  <m:t>p</m:t>
                </m:r>
              </m:oMath>
            </m:oMathPara>
          </w:p>
        </w:tc>
        <w:tc>
          <w:tcPr>
            <w:tcW w:w="345" w:type="dxa"/>
            <w:vAlign w:val="top"/>
          </w:tcPr>
          <w:p w14:paraId="6B219252" w14:textId="77777777" w:rsidR="009D58F4" w:rsidRDefault="009D58F4" w:rsidP="00A25D4E">
            <w:pPr>
              <w:pStyle w:val="SDMTableBoxParaNotNumbered"/>
            </w:pPr>
            <w:r>
              <w:t>=</w:t>
            </w:r>
          </w:p>
        </w:tc>
        <w:tc>
          <w:tcPr>
            <w:tcW w:w="0" w:type="auto"/>
            <w:vAlign w:val="top"/>
          </w:tcPr>
          <w:p w14:paraId="01F75173" w14:textId="478728A1" w:rsidR="009D58F4" w:rsidRDefault="051954E7" w:rsidP="00A25D4E">
            <w:pPr>
              <w:pStyle w:val="SDMTableBoxParaNotNumbered"/>
            </w:pPr>
            <w:r>
              <w:t xml:space="preserve">Fossil fuel fired captive power plants </w:t>
            </w:r>
            <w:r w:rsidR="374FC8A8">
              <w:t xml:space="preserve">identified in </w:t>
            </w:r>
            <w:r w:rsidR="00861223">
              <w:t>s</w:t>
            </w:r>
            <w:r w:rsidR="374FC8A8">
              <w:t>tep</w:t>
            </w:r>
            <w:r w:rsidR="00B23B70">
              <w:t> </w:t>
            </w:r>
            <w:r w:rsidR="374FC8A8">
              <w:t>2</w:t>
            </w:r>
          </w:p>
        </w:tc>
      </w:tr>
      <w:tr w:rsidR="009D58F4" w14:paraId="7F600EB0" w14:textId="77777777" w:rsidTr="00C220BF">
        <w:trPr>
          <w:trHeight w:val="300"/>
        </w:trPr>
        <w:tc>
          <w:tcPr>
            <w:tcW w:w="1701" w:type="dxa"/>
            <w:vAlign w:val="top"/>
          </w:tcPr>
          <w:p w14:paraId="7532D4E4" w14:textId="77777777" w:rsidR="009D58F4" w:rsidRPr="00AC38E9" w:rsidRDefault="009D58F4" w:rsidP="00A25D4E">
            <w:pPr>
              <w:pStyle w:val="SDMTableBoxParaNotNumbered"/>
              <w:rPr>
                <w:szCs w:val="22"/>
              </w:rPr>
            </w:pPr>
            <m:oMathPara>
              <m:oMathParaPr>
                <m:jc m:val="left"/>
              </m:oMathParaPr>
              <m:oMath>
                <m:r>
                  <w:rPr>
                    <w:rFonts w:ascii="Cambria Math" w:hAnsi="Cambria Math" w:cs="Arial"/>
                    <w:szCs w:val="22"/>
                  </w:rPr>
                  <m:t>t</m:t>
                </m:r>
              </m:oMath>
            </m:oMathPara>
          </w:p>
        </w:tc>
        <w:tc>
          <w:tcPr>
            <w:tcW w:w="345" w:type="dxa"/>
            <w:vAlign w:val="top"/>
          </w:tcPr>
          <w:p w14:paraId="3A1E298D" w14:textId="77777777" w:rsidR="009D58F4" w:rsidRDefault="009D58F4" w:rsidP="00A25D4E">
            <w:pPr>
              <w:pStyle w:val="SDMTableBoxParaNotNumbered"/>
            </w:pPr>
            <w:r>
              <w:t>=</w:t>
            </w:r>
          </w:p>
        </w:tc>
        <w:tc>
          <w:tcPr>
            <w:tcW w:w="0" w:type="auto"/>
            <w:vAlign w:val="top"/>
          </w:tcPr>
          <w:p w14:paraId="322CE528" w14:textId="45940D6A" w:rsidR="009D58F4" w:rsidRDefault="7F7A986B" w:rsidP="00A25D4E">
            <w:pPr>
              <w:pStyle w:val="SDMTableBoxParaNotNumbered"/>
            </w:pPr>
            <w:r>
              <w:t>P</w:t>
            </w:r>
            <w:r w:rsidR="3BAE65B3">
              <w:t>eriod</w:t>
            </w:r>
            <w:r w:rsidR="000E1350" w:rsidRPr="007D447E">
              <w:t xml:space="preserve"> for which the emission factor for electricity generation is determined </w:t>
            </w:r>
            <w:r w:rsidR="5F9B1318">
              <w:t xml:space="preserve">(see </w:t>
            </w:r>
            <w:r w:rsidR="5F9B1318" w:rsidRPr="009F6AC4">
              <w:t>paragraph</w:t>
            </w:r>
            <w:r w:rsidR="006F7A0B" w:rsidRPr="009F6AC4">
              <w:t> </w:t>
            </w:r>
            <w:r w:rsidR="006C07A5">
              <w:fldChar w:fldCharType="begin"/>
            </w:r>
            <w:r w:rsidR="006C07A5">
              <w:instrText xml:space="preserve"> REF _Ref219693154 \w \h </w:instrText>
            </w:r>
            <w:r w:rsidR="006C07A5">
              <w:fldChar w:fldCharType="separate"/>
            </w:r>
            <w:r w:rsidR="003B0135">
              <w:rPr>
                <w:cs/>
              </w:rPr>
              <w:t>‎</w:t>
            </w:r>
            <w:r w:rsidR="003B0135">
              <w:t>116</w:t>
            </w:r>
            <w:r w:rsidR="006C07A5">
              <w:fldChar w:fldCharType="end"/>
            </w:r>
            <w:r w:rsidR="5F9B1318">
              <w:t>)</w:t>
            </w:r>
          </w:p>
        </w:tc>
      </w:tr>
    </w:tbl>
    <w:p w14:paraId="23206A01" w14:textId="04A80357" w:rsidR="00073D6D" w:rsidRDefault="00F87711" w:rsidP="00F65332">
      <w:pPr>
        <w:pStyle w:val="SDMSubPara1"/>
      </w:pPr>
      <w:r w:rsidRPr="00F87711">
        <w:t>Calculate the average CO</w:t>
      </w:r>
      <w:r w:rsidRPr="00F87711">
        <w:rPr>
          <w:vertAlign w:val="subscript"/>
        </w:rPr>
        <w:t>2</w:t>
      </w:r>
      <w:r w:rsidRPr="00F87711">
        <w:t xml:space="preserve"> emission factor, </w:t>
      </w:r>
      <w:r w:rsidR="00AE77E6">
        <w:t xml:space="preserve">in accordance </w:t>
      </w:r>
      <w:r w:rsidR="00AE77E6" w:rsidRPr="00F92251">
        <w:t>with</w:t>
      </w:r>
      <w:r w:rsidRPr="00F92251">
        <w:t xml:space="preserve"> </w:t>
      </w:r>
      <w:r w:rsidR="00AE77E6" w:rsidRPr="00F92251">
        <w:t>equation</w:t>
      </w:r>
      <w:r w:rsidR="0045644E" w:rsidRPr="00F92251">
        <w:t> </w:t>
      </w:r>
      <w:r w:rsidR="00DD0DCD" w:rsidRPr="00F92251">
        <w:t>(14)</w:t>
      </w:r>
      <w:r w:rsidRPr="00F92251">
        <w:t>,</w:t>
      </w:r>
      <w:r w:rsidRPr="00F87711">
        <w:t xml:space="preserve"> for (a) </w:t>
      </w:r>
      <w:r w:rsidRPr="00F87711" w:rsidDel="00F814AB">
        <w:t xml:space="preserve">the </w:t>
      </w:r>
      <w:r w:rsidRPr="00F87711">
        <w:t xml:space="preserve">most recent three years prior to the implementation of the activity and (b) the monitored period in question, and </w:t>
      </w:r>
      <w:r w:rsidR="00C132C8">
        <w:t xml:space="preserve">activity participants shall </w:t>
      </w:r>
      <w:r w:rsidRPr="00F87711">
        <w:t xml:space="preserve">use the </w:t>
      </w:r>
      <w:r w:rsidR="2F7487AB">
        <w:t>higher</w:t>
      </w:r>
      <w:r w:rsidR="5E0F43D4">
        <w:t xml:space="preserve"> value</w:t>
      </w:r>
      <w:r w:rsidR="589847F2">
        <w:t xml:space="preserve"> for case</w:t>
      </w:r>
      <w:r w:rsidR="0045644E">
        <w:t> </w:t>
      </w:r>
      <w:r w:rsidR="589847F2">
        <w:t>1 and lower value for case</w:t>
      </w:r>
      <w:r w:rsidR="00B23B70">
        <w:t> </w:t>
      </w:r>
      <w:r w:rsidR="589847F2">
        <w:t>2</w:t>
      </w:r>
      <w:r w:rsidRPr="00F87711">
        <w:t>.</w:t>
      </w:r>
    </w:p>
    <w:p w14:paraId="2D8F69C7" w14:textId="0325B736" w:rsidR="00073D6D" w:rsidRPr="00780E96" w:rsidRDefault="728541ED">
      <w:pPr>
        <w:pStyle w:val="SDMPara"/>
      </w:pPr>
      <w:r>
        <w:t xml:space="preserve">The selected approach </w:t>
      </w:r>
      <w:r w:rsidR="00864386">
        <w:t>shall</w:t>
      </w:r>
      <w:r>
        <w:t xml:space="preserve"> be documented in the </w:t>
      </w:r>
      <w:r w:rsidRPr="00780E96">
        <w:t>PDD</w:t>
      </w:r>
      <w:r w:rsidR="00192B8E" w:rsidRPr="00780E96">
        <w:t xml:space="preserve"> or CP-DD</w:t>
      </w:r>
      <w:r w:rsidR="000D1913" w:rsidRPr="00780E96">
        <w:t xml:space="preserve"> </w:t>
      </w:r>
      <w:r w:rsidRPr="00780E96">
        <w:t>an</w:t>
      </w:r>
      <w:r w:rsidR="7BDDDDC9" w:rsidRPr="00780E96">
        <w:t>d shall</w:t>
      </w:r>
      <w:r w:rsidRPr="00780E96">
        <w:t xml:space="preserve"> not be changed during the crediting period.</w:t>
      </w:r>
    </w:p>
    <w:p w14:paraId="69317092" w14:textId="07D00262" w:rsidR="00F74E46" w:rsidRPr="00780E96" w:rsidRDefault="4B8E8CC5">
      <w:pPr>
        <w:pStyle w:val="SDMPara"/>
      </w:pPr>
      <w:r w:rsidRPr="00780E96">
        <w:t>Under</w:t>
      </w:r>
      <w:r w:rsidR="05888AA4" w:rsidRPr="00780E96">
        <w:t xml:space="preserve"> </w:t>
      </w:r>
      <w:r w:rsidR="00B30757" w:rsidRPr="00780E96">
        <w:rPr>
          <w:b/>
          <w:bCs/>
        </w:rPr>
        <w:t>option</w:t>
      </w:r>
      <w:r w:rsidR="00B23B70" w:rsidRPr="00780E96">
        <w:rPr>
          <w:b/>
          <w:bCs/>
        </w:rPr>
        <w:t> </w:t>
      </w:r>
      <w:r w:rsidR="05888AA4" w:rsidRPr="00780E96">
        <w:rPr>
          <w:b/>
          <w:bCs/>
        </w:rPr>
        <w:t>A</w:t>
      </w:r>
      <w:r w:rsidR="05888AA4" w:rsidRPr="00780E96">
        <w:t xml:space="preserve">, uncertainty </w:t>
      </w:r>
      <w:r w:rsidR="000A2562" w:rsidRPr="00780E96">
        <w:t>associated with</w:t>
      </w:r>
      <w:r w:rsidR="05888AA4" w:rsidRPr="00780E96">
        <w:t xml:space="preserve"> the emission factor shall be addressed </w:t>
      </w:r>
      <w:r w:rsidR="000A2562" w:rsidRPr="00780E96">
        <w:t xml:space="preserve">in accordance with </w:t>
      </w:r>
      <w:r w:rsidR="05888AA4" w:rsidRPr="00780E96">
        <w:t>the requiremen</w:t>
      </w:r>
      <w:r w:rsidR="7E3D743F" w:rsidRPr="00780E96">
        <w:t>t</w:t>
      </w:r>
      <w:r w:rsidR="00ED59A0" w:rsidRPr="00780E96">
        <w:t>s</w:t>
      </w:r>
      <w:r w:rsidR="7E3D743F" w:rsidRPr="00780E96">
        <w:t xml:space="preserve"> in </w:t>
      </w:r>
      <w:r w:rsidR="14E9C9C4" w:rsidRPr="00780E96">
        <w:t>s</w:t>
      </w:r>
      <w:r w:rsidR="7E3D743F" w:rsidRPr="00780E96">
        <w:t>ection</w:t>
      </w:r>
      <w:r w:rsidR="006B3BAA" w:rsidRPr="00780E96">
        <w:t xml:space="preserve"> </w:t>
      </w:r>
      <w:r w:rsidR="00EA46DD" w:rsidRPr="00780E96">
        <w:fldChar w:fldCharType="begin"/>
      </w:r>
      <w:r w:rsidR="00EA46DD" w:rsidRPr="00780E96">
        <w:instrText xml:space="preserve"> REF _Ref221038823 \w \h </w:instrText>
      </w:r>
      <w:r w:rsidR="00780E96">
        <w:instrText xml:space="preserve"> \* MERGEFORMAT </w:instrText>
      </w:r>
      <w:r w:rsidR="00EA46DD" w:rsidRPr="00780E96">
        <w:fldChar w:fldCharType="separate"/>
      </w:r>
      <w:r w:rsidR="003B0135" w:rsidRPr="00780E96">
        <w:rPr>
          <w:cs/>
        </w:rPr>
        <w:t>‎</w:t>
      </w:r>
      <w:r w:rsidR="003B0135" w:rsidRPr="00780E96">
        <w:t>5.11</w:t>
      </w:r>
      <w:r w:rsidR="00EA46DD" w:rsidRPr="00780E96">
        <w:fldChar w:fldCharType="end"/>
      </w:r>
      <w:r w:rsidR="00D9066E" w:rsidRPr="00780E96">
        <w:t>.</w:t>
      </w:r>
    </w:p>
    <w:p w14:paraId="49C35358" w14:textId="3289BD57" w:rsidR="00073D6D" w:rsidRPr="00780E96" w:rsidRDefault="000B0294">
      <w:pPr>
        <w:pStyle w:val="SDMHead3"/>
      </w:pPr>
      <w:bookmarkStart w:id="749" w:name="_Toc215923334"/>
      <w:bookmarkStart w:id="750" w:name="_Toc216093030"/>
      <w:bookmarkStart w:id="751" w:name="_Ref216179138"/>
      <w:bookmarkStart w:id="752" w:name="_Toc216271759"/>
      <w:bookmarkStart w:id="753" w:name="_Toc216279376"/>
      <w:bookmarkStart w:id="754" w:name="_Toc216283414"/>
      <w:bookmarkStart w:id="755" w:name="_Toc216288032"/>
      <w:bookmarkStart w:id="756" w:name="_Toc219666139"/>
      <w:bookmarkStart w:id="757" w:name="_Toc220001399"/>
      <w:bookmarkStart w:id="758" w:name="_Toc221096423"/>
      <w:bookmarkStart w:id="759" w:name="_Toc221097975"/>
      <w:bookmarkStart w:id="760" w:name="_Toc221116271"/>
      <w:bookmarkStart w:id="761" w:name="_Toc221117287"/>
      <w:bookmarkStart w:id="762" w:name="_Toc222132125"/>
      <w:bookmarkStart w:id="763" w:name="_Toc222494926"/>
      <w:bookmarkStart w:id="764" w:name="_Toc222512442"/>
      <w:bookmarkStart w:id="765" w:name="_Toc222741762"/>
      <w:bookmarkStart w:id="766" w:name="_Toc234853843"/>
      <w:bookmarkStart w:id="767" w:name="_Toc235002281"/>
      <w:bookmarkStart w:id="768" w:name="_Toc235003440"/>
      <w:bookmarkStart w:id="769" w:name="_Toc236154237"/>
      <w:bookmarkStart w:id="770" w:name="_Toc236216614"/>
      <w:bookmarkStart w:id="771" w:name="_Toc240545102"/>
      <w:bookmarkStart w:id="772" w:name="_Toc240545318"/>
      <w:bookmarkStart w:id="773" w:name="_Toc240576900"/>
      <w:r w:rsidRPr="00780E96">
        <w:t xml:space="preserve">Option </w:t>
      </w:r>
      <w:r w:rsidR="009076AA" w:rsidRPr="00780E96">
        <w:t>B</w:t>
      </w:r>
      <w:r w:rsidRPr="00780E96">
        <w:t xml:space="preserve">: </w:t>
      </w:r>
      <w:r w:rsidR="001D3295" w:rsidRPr="00780E96">
        <w:t>Use a conservative default emission factor</w:t>
      </w:r>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p>
    <w:p w14:paraId="65614496" w14:textId="51F81DFA" w:rsidR="006510A9" w:rsidRPr="00780E96" w:rsidRDefault="010EAA52">
      <w:pPr>
        <w:pStyle w:val="SDMPara"/>
      </w:pPr>
      <w:r w:rsidRPr="00780E96">
        <w:t>The default values provided</w:t>
      </w:r>
      <w:r w:rsidR="001F1739" w:rsidRPr="00780E96">
        <w:t xml:space="preserve"> in</w:t>
      </w:r>
      <w:r w:rsidR="00194FE8" w:rsidRPr="00780E96">
        <w:t xml:space="preserve"> </w:t>
      </w:r>
      <w:r w:rsidR="001E6FB9" w:rsidRPr="00780E96">
        <w:rPr>
          <w:b/>
          <w:bCs/>
        </w:rPr>
        <w:t>table</w:t>
      </w:r>
      <w:r w:rsidR="00B23B70" w:rsidRPr="00780E96">
        <w:rPr>
          <w:b/>
          <w:bCs/>
        </w:rPr>
        <w:t> </w:t>
      </w:r>
      <w:r w:rsidR="00495721" w:rsidRPr="00780E96">
        <w:rPr>
          <w:rFonts w:eastAsia="MS Mincho" w:hint="eastAsia"/>
          <w:b/>
          <w:bCs/>
          <w:lang w:eastAsia="ja-JP"/>
        </w:rPr>
        <w:t>3</w:t>
      </w:r>
      <w:r w:rsidR="00E41BC9" w:rsidRPr="00780E96" w:rsidDel="001E6FB9">
        <w:t xml:space="preserve"> </w:t>
      </w:r>
      <w:r w:rsidR="00E41BC9" w:rsidRPr="00780E96">
        <w:t xml:space="preserve">in section </w:t>
      </w:r>
      <w:r w:rsidR="00FD4A03" w:rsidRPr="00780E96">
        <w:fldChar w:fldCharType="begin"/>
      </w:r>
      <w:r w:rsidR="00FD4A03" w:rsidRPr="00780E96">
        <w:instrText xml:space="preserve"> REF _Ref215698796 \w \h </w:instrText>
      </w:r>
      <w:r w:rsidR="00780E96">
        <w:instrText xml:space="preserve"> \* MERGEFORMAT </w:instrText>
      </w:r>
      <w:r w:rsidR="00FD4A03" w:rsidRPr="00780E96">
        <w:fldChar w:fldCharType="separate"/>
      </w:r>
      <w:r w:rsidR="003B0135" w:rsidRPr="00780E96">
        <w:rPr>
          <w:cs/>
        </w:rPr>
        <w:t>‎</w:t>
      </w:r>
      <w:r w:rsidR="003B0135" w:rsidRPr="00780E96">
        <w:t>5.7.1.1.3</w:t>
      </w:r>
      <w:r w:rsidR="00FD4A03" w:rsidRPr="00780E96">
        <w:fldChar w:fldCharType="end"/>
      </w:r>
      <w:r w:rsidR="002409A8" w:rsidRPr="00780E96">
        <w:t xml:space="preserve"> </w:t>
      </w:r>
      <w:r w:rsidR="7726B9A1" w:rsidRPr="00780E96">
        <w:t>shall be applied</w:t>
      </w:r>
      <w:r w:rsidRPr="00780E96">
        <w:t xml:space="preserve"> </w:t>
      </w:r>
      <w:r w:rsidR="06594FB8" w:rsidRPr="00780E96">
        <w:t>for each specified type of fossil fuel-based power plant</w:t>
      </w:r>
      <w:r w:rsidRPr="00780E96">
        <w:t xml:space="preserve">. </w:t>
      </w:r>
      <w:r w:rsidR="00B12FCE" w:rsidRPr="00780E96">
        <w:t>W</w:t>
      </w:r>
      <w:r w:rsidR="498C571E" w:rsidRPr="00780E96">
        <w:t xml:space="preserve">here multiple fossil fuel types are consumed, or </w:t>
      </w:r>
      <w:r w:rsidR="00B12FCE" w:rsidRPr="00780E96">
        <w:t xml:space="preserve">where </w:t>
      </w:r>
      <w:r w:rsidR="498C571E" w:rsidRPr="00780E96">
        <w:t>the fuel type cannot be determined,</w:t>
      </w:r>
      <w:r w:rsidRPr="00780E96">
        <w:t xml:space="preserve"> the higher emission factor shall be used for </w:t>
      </w:r>
      <w:r w:rsidR="00B12FCE" w:rsidRPr="00780E96">
        <w:rPr>
          <w:b/>
          <w:bCs/>
        </w:rPr>
        <w:t>case</w:t>
      </w:r>
      <w:r w:rsidR="00B23B70" w:rsidRPr="00780E96">
        <w:rPr>
          <w:b/>
          <w:bCs/>
        </w:rPr>
        <w:t> </w:t>
      </w:r>
      <w:r w:rsidRPr="00780E96">
        <w:rPr>
          <w:b/>
          <w:bCs/>
        </w:rPr>
        <w:t>1</w:t>
      </w:r>
      <w:r w:rsidRPr="00780E96">
        <w:t xml:space="preserve"> and the lower emission factor shall be used for </w:t>
      </w:r>
      <w:r w:rsidR="0028411E" w:rsidRPr="00780E96">
        <w:rPr>
          <w:b/>
          <w:bCs/>
        </w:rPr>
        <w:t>case </w:t>
      </w:r>
      <w:r w:rsidRPr="00780E96">
        <w:rPr>
          <w:b/>
          <w:bCs/>
        </w:rPr>
        <w:t>2</w:t>
      </w:r>
      <w:r w:rsidR="7E9BCBA6" w:rsidRPr="00780E96">
        <w:t>.</w:t>
      </w:r>
    </w:p>
    <w:p w14:paraId="5F9124BA" w14:textId="36A2D863" w:rsidR="006D0F1E" w:rsidRPr="00780E96" w:rsidRDefault="006D0F1E">
      <w:pPr>
        <w:pStyle w:val="SDMPara"/>
      </w:pPr>
      <w:r w:rsidRPr="00780E96">
        <w:t xml:space="preserve">Under </w:t>
      </w:r>
      <w:r w:rsidR="0028411E" w:rsidRPr="00780E96">
        <w:rPr>
          <w:b/>
          <w:bCs/>
        </w:rPr>
        <w:t>option</w:t>
      </w:r>
      <w:r w:rsidR="00B23B70" w:rsidRPr="00780E96">
        <w:rPr>
          <w:b/>
          <w:bCs/>
        </w:rPr>
        <w:t> </w:t>
      </w:r>
      <w:r w:rsidRPr="00780E96">
        <w:rPr>
          <w:b/>
          <w:bCs/>
        </w:rPr>
        <w:t>B</w:t>
      </w:r>
      <w:r w:rsidRPr="00780E96">
        <w:t>, uncertainty</w:t>
      </w:r>
      <w:r w:rsidR="0099122F" w:rsidRPr="00780E96">
        <w:t xml:space="preserve"> </w:t>
      </w:r>
      <w:r w:rsidR="0028411E" w:rsidRPr="00780E96">
        <w:t>associated with</w:t>
      </w:r>
      <w:r w:rsidR="0099122F" w:rsidRPr="00780E96">
        <w:t xml:space="preserve"> the emission factor </w:t>
      </w:r>
      <w:r w:rsidR="0099122F" w:rsidRPr="00780E96">
        <w:rPr>
          <w:strike/>
        </w:rPr>
        <w:t xml:space="preserve">does </w:t>
      </w:r>
      <w:r w:rsidR="00AF3483" w:rsidRPr="00780E96">
        <w:t>is already addressed through the use of these conservative values and does not need to be considered in calculating the combined uncertainty in section</w:t>
      </w:r>
      <w:r w:rsidR="00840BD6" w:rsidRPr="00780E96">
        <w:t xml:space="preserve"> </w:t>
      </w:r>
      <w:r w:rsidR="009025EB" w:rsidRPr="00780E96">
        <w:fldChar w:fldCharType="begin"/>
      </w:r>
      <w:r w:rsidR="009025EB" w:rsidRPr="00780E96">
        <w:instrText xml:space="preserve"> REF _Ref240301908 \r \h </w:instrText>
      </w:r>
      <w:r w:rsidR="00780E96">
        <w:instrText xml:space="preserve"> \* MERGEFORMAT </w:instrText>
      </w:r>
      <w:r w:rsidR="009025EB" w:rsidRPr="00780E96">
        <w:fldChar w:fldCharType="separate"/>
      </w:r>
      <w:r w:rsidR="003B0135" w:rsidRPr="00780E96">
        <w:rPr>
          <w:cs/>
        </w:rPr>
        <w:t>‎</w:t>
      </w:r>
      <w:r w:rsidR="003B0135" w:rsidRPr="00780E96">
        <w:t>5.11</w:t>
      </w:r>
      <w:r w:rsidR="009025EB" w:rsidRPr="00780E96">
        <w:fldChar w:fldCharType="end"/>
      </w:r>
      <w:r w:rsidR="00AF3483" w:rsidRPr="00780E96">
        <w:t>.</w:t>
      </w:r>
    </w:p>
    <w:p w14:paraId="5E3AE589" w14:textId="490D9922" w:rsidR="00073D6D" w:rsidRDefault="006A773E">
      <w:pPr>
        <w:pStyle w:val="SDMHead2"/>
      </w:pPr>
      <w:bookmarkStart w:id="774" w:name="_Toc215574893"/>
      <w:bookmarkStart w:id="775" w:name="_Toc215579107"/>
      <w:bookmarkStart w:id="776" w:name="_Toc215208607"/>
      <w:bookmarkStart w:id="777" w:name="_Toc215216126"/>
      <w:bookmarkStart w:id="778" w:name="_Toc215222862"/>
      <w:bookmarkStart w:id="779" w:name="_Toc215223050"/>
      <w:bookmarkStart w:id="780" w:name="_Toc215223272"/>
      <w:bookmarkStart w:id="781" w:name="_Toc215574894"/>
      <w:bookmarkStart w:id="782" w:name="_Toc215579108"/>
      <w:bookmarkStart w:id="783" w:name="_Toc215208608"/>
      <w:bookmarkStart w:id="784" w:name="_Toc215216127"/>
      <w:bookmarkStart w:id="785" w:name="_Toc215222863"/>
      <w:bookmarkStart w:id="786" w:name="_Toc215223051"/>
      <w:bookmarkStart w:id="787" w:name="_Toc215223273"/>
      <w:bookmarkStart w:id="788" w:name="_Toc215208609"/>
      <w:bookmarkStart w:id="789" w:name="_Toc215216128"/>
      <w:bookmarkStart w:id="790" w:name="_Toc215222864"/>
      <w:bookmarkStart w:id="791" w:name="_Toc215223052"/>
      <w:bookmarkStart w:id="792" w:name="_Toc215223274"/>
      <w:bookmarkStart w:id="793" w:name="_Toc215574895"/>
      <w:bookmarkStart w:id="794" w:name="_Toc215579109"/>
      <w:bookmarkStart w:id="795" w:name="_Toc212389911"/>
      <w:bookmarkStart w:id="796" w:name="_Ref212234583"/>
      <w:bookmarkStart w:id="797" w:name="_Toc215208610"/>
      <w:bookmarkStart w:id="798" w:name="_Toc215216129"/>
      <w:bookmarkStart w:id="799" w:name="_Toc215222865"/>
      <w:bookmarkStart w:id="800" w:name="_Toc215223053"/>
      <w:bookmarkStart w:id="801" w:name="_Toc215223275"/>
      <w:bookmarkStart w:id="802" w:name="_Toc215574896"/>
      <w:bookmarkStart w:id="803" w:name="_Toc215923335"/>
      <w:bookmarkStart w:id="804" w:name="_Toc216093031"/>
      <w:bookmarkStart w:id="805" w:name="_Toc216271760"/>
      <w:bookmarkStart w:id="806" w:name="_Toc216279377"/>
      <w:bookmarkStart w:id="807" w:name="_Toc216283415"/>
      <w:bookmarkStart w:id="808" w:name="_Toc216288033"/>
      <w:bookmarkStart w:id="809" w:name="_Toc219666140"/>
      <w:bookmarkStart w:id="810" w:name="_Toc220001400"/>
      <w:bookmarkStart w:id="811" w:name="_Ref221036644"/>
      <w:bookmarkStart w:id="812" w:name="_Toc221096424"/>
      <w:bookmarkStart w:id="813" w:name="_Toc221097976"/>
      <w:bookmarkStart w:id="814" w:name="_Toc221116272"/>
      <w:bookmarkStart w:id="815" w:name="_Toc221117288"/>
      <w:bookmarkStart w:id="816" w:name="_Toc222132126"/>
      <w:bookmarkStart w:id="817" w:name="_Toc222494927"/>
      <w:bookmarkStart w:id="818" w:name="_Toc222512443"/>
      <w:bookmarkStart w:id="819" w:name="_Toc222741763"/>
      <w:bookmarkStart w:id="820" w:name="_Toc234853844"/>
      <w:bookmarkStart w:id="821" w:name="_Toc235002282"/>
      <w:bookmarkStart w:id="822" w:name="_Toc235003441"/>
      <w:bookmarkStart w:id="823" w:name="_Toc236154238"/>
      <w:bookmarkStart w:id="824" w:name="_Toc236216615"/>
      <w:bookmarkStart w:id="825" w:name="_Toc240545103"/>
      <w:bookmarkStart w:id="826" w:name="_Toc240545319"/>
      <w:bookmarkStart w:id="827" w:name="_Toc240576901"/>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r>
        <w:t>Step</w:t>
      </w:r>
      <w:r w:rsidR="00B23B70">
        <w:t> </w:t>
      </w:r>
      <w:r w:rsidR="00614109">
        <w:t>9</w:t>
      </w:r>
      <w:r>
        <w:t xml:space="preserve">. </w:t>
      </w:r>
      <w:r w:rsidR="0094340B" w:rsidRPr="0094340B">
        <w:t xml:space="preserve">Determine the transmission and distribution losses from the electricity system, </w:t>
      </w:r>
      <w:r w:rsidR="0094340B" w:rsidRPr="00EC08A5">
        <w:t>where applicable</w:t>
      </w:r>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p>
    <w:p w14:paraId="14849D2D" w14:textId="655A72FA" w:rsidR="00AE24CD" w:rsidRDefault="00D70DD7">
      <w:pPr>
        <w:pStyle w:val="SDMPara"/>
      </w:pPr>
      <w:bookmarkStart w:id="828" w:name="_Ref220953578"/>
      <w:r>
        <w:t xml:space="preserve">This step is only applicable </w:t>
      </w:r>
      <w:r w:rsidRPr="00852F54">
        <w:t xml:space="preserve">where </w:t>
      </w:r>
      <w:r w:rsidR="009B58B2" w:rsidRPr="00852F54">
        <w:rPr>
          <w:b/>
          <w:bCs/>
        </w:rPr>
        <w:t>scenario</w:t>
      </w:r>
      <w:r w:rsidR="00B23B70" w:rsidRPr="00852F54">
        <w:rPr>
          <w:b/>
          <w:bCs/>
        </w:rPr>
        <w:t> </w:t>
      </w:r>
      <w:r w:rsidR="003466C0" w:rsidRPr="00852F54">
        <w:rPr>
          <w:b/>
          <w:bCs/>
        </w:rPr>
        <w:t>A</w:t>
      </w:r>
      <w:r w:rsidR="003466C0" w:rsidRPr="00852F54">
        <w:t xml:space="preserve"> or</w:t>
      </w:r>
      <w:r w:rsidR="003466C0" w:rsidRPr="00852F54" w:rsidDel="009B58B2">
        <w:t xml:space="preserve"> </w:t>
      </w:r>
      <w:r w:rsidR="009B58B2" w:rsidRPr="00852F54">
        <w:rPr>
          <w:b/>
          <w:bCs/>
        </w:rPr>
        <w:t>scenario</w:t>
      </w:r>
      <w:r w:rsidR="00B23B70" w:rsidRPr="00852F54">
        <w:rPr>
          <w:b/>
          <w:bCs/>
        </w:rPr>
        <w:t> </w:t>
      </w:r>
      <w:r w:rsidR="003466C0" w:rsidRPr="00852F54">
        <w:rPr>
          <w:b/>
          <w:bCs/>
        </w:rPr>
        <w:t>C</w:t>
      </w:r>
      <w:r w:rsidRPr="00852F54">
        <w:t xml:space="preserve"> applies and where electricity is consumed from the </w:t>
      </w:r>
      <w:r w:rsidR="00EC08A5" w:rsidRPr="00852F54">
        <w:t>project electricity system</w:t>
      </w:r>
      <w:r w:rsidR="004D4B9F" w:rsidRPr="00852F54">
        <w:t xml:space="preserve"> in the </w:t>
      </w:r>
      <w:r w:rsidR="00BB0EC2" w:rsidRPr="00852F54">
        <w:t>activity</w:t>
      </w:r>
      <w:r w:rsidR="004D4B9F" w:rsidRPr="00852F54">
        <w:t xml:space="preserve"> scenario and/or the baseline scenario. </w:t>
      </w:r>
      <w:r w:rsidR="00A20367" w:rsidRPr="00852F54">
        <w:t>This step is</w:t>
      </w:r>
      <w:r w:rsidR="004D4B9F" w:rsidRPr="00852F54">
        <w:t xml:space="preserve"> </w:t>
      </w:r>
      <w:r w:rsidR="004D4B9F" w:rsidRPr="00852F54">
        <w:rPr>
          <w:b/>
          <w:bCs/>
        </w:rPr>
        <w:t>not applicable</w:t>
      </w:r>
      <w:r w:rsidR="004D4B9F" w:rsidRPr="00852F54">
        <w:t xml:space="preserve"> where electricity </w:t>
      </w:r>
      <w:r w:rsidR="009C19A9" w:rsidRPr="00852F54">
        <w:t xml:space="preserve">is supplied to the </w:t>
      </w:r>
      <w:r w:rsidR="00EC08A5" w:rsidRPr="00852F54">
        <w:t xml:space="preserve">project </w:t>
      </w:r>
      <w:r w:rsidR="009C19A9" w:rsidRPr="00852F54">
        <w:t xml:space="preserve">electricity </w:t>
      </w:r>
      <w:r w:rsidR="00AE24CD" w:rsidRPr="00852F54">
        <w:t xml:space="preserve">system in the </w:t>
      </w:r>
      <w:r w:rsidR="00EC08A5">
        <w:t xml:space="preserve">activity scenario </w:t>
      </w:r>
      <w:r w:rsidR="00AE24CD">
        <w:t>and/or baseline scenario.</w:t>
      </w:r>
      <w:bookmarkEnd w:id="828"/>
    </w:p>
    <w:p w14:paraId="3E8E8A1C" w14:textId="77777777" w:rsidR="00780B7E" w:rsidRDefault="00AE24CD" w:rsidP="00F62D64">
      <w:pPr>
        <w:pStyle w:val="SDMPara"/>
        <w:keepNext/>
      </w:pPr>
      <w:r>
        <w:t>A</w:t>
      </w:r>
      <w:r w:rsidR="76239DE7">
        <w:t>ctivity</w:t>
      </w:r>
      <w:r w:rsidR="00780B7E">
        <w:t xml:space="preserve"> participants shall determine transmission and distribution losses </w:t>
      </w:r>
      <w:r w:rsidR="00952989">
        <w:t xml:space="preserve">from the electricity system </w:t>
      </w:r>
      <w:r w:rsidR="00780B7E">
        <w:t>using one of the following two options:</w:t>
      </w:r>
    </w:p>
    <w:p w14:paraId="571E7D75" w14:textId="615B60E6" w:rsidR="00686678" w:rsidRPr="00780E96" w:rsidRDefault="4138104C" w:rsidP="00F62D64">
      <w:pPr>
        <w:pStyle w:val="SDMSubPara1"/>
        <w:keepNext/>
      </w:pPr>
      <w:r w:rsidRPr="55FC4291">
        <w:rPr>
          <w:b/>
          <w:bCs/>
        </w:rPr>
        <w:t>Option</w:t>
      </w:r>
      <w:r w:rsidR="7660C381" w:rsidRPr="55FC4291">
        <w:rPr>
          <w:b/>
          <w:bCs/>
        </w:rPr>
        <w:t> </w:t>
      </w:r>
      <w:r w:rsidRPr="55FC4291">
        <w:rPr>
          <w:b/>
          <w:bCs/>
        </w:rPr>
        <w:t>1</w:t>
      </w:r>
      <w:r>
        <w:t xml:space="preserve">: </w:t>
      </w:r>
      <w:r w:rsidR="0A08EE74">
        <w:t xml:space="preserve">determine </w:t>
      </w:r>
      <w:r>
        <w:t xml:space="preserve">the transmission and distribution losses for the specific </w:t>
      </w:r>
      <w:r w:rsidR="1A86CB80">
        <w:t xml:space="preserve">circumstances </w:t>
      </w:r>
      <w:r>
        <w:t xml:space="preserve">of the Article </w:t>
      </w:r>
      <w:r w:rsidRPr="00585969">
        <w:t>6.4</w:t>
      </w:r>
      <w:r w:rsidR="000F55DF" w:rsidRPr="00585969">
        <w:rPr>
          <w:rFonts w:eastAsia="Arial"/>
        </w:rPr>
        <w:t xml:space="preserve"> project</w:t>
      </w:r>
      <w:r w:rsidR="000F55DF" w:rsidRPr="00780E96">
        <w:rPr>
          <w:rFonts w:eastAsia="Arial"/>
        </w:rPr>
        <w:t xml:space="preserve"> or CP</w:t>
      </w:r>
      <w:r w:rsidRPr="00780E96">
        <w:t xml:space="preserve">, taking into </w:t>
      </w:r>
      <w:r w:rsidR="5AD3714B" w:rsidRPr="00780E96">
        <w:t>account</w:t>
      </w:r>
      <w:r w:rsidRPr="00780E96">
        <w:t xml:space="preserve"> the relevant parameters such as the geographical region and the voltage level at which electricity is consumed</w:t>
      </w:r>
      <w:r w:rsidR="458A9B15" w:rsidRPr="00780E96">
        <w:t xml:space="preserve"> from</w:t>
      </w:r>
      <w:r w:rsidRPr="00780E96">
        <w:t xml:space="preserve"> </w:t>
      </w:r>
      <w:r w:rsidR="458A9B15" w:rsidRPr="00780E96">
        <w:t>the electricity system</w:t>
      </w:r>
      <w:r w:rsidR="1BFC6D51" w:rsidRPr="00780E96">
        <w:t xml:space="preserve">, </w:t>
      </w:r>
      <w:r w:rsidR="33FB1DE7" w:rsidRPr="00780E96">
        <w:t>based on</w:t>
      </w:r>
      <w:r w:rsidRPr="00780E96">
        <w:t xml:space="preserve"> transmission and distribution loss data from sources such as electricity wholesale or retail companies</w:t>
      </w:r>
      <w:r w:rsidR="6A32B33A" w:rsidRPr="00780E96">
        <w:t>. This option may be</w:t>
      </w:r>
      <w:r w:rsidR="6A0FF448" w:rsidRPr="00780E96">
        <w:t xml:space="preserve"> </w:t>
      </w:r>
      <w:r w:rsidR="6A32B33A" w:rsidRPr="00780E96">
        <w:t>applied</w:t>
      </w:r>
      <w:r w:rsidR="6A0FF448" w:rsidRPr="00780E96">
        <w:t xml:space="preserve"> </w:t>
      </w:r>
      <w:r w:rsidR="586BB4C5" w:rsidRPr="00780E96">
        <w:t xml:space="preserve">either </w:t>
      </w:r>
      <w:r w:rsidR="1DDA8ACF" w:rsidRPr="00780E96">
        <w:t>(i) ex</w:t>
      </w:r>
      <w:r w:rsidR="17103C98" w:rsidRPr="00780E96">
        <w:t>-</w:t>
      </w:r>
      <w:r w:rsidR="1DDA8ACF" w:rsidRPr="00780E96">
        <w:t>post</w:t>
      </w:r>
      <w:r w:rsidRPr="00780E96">
        <w:t xml:space="preserve"> for the calendar year for which emission reductions are determined</w:t>
      </w:r>
      <w:r w:rsidR="37C94566" w:rsidRPr="00780E96">
        <w:t>, or</w:t>
      </w:r>
      <w:r w:rsidRPr="00780E96">
        <w:t xml:space="preserve"> (ii) </w:t>
      </w:r>
      <w:r w:rsidR="1DDA8ACF" w:rsidRPr="00780E96">
        <w:t>ex</w:t>
      </w:r>
      <w:r w:rsidR="2A9836AD" w:rsidRPr="00780E96">
        <w:t>-</w:t>
      </w:r>
      <w:r w:rsidR="1DDA8ACF" w:rsidRPr="00780E96">
        <w:t>ante for the crediting period</w:t>
      </w:r>
      <w:r w:rsidR="32CC0FE1" w:rsidRPr="00780E96">
        <w:t>,</w:t>
      </w:r>
      <w:r w:rsidR="6B0872AA" w:rsidRPr="00780E96">
        <w:t xml:space="preserve"> using </w:t>
      </w:r>
      <w:r w:rsidR="70932584" w:rsidRPr="00780E96">
        <w:t xml:space="preserve">average </w:t>
      </w:r>
      <w:r w:rsidR="6B0872AA" w:rsidRPr="00780E96">
        <w:t xml:space="preserve">transmission and distribution losses </w:t>
      </w:r>
      <w:r w:rsidR="32CC0FE1" w:rsidRPr="00780E96">
        <w:t xml:space="preserve">from </w:t>
      </w:r>
      <w:r w:rsidR="70932584" w:rsidRPr="00780E96">
        <w:t xml:space="preserve">the </w:t>
      </w:r>
      <w:r w:rsidRPr="00780E96">
        <w:t xml:space="preserve">most recent three years </w:t>
      </w:r>
      <w:r w:rsidR="7E3BAAE4" w:rsidRPr="00780E96">
        <w:t xml:space="preserve">for which data </w:t>
      </w:r>
      <w:r w:rsidR="27A77F35" w:rsidRPr="00780E96">
        <w:t xml:space="preserve">are </w:t>
      </w:r>
      <w:r w:rsidR="7E3BAAE4" w:rsidRPr="00780E96">
        <w:t xml:space="preserve">available at the time of submission </w:t>
      </w:r>
      <w:r w:rsidR="00817D95" w:rsidRPr="00780E96">
        <w:t xml:space="preserve">to the DOE for validation </w:t>
      </w:r>
      <w:r w:rsidR="7E3BAAE4" w:rsidRPr="00780E96">
        <w:t>of the PDD</w:t>
      </w:r>
      <w:r w:rsidR="00FA4D6B" w:rsidRPr="00780E96">
        <w:t xml:space="preserve"> or CP-DD</w:t>
      </w:r>
      <w:r w:rsidR="39593C1D" w:rsidRPr="00780E96">
        <w:t>.</w:t>
      </w:r>
      <w:r w:rsidR="60113196" w:rsidRPr="00780E96">
        <w:t xml:space="preserve"> </w:t>
      </w:r>
      <w:r w:rsidR="40C961D9" w:rsidRPr="00780E96">
        <w:t>The following conditions apply:</w:t>
      </w:r>
    </w:p>
    <w:p w14:paraId="369E2E91" w14:textId="7C203B6E" w:rsidR="00686678" w:rsidRPr="00F65332" w:rsidRDefault="66FDFEB6" w:rsidP="00B15AC9">
      <w:pPr>
        <w:pStyle w:val="SDMSubPara2"/>
      </w:pPr>
      <w:r w:rsidRPr="00780E96">
        <w:t>For</w:t>
      </w:r>
      <w:r w:rsidR="003D5DAC" w:rsidRPr="00780E96">
        <w:t xml:space="preserve"> </w:t>
      </w:r>
      <w:r w:rsidR="00925663" w:rsidRPr="00780E96">
        <w:rPr>
          <w:b/>
          <w:bCs/>
        </w:rPr>
        <w:t>case</w:t>
      </w:r>
      <w:r w:rsidR="002234F1" w:rsidRPr="00780E96">
        <w:rPr>
          <w:b/>
          <w:bCs/>
        </w:rPr>
        <w:t> </w:t>
      </w:r>
      <w:r w:rsidR="003D5DAC" w:rsidRPr="00780E96">
        <w:rPr>
          <w:b/>
          <w:bCs/>
        </w:rPr>
        <w:t>1</w:t>
      </w:r>
      <w:r w:rsidR="003D5DAC" w:rsidRPr="00780E96">
        <w:t xml:space="preserve">, the data </w:t>
      </w:r>
      <w:r w:rsidR="00E77242" w:rsidRPr="00780E96">
        <w:t xml:space="preserve">used </w:t>
      </w:r>
      <w:r w:rsidR="00B11948" w:rsidRPr="00780E96">
        <w:t xml:space="preserve">may </w:t>
      </w:r>
      <w:r w:rsidR="00C90B80" w:rsidRPr="00780E96">
        <w:t xml:space="preserve">include </w:t>
      </w:r>
      <w:r w:rsidR="00B11948" w:rsidRPr="00780E96">
        <w:t xml:space="preserve">or </w:t>
      </w:r>
      <w:r w:rsidR="00C90B80" w:rsidRPr="00780E96">
        <w:t>exclude</w:t>
      </w:r>
      <w:r w:rsidR="00B11948" w:rsidRPr="00780E96">
        <w:t xml:space="preserve"> losses</w:t>
      </w:r>
      <w:r w:rsidR="00B11948">
        <w:t xml:space="preserve"> from </w:t>
      </w:r>
      <w:r w:rsidR="003D5DAC">
        <w:t>electricity pilferage</w:t>
      </w:r>
      <w:r w:rsidR="000419C3">
        <w:t xml:space="preserve">. </w:t>
      </w:r>
      <w:r w:rsidR="00CF6E1F">
        <w:t>Accordingly,</w:t>
      </w:r>
      <w:r w:rsidR="00111107">
        <w:t xml:space="preserve"> data may be used even if no information</w:t>
      </w:r>
      <w:r w:rsidR="00C87ABE">
        <w:t xml:space="preserve"> is available </w:t>
      </w:r>
      <w:r w:rsidR="00AF06CD">
        <w:t>on</w:t>
      </w:r>
      <w:r w:rsidR="00C87ABE">
        <w:t xml:space="preserve"> whether losses from electricity pilferage</w:t>
      </w:r>
      <w:r w:rsidR="00E95398">
        <w:t xml:space="preserve"> are included</w:t>
      </w:r>
      <w:r w:rsidR="00686678">
        <w:t>; and</w:t>
      </w:r>
    </w:p>
    <w:p w14:paraId="7D5527F0" w14:textId="5F3CEDCD" w:rsidR="003D5DAC" w:rsidRDefault="66FDFEB6" w:rsidP="00F65332">
      <w:pPr>
        <w:pStyle w:val="SDMSubPara2"/>
      </w:pPr>
      <w:r>
        <w:t>For</w:t>
      </w:r>
      <w:r w:rsidR="003D5DAC">
        <w:t xml:space="preserve"> </w:t>
      </w:r>
      <w:r w:rsidR="00E95398" w:rsidRPr="00EB54DE">
        <w:rPr>
          <w:b/>
          <w:bCs/>
        </w:rPr>
        <w:t>case </w:t>
      </w:r>
      <w:r w:rsidR="000419C3" w:rsidRPr="00EB54DE">
        <w:rPr>
          <w:b/>
          <w:bCs/>
        </w:rPr>
        <w:t>2</w:t>
      </w:r>
      <w:r w:rsidR="003D5DAC">
        <w:t xml:space="preserve">, the data </w:t>
      </w:r>
      <w:r w:rsidR="000419C3">
        <w:t xml:space="preserve">shall include physical losses </w:t>
      </w:r>
      <w:r w:rsidR="00675DA8">
        <w:t xml:space="preserve">only </w:t>
      </w:r>
      <w:r w:rsidR="000419C3">
        <w:t xml:space="preserve">and </w:t>
      </w:r>
      <w:r w:rsidR="00675DA8">
        <w:t xml:space="preserve">shall exclude </w:t>
      </w:r>
      <w:r w:rsidR="000419C3">
        <w:t>any losses from</w:t>
      </w:r>
      <w:r w:rsidR="003D5DAC">
        <w:t xml:space="preserve"> electricity pilferage;</w:t>
      </w:r>
      <w:r w:rsidR="00AE12E7">
        <w:t xml:space="preserve"> or</w:t>
      </w:r>
    </w:p>
    <w:p w14:paraId="46EA253D" w14:textId="0B974FC0" w:rsidR="00780B7E" w:rsidRDefault="78E9A065" w:rsidP="00F65332">
      <w:pPr>
        <w:pStyle w:val="SDMSubPara1"/>
      </w:pPr>
      <w:r w:rsidRPr="55FC4291">
        <w:rPr>
          <w:b/>
          <w:bCs/>
        </w:rPr>
        <w:t>Option</w:t>
      </w:r>
      <w:r w:rsidR="7660C381" w:rsidRPr="55FC4291">
        <w:rPr>
          <w:b/>
          <w:bCs/>
        </w:rPr>
        <w:t> </w:t>
      </w:r>
      <w:r w:rsidRPr="55FC4291">
        <w:rPr>
          <w:b/>
          <w:bCs/>
        </w:rPr>
        <w:t>2</w:t>
      </w:r>
      <w:r>
        <w:t xml:space="preserve">: </w:t>
      </w:r>
      <w:r w:rsidR="0A08EE74">
        <w:t xml:space="preserve">apply </w:t>
      </w:r>
      <w:r>
        <w:t xml:space="preserve">the </w:t>
      </w:r>
      <w:r w:rsidR="12CF3BB4">
        <w:t xml:space="preserve">appropriate </w:t>
      </w:r>
      <w:r>
        <w:t xml:space="preserve">default value </w:t>
      </w:r>
      <w:r w:rsidR="5A53B74A">
        <w:t>from</w:t>
      </w:r>
      <w:r w:rsidR="1CBDD020">
        <w:t xml:space="preserve"> </w:t>
      </w:r>
      <w:r w:rsidR="00780B7E">
        <w:fldChar w:fldCharType="begin"/>
      </w:r>
      <w:r w:rsidR="00780B7E">
        <w:instrText xml:space="preserve"> REF _Ref220950383 \h </w:instrText>
      </w:r>
      <w:r w:rsidR="00780B7E">
        <w:fldChar w:fldCharType="separate"/>
      </w:r>
      <w:r w:rsidR="003B0135">
        <w:t>Table </w:t>
      </w:r>
      <w:r w:rsidR="003B0135">
        <w:rPr>
          <w:noProof/>
        </w:rPr>
        <w:t>6</w:t>
      </w:r>
      <w:r w:rsidR="00780B7E">
        <w:fldChar w:fldCharType="end"/>
      </w:r>
      <w:r w:rsidR="587D5B11">
        <w:t xml:space="preserve"> </w:t>
      </w:r>
      <w:r>
        <w:t>for</w:t>
      </w:r>
      <w:r w:rsidR="5A53B74A">
        <w:t xml:space="preserve"> </w:t>
      </w:r>
      <w:r>
        <w:t>transmission and distribution losses</w:t>
      </w:r>
      <w:r w:rsidR="5A53B74A">
        <w:t>,</w:t>
      </w:r>
      <w:r w:rsidR="3889E143">
        <w:t xml:space="preserve"> </w:t>
      </w:r>
      <w:r w:rsidR="46DFAFEB">
        <w:t>based on</w:t>
      </w:r>
      <w:r w:rsidR="6C2D18C1">
        <w:t xml:space="preserve"> </w:t>
      </w:r>
      <w:r w:rsidR="5A53B74A">
        <w:t>the</w:t>
      </w:r>
      <w:r w:rsidR="75D641B7">
        <w:t xml:space="preserve"> voltage level</w:t>
      </w:r>
      <w:r w:rsidR="5A53B74A">
        <w:t xml:space="preserve"> at which electricity is consumed and depending on whether</w:t>
      </w:r>
      <w:r w:rsidR="31B9FA88">
        <w:t xml:space="preserve"> </w:t>
      </w:r>
      <w:r w:rsidR="6553C4A3" w:rsidRPr="55FC4291">
        <w:rPr>
          <w:b/>
          <w:bCs/>
        </w:rPr>
        <w:t>case</w:t>
      </w:r>
      <w:r w:rsidR="7660C381" w:rsidRPr="55FC4291">
        <w:rPr>
          <w:b/>
          <w:bCs/>
        </w:rPr>
        <w:t> </w:t>
      </w:r>
      <w:r w:rsidR="31B9FA88" w:rsidRPr="55FC4291">
        <w:rPr>
          <w:b/>
          <w:bCs/>
        </w:rPr>
        <w:t>1</w:t>
      </w:r>
      <w:r w:rsidR="31B9FA88">
        <w:t xml:space="preserve"> </w:t>
      </w:r>
      <w:r w:rsidR="5A53B74A">
        <w:t>or</w:t>
      </w:r>
      <w:r w:rsidR="31B9FA88">
        <w:t xml:space="preserve"> </w:t>
      </w:r>
      <w:r w:rsidR="6553C4A3" w:rsidRPr="55FC4291">
        <w:rPr>
          <w:b/>
          <w:bCs/>
        </w:rPr>
        <w:t>case</w:t>
      </w:r>
      <w:r w:rsidR="7660C381" w:rsidRPr="55FC4291">
        <w:rPr>
          <w:b/>
          <w:bCs/>
        </w:rPr>
        <w:t> </w:t>
      </w:r>
      <w:r w:rsidR="31B9FA88" w:rsidRPr="55FC4291">
        <w:rPr>
          <w:b/>
          <w:bCs/>
        </w:rPr>
        <w:t>2</w:t>
      </w:r>
      <w:r w:rsidR="0AE07F4D">
        <w:t xml:space="preserve"> </w:t>
      </w:r>
      <w:r w:rsidR="5A53B74A">
        <w:t>applies</w:t>
      </w:r>
      <w:r w:rsidR="6C098EF8">
        <w:t>.</w:t>
      </w:r>
    </w:p>
    <w:p w14:paraId="1FA3632A" w14:textId="3C64CC36" w:rsidR="000F6788" w:rsidRDefault="003C00B5" w:rsidP="003C00B5">
      <w:pPr>
        <w:pStyle w:val="Caption"/>
      </w:pPr>
      <w:bookmarkStart w:id="829" w:name="_Ref220950383"/>
      <w:r>
        <w:t>Table</w:t>
      </w:r>
      <w:r w:rsidR="00B23B70">
        <w:t> </w:t>
      </w:r>
      <w:r>
        <w:fldChar w:fldCharType="begin"/>
      </w:r>
      <w:r>
        <w:instrText>SEQ Table \* ARABIC</w:instrText>
      </w:r>
      <w:r>
        <w:fldChar w:fldCharType="separate"/>
      </w:r>
      <w:r w:rsidR="003B0135">
        <w:rPr>
          <w:noProof/>
        </w:rPr>
        <w:t>6</w:t>
      </w:r>
      <w:r>
        <w:fldChar w:fldCharType="end"/>
      </w:r>
      <w:bookmarkEnd w:id="829"/>
      <w:r w:rsidR="00194FE8">
        <w:rPr>
          <w:noProof/>
        </w:rPr>
        <w:t>.</w:t>
      </w:r>
      <w:r w:rsidR="00194FE8">
        <w:tab/>
      </w:r>
      <w:r w:rsidR="00194FE8">
        <w:rPr>
          <w:lang w:val="en-US"/>
        </w:rPr>
        <w:t xml:space="preserve">Default transmission and distribution losses </w:t>
      </w:r>
      <w:r w:rsidR="00AF3A26">
        <w:rPr>
          <w:lang w:val="en-US"/>
        </w:rPr>
        <w:t xml:space="preserve">by voltage level and </w:t>
      </w:r>
      <w:r w:rsidR="00194FE8">
        <w:t>case</w:t>
      </w:r>
    </w:p>
    <w:tbl>
      <w:tblPr>
        <w:tblStyle w:val="SDMTable"/>
        <w:tblW w:w="8529" w:type="dxa"/>
        <w:tblLayout w:type="fixed"/>
        <w:tblLook w:val="04A0" w:firstRow="1" w:lastRow="0" w:firstColumn="1" w:lastColumn="0" w:noHBand="0" w:noVBand="1"/>
      </w:tblPr>
      <w:tblGrid>
        <w:gridCol w:w="4209"/>
        <w:gridCol w:w="2031"/>
        <w:gridCol w:w="1161"/>
        <w:gridCol w:w="1128"/>
      </w:tblGrid>
      <w:tr w:rsidR="00BD1674" w14:paraId="7F260165" w14:textId="77777777" w:rsidTr="00412F39">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209" w:type="dxa"/>
          </w:tcPr>
          <w:p w14:paraId="5A1FF91B" w14:textId="1A5B7B37" w:rsidR="00BD1674" w:rsidRPr="00895A85" w:rsidRDefault="00BD1674" w:rsidP="00030CE7">
            <w:pPr>
              <w:pStyle w:val="SDMTableBoxParaNotNumbered"/>
              <w:rPr>
                <w:b w:val="0"/>
                <w:bCs/>
              </w:rPr>
            </w:pPr>
            <w:r w:rsidRPr="00895A85">
              <w:rPr>
                <w:bCs/>
              </w:rPr>
              <w:t>Voltage level</w:t>
            </w:r>
            <w:r w:rsidR="00AF3A26">
              <w:rPr>
                <w:bCs/>
              </w:rPr>
              <w:t xml:space="preserve"> at which electricity </w:t>
            </w:r>
            <w:r w:rsidR="00AF3A26" w:rsidDel="00A42D49">
              <w:rPr>
                <w:bCs/>
              </w:rPr>
              <w:t xml:space="preserve">is </w:t>
            </w:r>
            <w:r w:rsidR="00664D06">
              <w:rPr>
                <w:bCs/>
              </w:rPr>
              <w:t>delivered to the electricity consumption source</w:t>
            </w:r>
            <w:r w:rsidR="002976A7">
              <w:rPr>
                <w:bCs/>
              </w:rPr>
              <w:t> </w:t>
            </w:r>
            <w:r w:rsidR="00664D06" w:rsidRPr="00664D06">
              <w:rPr>
                <w:bCs/>
                <w:i/>
                <w:iCs/>
              </w:rPr>
              <w:t>s</w:t>
            </w:r>
          </w:p>
        </w:tc>
        <w:tc>
          <w:tcPr>
            <w:tcW w:w="2031" w:type="dxa"/>
          </w:tcPr>
          <w:p w14:paraId="5C2598A8" w14:textId="61F56370" w:rsidR="00BD1674" w:rsidRPr="07B1BF5F" w:rsidRDefault="00CD2142" w:rsidP="00030CE7">
            <w:pPr>
              <w:pStyle w:val="SDMTableBoxParaNotNumbered"/>
              <w:cnfStyle w:val="100000000000" w:firstRow="1" w:lastRow="0" w:firstColumn="0" w:lastColumn="0" w:oddVBand="0" w:evenVBand="0" w:oddHBand="0" w:evenHBand="0" w:firstRowFirstColumn="0" w:firstRowLastColumn="0" w:lastRowFirstColumn="0" w:lastRowLastColumn="0"/>
              <w:rPr>
                <w:b w:val="0"/>
                <w:bCs/>
              </w:rPr>
            </w:pPr>
            <w:r>
              <w:rPr>
                <w:bCs/>
              </w:rPr>
              <w:t>Voltage r</w:t>
            </w:r>
            <w:r w:rsidR="00BD1674">
              <w:rPr>
                <w:bCs/>
              </w:rPr>
              <w:t>ange</w:t>
            </w:r>
            <w:r w:rsidR="00B012D0">
              <w:rPr>
                <w:bCs/>
              </w:rPr>
              <w:t xml:space="preserve"> (kV)</w:t>
            </w:r>
            <w:r w:rsidR="00B16C25">
              <w:rPr>
                <w:rStyle w:val="FootnoteReference"/>
                <w:bCs/>
              </w:rPr>
              <w:footnoteReference w:id="34"/>
            </w:r>
          </w:p>
        </w:tc>
        <w:tc>
          <w:tcPr>
            <w:tcW w:w="1161" w:type="dxa"/>
          </w:tcPr>
          <w:p w14:paraId="17A45927" w14:textId="07A302C7" w:rsidR="00BD1674" w:rsidRPr="00895A85" w:rsidRDefault="00BD1674" w:rsidP="00030CE7">
            <w:pPr>
              <w:pStyle w:val="SDMTableBoxParaNotNumbered"/>
              <w:cnfStyle w:val="100000000000" w:firstRow="1" w:lastRow="0" w:firstColumn="0" w:lastColumn="0" w:oddVBand="0" w:evenVBand="0" w:oddHBand="0" w:evenHBand="0" w:firstRowFirstColumn="0" w:firstRowLastColumn="0" w:lastRowFirstColumn="0" w:lastRowLastColumn="0"/>
              <w:rPr>
                <w:b w:val="0"/>
                <w:bCs/>
              </w:rPr>
            </w:pPr>
            <w:r w:rsidRPr="07B1BF5F">
              <w:rPr>
                <w:bCs/>
              </w:rPr>
              <w:t>Case</w:t>
            </w:r>
            <w:r w:rsidR="002976A7">
              <w:rPr>
                <w:bCs/>
              </w:rPr>
              <w:t> </w:t>
            </w:r>
            <w:r w:rsidRPr="07B1BF5F">
              <w:rPr>
                <w:bCs/>
              </w:rPr>
              <w:t>1</w:t>
            </w:r>
            <w:r w:rsidR="00A66575">
              <w:rPr>
                <w:bCs/>
              </w:rPr>
              <w:t xml:space="preserve"> (per cent)</w:t>
            </w:r>
          </w:p>
        </w:tc>
        <w:tc>
          <w:tcPr>
            <w:tcW w:w="1128" w:type="dxa"/>
          </w:tcPr>
          <w:p w14:paraId="16FCE691" w14:textId="3FFE937A" w:rsidR="00BD1674" w:rsidRPr="00895A85" w:rsidRDefault="00BD1674" w:rsidP="00030CE7">
            <w:pPr>
              <w:pStyle w:val="SDMTableBoxParaNotNumbered"/>
              <w:cnfStyle w:val="100000000000" w:firstRow="1" w:lastRow="0" w:firstColumn="0" w:lastColumn="0" w:oddVBand="0" w:evenVBand="0" w:oddHBand="0" w:evenHBand="0" w:firstRowFirstColumn="0" w:firstRowLastColumn="0" w:lastRowFirstColumn="0" w:lastRowLastColumn="0"/>
              <w:rPr>
                <w:b w:val="0"/>
                <w:bCs/>
              </w:rPr>
            </w:pPr>
            <w:r w:rsidRPr="07B1BF5F">
              <w:rPr>
                <w:bCs/>
              </w:rPr>
              <w:t>Case</w:t>
            </w:r>
            <w:r w:rsidR="002976A7">
              <w:rPr>
                <w:bCs/>
              </w:rPr>
              <w:t> </w:t>
            </w:r>
            <w:r w:rsidRPr="07B1BF5F">
              <w:rPr>
                <w:bCs/>
              </w:rPr>
              <w:t>2</w:t>
            </w:r>
            <w:r w:rsidR="00A66575">
              <w:rPr>
                <w:bCs/>
              </w:rPr>
              <w:t xml:space="preserve"> (per cent)</w:t>
            </w:r>
          </w:p>
        </w:tc>
      </w:tr>
      <w:tr w:rsidR="00BD1674" w14:paraId="47289F3D" w14:textId="77777777" w:rsidTr="00412F39">
        <w:trPr>
          <w:trHeight w:val="300"/>
        </w:trPr>
        <w:tc>
          <w:tcPr>
            <w:cnfStyle w:val="001000000000" w:firstRow="0" w:lastRow="0" w:firstColumn="1" w:lastColumn="0" w:oddVBand="0" w:evenVBand="0" w:oddHBand="0" w:evenHBand="0" w:firstRowFirstColumn="0" w:firstRowLastColumn="0" w:lastRowFirstColumn="0" w:lastRowLastColumn="0"/>
            <w:tcW w:w="4209" w:type="dxa"/>
          </w:tcPr>
          <w:p w14:paraId="70106CC9" w14:textId="78E74941" w:rsidR="00BD1674" w:rsidRDefault="00BD1674" w:rsidP="00030CE7">
            <w:pPr>
              <w:pStyle w:val="SDMTableBoxParaNotNumbered"/>
            </w:pPr>
            <w:r>
              <w:t xml:space="preserve">High </w:t>
            </w:r>
            <w:r w:rsidR="00B3431B">
              <w:t xml:space="preserve">and extra high </w:t>
            </w:r>
            <w:r>
              <w:t>voltage (HV)</w:t>
            </w:r>
          </w:p>
        </w:tc>
        <w:tc>
          <w:tcPr>
            <w:tcW w:w="2031" w:type="dxa"/>
          </w:tcPr>
          <w:p w14:paraId="3E0898E8" w14:textId="192A054C" w:rsidR="00BD1674" w:rsidRPr="00AA542B" w:rsidRDefault="00B012D0" w:rsidP="00030CE7">
            <w:pPr>
              <w:pStyle w:val="SDMTableBoxParaNotNumbered"/>
              <w:cnfStyle w:val="000000000000" w:firstRow="0" w:lastRow="0" w:firstColumn="0" w:lastColumn="0" w:oddVBand="0" w:evenVBand="0" w:oddHBand="0" w:evenHBand="0" w:firstRowFirstColumn="0" w:firstRowLastColumn="0" w:lastRowFirstColumn="0" w:lastRowLastColumn="0"/>
              <w:rPr>
                <w:u w:val="single"/>
              </w:rPr>
            </w:pPr>
            <w:r w:rsidRPr="00AA542B">
              <w:rPr>
                <w:u w:val="single"/>
              </w:rPr>
              <w:t>&gt;</w:t>
            </w:r>
            <w:r w:rsidRPr="00AA542B">
              <w:t xml:space="preserve"> 35</w:t>
            </w:r>
          </w:p>
        </w:tc>
        <w:tc>
          <w:tcPr>
            <w:tcW w:w="1161" w:type="dxa"/>
          </w:tcPr>
          <w:p w14:paraId="412A46D7" w14:textId="246C8172" w:rsidR="00BD1674" w:rsidRPr="00AA542B" w:rsidRDefault="00BD1674" w:rsidP="00030CE7">
            <w:pPr>
              <w:pStyle w:val="SDMTableBoxParaNotNumbered"/>
              <w:cnfStyle w:val="000000000000" w:firstRow="0" w:lastRow="0" w:firstColumn="0" w:lastColumn="0" w:oddVBand="0" w:evenVBand="0" w:oddHBand="0" w:evenHBand="0" w:firstRowFirstColumn="0" w:firstRowLastColumn="0" w:lastRowFirstColumn="0" w:lastRowLastColumn="0"/>
            </w:pPr>
            <w:r w:rsidRPr="00AA542B">
              <w:t>7</w:t>
            </w:r>
          </w:p>
        </w:tc>
        <w:tc>
          <w:tcPr>
            <w:tcW w:w="1128" w:type="dxa"/>
          </w:tcPr>
          <w:p w14:paraId="0DEC8EA2" w14:textId="7C8AACAA" w:rsidR="00BD1674" w:rsidRPr="00AA542B" w:rsidRDefault="00BD1674" w:rsidP="00030CE7">
            <w:pPr>
              <w:pStyle w:val="SDMTableBoxParaNotNumbered"/>
              <w:cnfStyle w:val="000000000000" w:firstRow="0" w:lastRow="0" w:firstColumn="0" w:lastColumn="0" w:oddVBand="0" w:evenVBand="0" w:oddHBand="0" w:evenHBand="0" w:firstRowFirstColumn="0" w:firstRowLastColumn="0" w:lastRowFirstColumn="0" w:lastRowLastColumn="0"/>
            </w:pPr>
            <w:r w:rsidRPr="00AA542B">
              <w:t>2</w:t>
            </w:r>
          </w:p>
        </w:tc>
      </w:tr>
      <w:tr w:rsidR="00BD1674" w14:paraId="460B59B5" w14:textId="77777777" w:rsidTr="00412F39">
        <w:trPr>
          <w:trHeight w:val="300"/>
        </w:trPr>
        <w:tc>
          <w:tcPr>
            <w:cnfStyle w:val="001000000000" w:firstRow="0" w:lastRow="0" w:firstColumn="1" w:lastColumn="0" w:oddVBand="0" w:evenVBand="0" w:oddHBand="0" w:evenHBand="0" w:firstRowFirstColumn="0" w:firstRowLastColumn="0" w:lastRowFirstColumn="0" w:lastRowLastColumn="0"/>
            <w:tcW w:w="4209" w:type="dxa"/>
          </w:tcPr>
          <w:p w14:paraId="7C71BE73" w14:textId="4F9A0974" w:rsidR="00BD1674" w:rsidRDefault="00BD1674" w:rsidP="00030CE7">
            <w:pPr>
              <w:pStyle w:val="SDMTableBoxParaNotNumbered"/>
            </w:pPr>
            <w:r>
              <w:t>Medium voltage (MV)</w:t>
            </w:r>
          </w:p>
        </w:tc>
        <w:tc>
          <w:tcPr>
            <w:tcW w:w="2031" w:type="dxa"/>
          </w:tcPr>
          <w:p w14:paraId="567F00C4" w14:textId="2EBBBD57" w:rsidR="00BD1674" w:rsidRPr="00AA542B" w:rsidRDefault="00B012D0" w:rsidP="00030CE7">
            <w:pPr>
              <w:pStyle w:val="SDMTableBoxParaNotNumbered"/>
              <w:cnfStyle w:val="000000000000" w:firstRow="0" w:lastRow="0" w:firstColumn="0" w:lastColumn="0" w:oddVBand="0" w:evenVBand="0" w:oddHBand="0" w:evenHBand="0" w:firstRowFirstColumn="0" w:firstRowLastColumn="0" w:lastRowFirstColumn="0" w:lastRowLastColumn="0"/>
            </w:pPr>
            <w:r w:rsidRPr="00AA542B">
              <w:t>&lt; 35 and &gt; 1</w:t>
            </w:r>
          </w:p>
        </w:tc>
        <w:tc>
          <w:tcPr>
            <w:tcW w:w="1161" w:type="dxa"/>
          </w:tcPr>
          <w:p w14:paraId="32A43312" w14:textId="71AEA8E2" w:rsidR="00BD1674" w:rsidRPr="00AA542B" w:rsidRDefault="00BD1674" w:rsidP="00030CE7">
            <w:pPr>
              <w:pStyle w:val="SDMTableBoxParaNotNumbered"/>
              <w:cnfStyle w:val="000000000000" w:firstRow="0" w:lastRow="0" w:firstColumn="0" w:lastColumn="0" w:oddVBand="0" w:evenVBand="0" w:oddHBand="0" w:evenHBand="0" w:firstRowFirstColumn="0" w:firstRowLastColumn="0" w:lastRowFirstColumn="0" w:lastRowLastColumn="0"/>
            </w:pPr>
            <w:r w:rsidRPr="00AA542B">
              <w:t>11</w:t>
            </w:r>
          </w:p>
        </w:tc>
        <w:tc>
          <w:tcPr>
            <w:tcW w:w="1128" w:type="dxa"/>
          </w:tcPr>
          <w:p w14:paraId="60480597" w14:textId="6F0EE0E7" w:rsidR="00BD1674" w:rsidRPr="00AA542B" w:rsidRDefault="00BD1674" w:rsidP="00030CE7">
            <w:pPr>
              <w:pStyle w:val="SDMTableBoxParaNotNumbered"/>
              <w:cnfStyle w:val="000000000000" w:firstRow="0" w:lastRow="0" w:firstColumn="0" w:lastColumn="0" w:oddVBand="0" w:evenVBand="0" w:oddHBand="0" w:evenHBand="0" w:firstRowFirstColumn="0" w:firstRowLastColumn="0" w:lastRowFirstColumn="0" w:lastRowLastColumn="0"/>
            </w:pPr>
            <w:r w:rsidRPr="00AA542B">
              <w:t>4</w:t>
            </w:r>
          </w:p>
        </w:tc>
      </w:tr>
      <w:tr w:rsidR="00BD1674" w14:paraId="31BF0B06" w14:textId="77777777" w:rsidTr="00412F39">
        <w:trPr>
          <w:trHeight w:val="300"/>
        </w:trPr>
        <w:tc>
          <w:tcPr>
            <w:cnfStyle w:val="001000000000" w:firstRow="0" w:lastRow="0" w:firstColumn="1" w:lastColumn="0" w:oddVBand="0" w:evenVBand="0" w:oddHBand="0" w:evenHBand="0" w:firstRowFirstColumn="0" w:firstRowLastColumn="0" w:lastRowFirstColumn="0" w:lastRowLastColumn="0"/>
            <w:tcW w:w="4209" w:type="dxa"/>
          </w:tcPr>
          <w:p w14:paraId="3C7D4527" w14:textId="42F89AA9" w:rsidR="00BD1674" w:rsidRDefault="00BD1674" w:rsidP="00030CE7">
            <w:pPr>
              <w:pStyle w:val="SDMTableBoxParaNotNumbered"/>
            </w:pPr>
            <w:r>
              <w:t xml:space="preserve">Low </w:t>
            </w:r>
            <w:r w:rsidR="00B3431B">
              <w:t xml:space="preserve">and extra low </w:t>
            </w:r>
            <w:r>
              <w:t>voltage (LV)</w:t>
            </w:r>
          </w:p>
        </w:tc>
        <w:tc>
          <w:tcPr>
            <w:tcW w:w="2031" w:type="dxa"/>
          </w:tcPr>
          <w:p w14:paraId="6D7A3504" w14:textId="011EB37E" w:rsidR="00BD1674" w:rsidRPr="00AA542B" w:rsidRDefault="00B012D0" w:rsidP="00030CE7">
            <w:pPr>
              <w:pStyle w:val="SDMTableBoxParaNotNumbered"/>
              <w:cnfStyle w:val="000000000000" w:firstRow="0" w:lastRow="0" w:firstColumn="0" w:lastColumn="0" w:oddVBand="0" w:evenVBand="0" w:oddHBand="0" w:evenHBand="0" w:firstRowFirstColumn="0" w:firstRowLastColumn="0" w:lastRowFirstColumn="0" w:lastRowLastColumn="0"/>
              <w:rPr>
                <w:u w:val="single"/>
              </w:rPr>
            </w:pPr>
            <w:r w:rsidRPr="00AA542B">
              <w:rPr>
                <w:u w:val="single"/>
              </w:rPr>
              <w:t>&lt;</w:t>
            </w:r>
            <w:r w:rsidRPr="00AA542B">
              <w:t xml:space="preserve"> 1</w:t>
            </w:r>
          </w:p>
        </w:tc>
        <w:tc>
          <w:tcPr>
            <w:tcW w:w="1161" w:type="dxa"/>
          </w:tcPr>
          <w:p w14:paraId="2CD2BF30" w14:textId="5491E853" w:rsidR="00BD1674" w:rsidRPr="00AA542B" w:rsidRDefault="00BD1674" w:rsidP="00030CE7">
            <w:pPr>
              <w:pStyle w:val="SDMTableBoxParaNotNumbered"/>
              <w:cnfStyle w:val="000000000000" w:firstRow="0" w:lastRow="0" w:firstColumn="0" w:lastColumn="0" w:oddVBand="0" w:evenVBand="0" w:oddHBand="0" w:evenHBand="0" w:firstRowFirstColumn="0" w:firstRowLastColumn="0" w:lastRowFirstColumn="0" w:lastRowLastColumn="0"/>
            </w:pPr>
            <w:r w:rsidRPr="00AA542B">
              <w:t>16</w:t>
            </w:r>
          </w:p>
        </w:tc>
        <w:tc>
          <w:tcPr>
            <w:tcW w:w="1128" w:type="dxa"/>
          </w:tcPr>
          <w:p w14:paraId="2BFD5BFF" w14:textId="28D6F488" w:rsidR="00BD1674" w:rsidRPr="00AA542B" w:rsidRDefault="00BD1674" w:rsidP="00030CE7">
            <w:pPr>
              <w:pStyle w:val="SDMTableBoxParaNotNumbered"/>
              <w:cnfStyle w:val="000000000000" w:firstRow="0" w:lastRow="0" w:firstColumn="0" w:lastColumn="0" w:oddVBand="0" w:evenVBand="0" w:oddHBand="0" w:evenHBand="0" w:firstRowFirstColumn="0" w:firstRowLastColumn="0" w:lastRowFirstColumn="0" w:lastRowLastColumn="0"/>
            </w:pPr>
            <w:r w:rsidRPr="00AA542B">
              <w:t>8</w:t>
            </w:r>
          </w:p>
        </w:tc>
      </w:tr>
    </w:tbl>
    <w:p w14:paraId="0916A04D" w14:textId="48BF8FBB" w:rsidR="00E41E58" w:rsidRDefault="006A773E">
      <w:pPr>
        <w:pStyle w:val="SDMHead2"/>
      </w:pPr>
      <w:bookmarkStart w:id="830" w:name="_Toc215574897"/>
      <w:bookmarkStart w:id="831" w:name="_Toc215579111"/>
      <w:bookmarkStart w:id="832" w:name="_Ref212234592"/>
      <w:bookmarkStart w:id="833" w:name="_Toc212389912"/>
      <w:bookmarkStart w:id="834" w:name="_Toc215208611"/>
      <w:bookmarkStart w:id="835" w:name="_Toc215216130"/>
      <w:bookmarkStart w:id="836" w:name="_Toc215222866"/>
      <w:bookmarkStart w:id="837" w:name="_Toc215223054"/>
      <w:bookmarkStart w:id="838" w:name="_Toc215223276"/>
      <w:bookmarkStart w:id="839" w:name="_Toc215574902"/>
      <w:bookmarkStart w:id="840" w:name="_Toc215923336"/>
      <w:bookmarkStart w:id="841" w:name="_Toc216093032"/>
      <w:bookmarkStart w:id="842" w:name="_Toc216271761"/>
      <w:bookmarkStart w:id="843" w:name="_Toc216279378"/>
      <w:bookmarkStart w:id="844" w:name="_Toc216283416"/>
      <w:bookmarkStart w:id="845" w:name="_Toc216288034"/>
      <w:bookmarkStart w:id="846" w:name="_Toc219666141"/>
      <w:bookmarkStart w:id="847" w:name="_Toc220001401"/>
      <w:bookmarkStart w:id="848" w:name="_Toc221096425"/>
      <w:bookmarkStart w:id="849" w:name="_Toc221097977"/>
      <w:bookmarkStart w:id="850" w:name="_Toc221116273"/>
      <w:bookmarkStart w:id="851" w:name="_Toc221117289"/>
      <w:bookmarkStart w:id="852" w:name="_Toc222132127"/>
      <w:bookmarkStart w:id="853" w:name="_Toc222494928"/>
      <w:bookmarkStart w:id="854" w:name="_Toc222512444"/>
      <w:bookmarkStart w:id="855" w:name="_Toc222741764"/>
      <w:bookmarkStart w:id="856" w:name="_Toc234853845"/>
      <w:bookmarkStart w:id="857" w:name="_Toc235002283"/>
      <w:bookmarkStart w:id="858" w:name="_Toc235003442"/>
      <w:bookmarkStart w:id="859" w:name="_Toc236154239"/>
      <w:bookmarkStart w:id="860" w:name="_Toc236216616"/>
      <w:bookmarkStart w:id="861" w:name="_Toc240545104"/>
      <w:bookmarkStart w:id="862" w:name="_Toc240545320"/>
      <w:bookmarkStart w:id="863" w:name="_Toc240576902"/>
      <w:bookmarkEnd w:id="830"/>
      <w:bookmarkEnd w:id="831"/>
      <w:r>
        <w:t>Step</w:t>
      </w:r>
      <w:r w:rsidR="00B23B70">
        <w:t> </w:t>
      </w:r>
      <w:r w:rsidR="00843CC2">
        <w:t>10</w:t>
      </w:r>
      <w:r>
        <w:t xml:space="preserve">. </w:t>
      </w:r>
      <w:r w:rsidR="002B0CA8">
        <w:t>Determine</w:t>
      </w:r>
      <w:r w:rsidR="00156808">
        <w:t xml:space="preserve"> the emissions from electricity generation and/or consumption</w:t>
      </w:r>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p>
    <w:p w14:paraId="46D0E080" w14:textId="09A1537D" w:rsidR="00F74E46" w:rsidRDefault="00F97EB3" w:rsidP="00F62D64">
      <w:pPr>
        <w:pStyle w:val="SDMPara"/>
        <w:keepNext/>
      </w:pPr>
      <w:r>
        <w:t>B</w:t>
      </w:r>
      <w:r w:rsidR="00754F6A" w:rsidRPr="00754F6A">
        <w:t xml:space="preserve">aseline, </w:t>
      </w:r>
      <w:r w:rsidR="008C65A9" w:rsidRPr="00780E96">
        <w:t xml:space="preserve">activity </w:t>
      </w:r>
      <w:r w:rsidR="00754F6A" w:rsidRPr="00780E96">
        <w:t xml:space="preserve">and/or leakage emissions from generation and/or consumption </w:t>
      </w:r>
      <w:r w:rsidRPr="00780E96">
        <w:t xml:space="preserve">shall be </w:t>
      </w:r>
      <w:r w:rsidR="00754F6A" w:rsidRPr="00780E96">
        <w:t>calculated based</w:t>
      </w:r>
      <w:r w:rsidR="00754F6A" w:rsidRPr="00754F6A">
        <w:t xml:space="preserve"> on the quantity of electricity</w:t>
      </w:r>
      <w:r w:rsidR="00241DAF">
        <w:t xml:space="preserve"> </w:t>
      </w:r>
      <w:r w:rsidR="00AE13EF">
        <w:t xml:space="preserve">generation </w:t>
      </w:r>
      <w:r w:rsidR="00582AD5">
        <w:t>and/</w:t>
      </w:r>
      <w:r w:rsidR="00AE13EF">
        <w:t xml:space="preserve">or </w:t>
      </w:r>
      <w:r w:rsidR="00AE13EF" w:rsidDel="00A315A9">
        <w:t>consumption</w:t>
      </w:r>
      <w:r w:rsidR="000C6F66">
        <w:t>,</w:t>
      </w:r>
      <w:r w:rsidR="00754F6A" w:rsidRPr="00754F6A" w:rsidDel="00A315A9">
        <w:t xml:space="preserve"> </w:t>
      </w:r>
      <w:r w:rsidR="00A315A9">
        <w:t>the applicable</w:t>
      </w:r>
      <w:r w:rsidR="00A315A9" w:rsidRPr="00754F6A">
        <w:t xml:space="preserve"> </w:t>
      </w:r>
      <w:r w:rsidR="00754F6A" w:rsidRPr="00754F6A">
        <w:t>emission factor for electricity generation</w:t>
      </w:r>
      <w:r w:rsidR="000C6F66">
        <w:t xml:space="preserve"> or consumption,</w:t>
      </w:r>
      <w:r w:rsidR="00754F6A" w:rsidRPr="00754F6A">
        <w:t xml:space="preserve"> and</w:t>
      </w:r>
      <w:r w:rsidR="00C91885">
        <w:t>, where relevant,</w:t>
      </w:r>
      <w:r w:rsidR="00754F6A" w:rsidRPr="00754F6A">
        <w:t xml:space="preserve"> a factor to account for transmission </w:t>
      </w:r>
      <w:r w:rsidR="000C6F66">
        <w:t>and distribution losses</w:t>
      </w:r>
      <w:r w:rsidR="005421FA">
        <w:t>, as follows:</w:t>
      </w:r>
    </w:p>
    <w:p w14:paraId="44ACA1A1" w14:textId="704C6D06" w:rsidR="00156808" w:rsidRPr="009D536D" w:rsidRDefault="000A0AB3" w:rsidP="00F62D64">
      <w:pPr>
        <w:pStyle w:val="SDMSubPara1"/>
        <w:keepNext/>
      </w:pPr>
      <w:r>
        <w:rPr>
          <w:b/>
          <w:bCs/>
        </w:rPr>
        <w:t xml:space="preserve">Annual determination: </w:t>
      </w:r>
      <w:r>
        <w:t>w</w:t>
      </w:r>
      <w:r w:rsidRPr="009D536D">
        <w:t xml:space="preserve">here </w:t>
      </w:r>
      <w:r w:rsidR="000C13C8" w:rsidRPr="009D536D">
        <w:t xml:space="preserve">electricity generation </w:t>
      </w:r>
      <w:r w:rsidR="00C670CB">
        <w:t>and/</w:t>
      </w:r>
      <w:r w:rsidR="00D20EB0" w:rsidRPr="009D536D">
        <w:t>or</w:t>
      </w:r>
      <w:r w:rsidR="000C13C8" w:rsidRPr="009D536D">
        <w:t xml:space="preserve"> consumption and emission factors are determined on an annual basis </w:t>
      </w:r>
      <w:r w:rsidR="00560DCD" w:rsidRPr="009D536D">
        <w:t>for each calendar year </w:t>
      </w:r>
      <w:r w:rsidR="00560DCD" w:rsidRPr="00FA3A4E">
        <w:rPr>
          <w:i/>
          <w:iCs/>
        </w:rPr>
        <w:t>y</w:t>
      </w:r>
      <w:r w:rsidR="00560DCD" w:rsidRPr="009D536D">
        <w:t xml:space="preserve"> of the crediting period, </w:t>
      </w:r>
      <w:r w:rsidR="0037108C" w:rsidRPr="009D536D">
        <w:t>emissions shall be calculated as follows:</w:t>
      </w:r>
    </w:p>
    <w:tbl>
      <w:tblPr>
        <w:tblStyle w:val="SDMMethTableEquation"/>
        <w:tblW w:w="8656" w:type="dxa"/>
        <w:tblLook w:val="0600" w:firstRow="0" w:lastRow="0" w:firstColumn="0" w:lastColumn="0" w:noHBand="1" w:noVBand="1"/>
      </w:tblPr>
      <w:tblGrid>
        <w:gridCol w:w="6970"/>
        <w:gridCol w:w="1686"/>
      </w:tblGrid>
      <w:tr w:rsidR="003A2A42" w:rsidRPr="00E32F75" w14:paraId="225150FF" w14:textId="77777777" w:rsidTr="00FA3A4E">
        <w:trPr>
          <w:trHeight w:val="300"/>
        </w:trPr>
        <w:tc>
          <w:tcPr>
            <w:tcW w:w="6970" w:type="dxa"/>
          </w:tcPr>
          <w:p w14:paraId="2DC16B91" w14:textId="77777777" w:rsidR="003A2A42" w:rsidRPr="00E47482" w:rsidRDefault="003F6646" w:rsidP="00B23B70">
            <w:pPr>
              <w:pStyle w:val="SDMMethEquation"/>
              <w:ind w:left="709"/>
            </w:pPr>
            <m:oMathPara>
              <m:oMathParaPr>
                <m:jc m:val="left"/>
              </m:oMathParaPr>
              <m:oMath>
                <m:sSub>
                  <m:sSubPr>
                    <m:ctrlPr>
                      <w:rPr>
                        <w:rFonts w:ascii="Cambria Math" w:hAnsi="Cambria Math"/>
                        <w:i/>
                        <w:szCs w:val="20"/>
                      </w:rPr>
                    </m:ctrlPr>
                  </m:sSubPr>
                  <m:e>
                    <m:r>
                      <w:rPr>
                        <w:rFonts w:ascii="Cambria Math" w:hAnsi="Cambria Math"/>
                      </w:rPr>
                      <m:t>BE</m:t>
                    </m:r>
                  </m:e>
                  <m:sub>
                    <m:r>
                      <w:rPr>
                        <w:rFonts w:ascii="Cambria Math" w:hAnsi="Cambria Math"/>
                      </w:rPr>
                      <m:t>EG,y</m:t>
                    </m:r>
                  </m:sub>
                </m:sSub>
                <m:r>
                  <w:rPr>
                    <w:rFonts w:ascii="Cambria Math" w:hAnsi="Cambria Math"/>
                  </w:rPr>
                  <m:t>=</m:t>
                </m:r>
                <m:nary>
                  <m:naryPr>
                    <m:chr m:val="∑"/>
                    <m:limLoc m:val="undOvr"/>
                    <m:supHide m:val="1"/>
                    <m:ctrlPr>
                      <w:rPr>
                        <w:rFonts w:ascii="Cambria Math" w:hAnsi="Cambria Math"/>
                        <w:i/>
                        <w:szCs w:val="20"/>
                      </w:rPr>
                    </m:ctrlPr>
                  </m:naryPr>
                  <m:sub>
                    <m:r>
                      <w:rPr>
                        <w:rFonts w:ascii="Cambria Math" w:hAnsi="Cambria Math"/>
                      </w:rPr>
                      <m:t>s</m:t>
                    </m:r>
                  </m:sub>
                  <m:sup/>
                  <m:e>
                    <m:sSub>
                      <m:sSubPr>
                        <m:ctrlPr>
                          <w:rPr>
                            <w:rFonts w:ascii="Cambria Math" w:hAnsi="Cambria Math"/>
                            <w:i/>
                            <w:szCs w:val="20"/>
                          </w:rPr>
                        </m:ctrlPr>
                      </m:sSubPr>
                      <m:e>
                        <m:r>
                          <w:rPr>
                            <w:rFonts w:ascii="Cambria Math" w:hAnsi="Cambria Math"/>
                          </w:rPr>
                          <m:t>EG</m:t>
                        </m:r>
                      </m:e>
                      <m:sub>
                        <m:r>
                          <w:rPr>
                            <w:rFonts w:ascii="Cambria Math" w:hAnsi="Cambria Math"/>
                          </w:rPr>
                          <m:t>s,y</m:t>
                        </m:r>
                      </m:sub>
                    </m:sSub>
                    <m:r>
                      <w:rPr>
                        <w:rFonts w:ascii="Cambria Math" w:hAnsi="Cambria Math"/>
                      </w:rPr>
                      <m:t>×</m:t>
                    </m:r>
                    <m:sSub>
                      <m:sSubPr>
                        <m:ctrlPr>
                          <w:rPr>
                            <w:rFonts w:ascii="Cambria Math" w:hAnsi="Cambria Math"/>
                            <w:i/>
                            <w:szCs w:val="20"/>
                          </w:rPr>
                        </m:ctrlPr>
                      </m:sSubPr>
                      <m:e>
                        <m:r>
                          <w:rPr>
                            <w:rFonts w:ascii="Cambria Math" w:hAnsi="Cambria Math"/>
                          </w:rPr>
                          <m:t>EF</m:t>
                        </m:r>
                      </m:e>
                      <m:sub>
                        <m:r>
                          <w:rPr>
                            <w:rFonts w:ascii="Cambria Math" w:hAnsi="Cambria Math"/>
                          </w:rPr>
                          <m:t>EG,BL,s,y</m:t>
                        </m:r>
                      </m:sub>
                    </m:sSub>
                  </m:e>
                </m:nary>
              </m:oMath>
            </m:oMathPara>
          </w:p>
        </w:tc>
        <w:tc>
          <w:tcPr>
            <w:tcW w:w="1686" w:type="dxa"/>
          </w:tcPr>
          <w:p w14:paraId="7048577D" w14:textId="77777777" w:rsidR="003A2A42" w:rsidRPr="002B6960" w:rsidRDefault="003A2A42">
            <w:pPr>
              <w:pStyle w:val="SDMMethEquationNr"/>
              <w:numPr>
                <w:ilvl w:val="0"/>
                <w:numId w:val="6"/>
              </w:numPr>
            </w:pPr>
          </w:p>
        </w:tc>
      </w:tr>
      <w:tr w:rsidR="003A2A42" w:rsidRPr="00E32F75" w14:paraId="557A1575" w14:textId="77777777" w:rsidTr="00FA3A4E">
        <w:trPr>
          <w:trHeight w:val="300"/>
        </w:trPr>
        <w:tc>
          <w:tcPr>
            <w:tcW w:w="6970" w:type="dxa"/>
          </w:tcPr>
          <w:p w14:paraId="249D0069" w14:textId="77777777" w:rsidR="003A2A42" w:rsidRPr="00E47482" w:rsidRDefault="003F6646" w:rsidP="00B23B70">
            <w:pPr>
              <w:pStyle w:val="SDMMethEquation"/>
              <w:ind w:left="709"/>
            </w:pPr>
            <m:oMathPara>
              <m:oMathParaPr>
                <m:jc m:val="left"/>
              </m:oMathParaPr>
              <m:oMath>
                <m:sSub>
                  <m:sSubPr>
                    <m:ctrlPr>
                      <w:rPr>
                        <w:rFonts w:ascii="Cambria Math" w:hAnsi="Cambria Math"/>
                        <w:i/>
                        <w:szCs w:val="20"/>
                      </w:rPr>
                    </m:ctrlPr>
                  </m:sSubPr>
                  <m:e>
                    <m:r>
                      <w:rPr>
                        <w:rFonts w:ascii="Cambria Math" w:hAnsi="Cambria Math"/>
                      </w:rPr>
                      <m:t>BE</m:t>
                    </m:r>
                  </m:e>
                  <m:sub>
                    <m:r>
                      <w:rPr>
                        <w:rFonts w:ascii="Cambria Math" w:hAnsi="Cambria Math"/>
                      </w:rPr>
                      <m:t>EC,y</m:t>
                    </m:r>
                  </m:sub>
                </m:sSub>
                <m:r>
                  <w:rPr>
                    <w:rFonts w:ascii="Cambria Math" w:hAnsi="Cambria Math"/>
                  </w:rPr>
                  <m:t>=</m:t>
                </m:r>
                <m:nary>
                  <m:naryPr>
                    <m:chr m:val="∑"/>
                    <m:limLoc m:val="undOvr"/>
                    <m:supHide m:val="1"/>
                    <m:ctrlPr>
                      <w:rPr>
                        <w:rFonts w:ascii="Cambria Math" w:hAnsi="Cambria Math"/>
                        <w:i/>
                        <w:szCs w:val="20"/>
                      </w:rPr>
                    </m:ctrlPr>
                  </m:naryPr>
                  <m:sub>
                    <m:r>
                      <w:rPr>
                        <w:rFonts w:ascii="Cambria Math" w:hAnsi="Cambria Math"/>
                      </w:rPr>
                      <m:t>s</m:t>
                    </m:r>
                  </m:sub>
                  <m:sup/>
                  <m:e>
                    <m:sSub>
                      <m:sSubPr>
                        <m:ctrlPr>
                          <w:rPr>
                            <w:rFonts w:ascii="Cambria Math" w:hAnsi="Cambria Math"/>
                            <w:i/>
                            <w:szCs w:val="20"/>
                          </w:rPr>
                        </m:ctrlPr>
                      </m:sSubPr>
                      <m:e>
                        <m:r>
                          <w:rPr>
                            <w:rFonts w:ascii="Cambria Math" w:hAnsi="Cambria Math"/>
                          </w:rPr>
                          <m:t>EC</m:t>
                        </m:r>
                      </m:e>
                      <m:sub>
                        <m:r>
                          <w:rPr>
                            <w:rFonts w:ascii="Cambria Math" w:hAnsi="Cambria Math"/>
                          </w:rPr>
                          <m:t>s,y</m:t>
                        </m:r>
                      </m:sub>
                    </m:sSub>
                    <m:r>
                      <w:rPr>
                        <w:rFonts w:ascii="Cambria Math" w:hAnsi="Cambria Math"/>
                      </w:rPr>
                      <m:t>×</m:t>
                    </m:r>
                    <m:sSub>
                      <m:sSubPr>
                        <m:ctrlPr>
                          <w:rPr>
                            <w:rFonts w:ascii="Cambria Math" w:hAnsi="Cambria Math"/>
                            <w:i/>
                            <w:szCs w:val="20"/>
                          </w:rPr>
                        </m:ctrlPr>
                      </m:sSubPr>
                      <m:e>
                        <m:r>
                          <w:rPr>
                            <w:rFonts w:ascii="Cambria Math" w:hAnsi="Cambria Math"/>
                          </w:rPr>
                          <m:t>EF</m:t>
                        </m:r>
                      </m:e>
                      <m:sub>
                        <m:r>
                          <w:rPr>
                            <w:rFonts w:ascii="Cambria Math" w:hAnsi="Cambria Math"/>
                          </w:rPr>
                          <m:t>EC,BL,s,y</m:t>
                        </m:r>
                      </m:sub>
                    </m:sSub>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1-</m:t>
                        </m:r>
                        <m:sSub>
                          <m:sSubPr>
                            <m:ctrlPr>
                              <w:rPr>
                                <w:rFonts w:ascii="Cambria Math" w:hAnsi="Cambria Math"/>
                                <w:i/>
                                <w:szCs w:val="20"/>
                              </w:rPr>
                            </m:ctrlPr>
                          </m:sSubPr>
                          <m:e>
                            <m:r>
                              <w:rPr>
                                <w:rFonts w:ascii="Cambria Math" w:hAnsi="Cambria Math"/>
                              </w:rPr>
                              <m:t>F</m:t>
                            </m:r>
                          </m:e>
                          <m:sub>
                            <m:r>
                              <w:rPr>
                                <w:rFonts w:ascii="Cambria Math" w:hAnsi="Cambria Math"/>
                              </w:rPr>
                              <m:t>TDL,s,y</m:t>
                            </m:r>
                          </m:sub>
                        </m:sSub>
                      </m:den>
                    </m:f>
                  </m:e>
                </m:nary>
              </m:oMath>
            </m:oMathPara>
          </w:p>
        </w:tc>
        <w:tc>
          <w:tcPr>
            <w:tcW w:w="1686" w:type="dxa"/>
          </w:tcPr>
          <w:p w14:paraId="36257158" w14:textId="77777777" w:rsidR="003A2A42" w:rsidRPr="002B6960" w:rsidRDefault="003A2A42">
            <w:pPr>
              <w:pStyle w:val="SDMMethEquationNr"/>
              <w:numPr>
                <w:ilvl w:val="0"/>
                <w:numId w:val="6"/>
              </w:numPr>
            </w:pPr>
          </w:p>
        </w:tc>
      </w:tr>
      <w:tr w:rsidR="007C717A" w:rsidRPr="002B6960" w14:paraId="28A0C1FF" w14:textId="77777777" w:rsidTr="00FA3A4E">
        <w:tblPrEx>
          <w:tblLook w:val="04A0" w:firstRow="1" w:lastRow="0" w:firstColumn="1" w:lastColumn="0" w:noHBand="0" w:noVBand="1"/>
        </w:tblPrEx>
        <w:trPr>
          <w:trHeight w:val="300"/>
        </w:trPr>
        <w:tc>
          <w:tcPr>
            <w:tcW w:w="6970" w:type="dxa"/>
          </w:tcPr>
          <w:p w14:paraId="47961733" w14:textId="395D1A6D" w:rsidR="007C717A" w:rsidRPr="00E47482" w:rsidRDefault="003F6646" w:rsidP="00B23B70">
            <w:pPr>
              <w:pStyle w:val="SDMMethEquation"/>
              <w:ind w:left="709"/>
            </w:pPr>
            <m:oMathPara>
              <m:oMathParaPr>
                <m:jc m:val="left"/>
              </m:oMathParaPr>
              <m:oMath>
                <m:sSub>
                  <m:sSubPr>
                    <m:ctrlPr>
                      <w:rPr>
                        <w:rFonts w:ascii="Cambria Math" w:hAnsi="Cambria Math"/>
                        <w:i/>
                        <w:szCs w:val="20"/>
                      </w:rPr>
                    </m:ctrlPr>
                  </m:sSubPr>
                  <m:e>
                    <m:r>
                      <w:rPr>
                        <w:rFonts w:ascii="Cambria Math" w:eastAsia="MS Mincho" w:hAnsi="Cambria Math"/>
                        <w:lang w:eastAsia="ja-JP"/>
                      </w:rPr>
                      <m:t>AE</m:t>
                    </m:r>
                  </m:e>
                  <m:sub>
                    <m:r>
                      <w:rPr>
                        <w:rFonts w:ascii="Cambria Math" w:hAnsi="Cambria Math"/>
                      </w:rPr>
                      <m:t>EG,y</m:t>
                    </m:r>
                  </m:sub>
                </m:sSub>
                <m:r>
                  <w:rPr>
                    <w:rFonts w:ascii="Cambria Math" w:hAnsi="Cambria Math"/>
                  </w:rPr>
                  <m:t>=</m:t>
                </m:r>
                <m:nary>
                  <m:naryPr>
                    <m:chr m:val="∑"/>
                    <m:limLoc m:val="undOvr"/>
                    <m:supHide m:val="1"/>
                    <m:ctrlPr>
                      <w:rPr>
                        <w:rFonts w:ascii="Cambria Math" w:hAnsi="Cambria Math"/>
                        <w:i/>
                      </w:rPr>
                    </m:ctrlPr>
                  </m:naryPr>
                  <m:sub>
                    <m:r>
                      <w:rPr>
                        <w:rFonts w:ascii="Cambria Math" w:eastAsiaTheme="minorEastAsia" w:hAnsi="Cambria Math" w:hint="eastAsia"/>
                        <w:lang w:eastAsia="zh-CN"/>
                      </w:rPr>
                      <m:t>s</m:t>
                    </m:r>
                  </m:sub>
                  <m:sup/>
                  <m:e>
                    <m:sSub>
                      <m:sSubPr>
                        <m:ctrlPr>
                          <w:rPr>
                            <w:rFonts w:ascii="Cambria Math" w:hAnsi="Cambria Math"/>
                            <w:i/>
                          </w:rPr>
                        </m:ctrlPr>
                      </m:sSubPr>
                      <m:e>
                        <m:r>
                          <w:rPr>
                            <w:rFonts w:ascii="Cambria Math" w:hAnsi="Cambria Math"/>
                          </w:rPr>
                          <m:t>EG</m:t>
                        </m:r>
                      </m:e>
                      <m:sub>
                        <m:r>
                          <w:rPr>
                            <w:rFonts w:ascii="Cambria Math" w:hAnsi="Cambria Math"/>
                          </w:rPr>
                          <m:t>s,y</m:t>
                        </m:r>
                      </m:sub>
                    </m:sSub>
                    <m:r>
                      <w:rPr>
                        <w:rFonts w:ascii="Cambria Math" w:hAnsi="Cambria Math"/>
                      </w:rPr>
                      <m:t>×</m:t>
                    </m:r>
                    <m:sSub>
                      <m:sSubPr>
                        <m:ctrlPr>
                          <w:rPr>
                            <w:rFonts w:ascii="Cambria Math" w:hAnsi="Cambria Math"/>
                            <w:i/>
                          </w:rPr>
                        </m:ctrlPr>
                      </m:sSubPr>
                      <m:e>
                        <m:r>
                          <w:rPr>
                            <w:rFonts w:ascii="Cambria Math" w:hAnsi="Cambria Math"/>
                          </w:rPr>
                          <m:t>EF</m:t>
                        </m:r>
                      </m:e>
                      <m:sub>
                        <m:r>
                          <w:rPr>
                            <w:rFonts w:ascii="Cambria Math" w:hAnsi="Cambria Math"/>
                          </w:rPr>
                          <m:t>EG,PJ,s,y</m:t>
                        </m:r>
                      </m:sub>
                    </m:sSub>
                  </m:e>
                </m:nary>
              </m:oMath>
            </m:oMathPara>
          </w:p>
        </w:tc>
        <w:tc>
          <w:tcPr>
            <w:tcW w:w="1686" w:type="dxa"/>
          </w:tcPr>
          <w:p w14:paraId="6404D65E" w14:textId="77777777" w:rsidR="007C717A" w:rsidRPr="002B6960" w:rsidRDefault="007C717A">
            <w:pPr>
              <w:pStyle w:val="SDMMethEquationNr"/>
              <w:numPr>
                <w:ilvl w:val="0"/>
                <w:numId w:val="6"/>
              </w:numPr>
            </w:pPr>
          </w:p>
        </w:tc>
      </w:tr>
      <w:tr w:rsidR="007C717A" w:rsidRPr="002B6960" w14:paraId="5D5CEFAE" w14:textId="77777777" w:rsidTr="00FA3A4E">
        <w:tblPrEx>
          <w:tblLook w:val="04A0" w:firstRow="1" w:lastRow="0" w:firstColumn="1" w:lastColumn="0" w:noHBand="0" w:noVBand="1"/>
        </w:tblPrEx>
        <w:trPr>
          <w:trHeight w:val="300"/>
        </w:trPr>
        <w:tc>
          <w:tcPr>
            <w:tcW w:w="6970" w:type="dxa"/>
          </w:tcPr>
          <w:p w14:paraId="3A3F120D" w14:textId="76CC0E0B" w:rsidR="007C717A" w:rsidRPr="00E47482" w:rsidRDefault="003F6646" w:rsidP="00B23B70">
            <w:pPr>
              <w:pStyle w:val="SDMMethEquation"/>
              <w:ind w:left="709"/>
            </w:pPr>
            <m:oMathPara>
              <m:oMathParaPr>
                <m:jc m:val="left"/>
              </m:oMathParaPr>
              <m:oMath>
                <m:sSub>
                  <m:sSubPr>
                    <m:ctrlPr>
                      <w:rPr>
                        <w:rFonts w:ascii="Cambria Math" w:hAnsi="Cambria Math"/>
                        <w:i/>
                        <w:szCs w:val="20"/>
                      </w:rPr>
                    </m:ctrlPr>
                  </m:sSubPr>
                  <m:e>
                    <m:r>
                      <w:rPr>
                        <w:rFonts w:ascii="Cambria Math" w:eastAsia="MS Mincho" w:hAnsi="Cambria Math"/>
                        <w:lang w:eastAsia="ja-JP"/>
                      </w:rPr>
                      <m:t>AE</m:t>
                    </m:r>
                  </m:e>
                  <m:sub>
                    <m:r>
                      <w:rPr>
                        <w:rFonts w:ascii="Cambria Math" w:hAnsi="Cambria Math"/>
                      </w:rPr>
                      <m:t>EC,y</m:t>
                    </m:r>
                  </m:sub>
                </m:sSub>
                <m:r>
                  <w:rPr>
                    <w:rFonts w:ascii="Cambria Math" w:hAnsi="Cambria Math"/>
                  </w:rPr>
                  <m:t>=</m:t>
                </m:r>
                <m:nary>
                  <m:naryPr>
                    <m:chr m:val="∑"/>
                    <m:limLoc m:val="undOvr"/>
                    <m:supHide m:val="1"/>
                    <m:ctrlPr>
                      <w:rPr>
                        <w:rFonts w:ascii="Cambria Math" w:hAnsi="Cambria Math"/>
                        <w:i/>
                      </w:rPr>
                    </m:ctrlPr>
                  </m:naryPr>
                  <m:sub>
                    <m:r>
                      <w:rPr>
                        <w:rFonts w:ascii="Cambria Math" w:eastAsiaTheme="minorEastAsia" w:hAnsi="Cambria Math" w:hint="eastAsia"/>
                        <w:lang w:eastAsia="zh-CN"/>
                      </w:rPr>
                      <m:t>s</m:t>
                    </m:r>
                  </m:sub>
                  <m:sup/>
                  <m:e>
                    <m:sSub>
                      <m:sSubPr>
                        <m:ctrlPr>
                          <w:rPr>
                            <w:rFonts w:ascii="Cambria Math" w:hAnsi="Cambria Math"/>
                            <w:i/>
                          </w:rPr>
                        </m:ctrlPr>
                      </m:sSubPr>
                      <m:e>
                        <m:r>
                          <w:rPr>
                            <w:rFonts w:ascii="Cambria Math" w:hAnsi="Cambria Math"/>
                          </w:rPr>
                          <m:t>EC</m:t>
                        </m:r>
                      </m:e>
                      <m:sub>
                        <m:r>
                          <w:rPr>
                            <w:rFonts w:ascii="Cambria Math" w:hAnsi="Cambria Math"/>
                          </w:rPr>
                          <m:t>s,y</m:t>
                        </m:r>
                      </m:sub>
                    </m:sSub>
                    <m:r>
                      <w:rPr>
                        <w:rFonts w:ascii="Cambria Math" w:hAnsi="Cambria Math"/>
                      </w:rPr>
                      <m:t>×</m:t>
                    </m:r>
                    <m:sSub>
                      <m:sSubPr>
                        <m:ctrlPr>
                          <w:rPr>
                            <w:rFonts w:ascii="Cambria Math" w:hAnsi="Cambria Math"/>
                            <w:i/>
                          </w:rPr>
                        </m:ctrlPr>
                      </m:sSubPr>
                      <m:e>
                        <m:r>
                          <w:rPr>
                            <w:rFonts w:ascii="Cambria Math" w:hAnsi="Cambria Math"/>
                          </w:rPr>
                          <m:t>EF</m:t>
                        </m:r>
                      </m:e>
                      <m:sub>
                        <m:r>
                          <w:rPr>
                            <w:rFonts w:ascii="Cambria Math" w:hAnsi="Cambria Math"/>
                          </w:rPr>
                          <m:t>EC,PJ,s,y</m:t>
                        </m:r>
                      </m:sub>
                    </m:sSub>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1-</m:t>
                        </m:r>
                        <m:sSub>
                          <m:sSubPr>
                            <m:ctrlPr>
                              <w:rPr>
                                <w:rFonts w:ascii="Cambria Math" w:hAnsi="Cambria Math"/>
                                <w:i/>
                              </w:rPr>
                            </m:ctrlPr>
                          </m:sSubPr>
                          <m:e>
                            <m:r>
                              <w:rPr>
                                <w:rFonts w:ascii="Cambria Math" w:hAnsi="Cambria Math"/>
                              </w:rPr>
                              <m:t>F</m:t>
                            </m:r>
                          </m:e>
                          <m:sub>
                            <m:r>
                              <w:rPr>
                                <w:rFonts w:ascii="Cambria Math" w:hAnsi="Cambria Math"/>
                              </w:rPr>
                              <m:t>TDL,s,y</m:t>
                            </m:r>
                          </m:sub>
                        </m:sSub>
                      </m:den>
                    </m:f>
                  </m:e>
                </m:nary>
              </m:oMath>
            </m:oMathPara>
          </w:p>
        </w:tc>
        <w:tc>
          <w:tcPr>
            <w:tcW w:w="1686" w:type="dxa"/>
          </w:tcPr>
          <w:p w14:paraId="20A46254" w14:textId="77777777" w:rsidR="007C717A" w:rsidRPr="002B6960" w:rsidRDefault="007C717A">
            <w:pPr>
              <w:pStyle w:val="SDMMethEquationNr"/>
              <w:numPr>
                <w:ilvl w:val="0"/>
                <w:numId w:val="6"/>
              </w:numPr>
            </w:pPr>
          </w:p>
        </w:tc>
      </w:tr>
      <w:tr w:rsidR="007C717A" w:rsidRPr="002B6960" w14:paraId="0FF6FF32" w14:textId="77777777" w:rsidTr="00FA3A4E">
        <w:tblPrEx>
          <w:tblLook w:val="04A0" w:firstRow="1" w:lastRow="0" w:firstColumn="1" w:lastColumn="0" w:noHBand="0" w:noVBand="1"/>
        </w:tblPrEx>
        <w:trPr>
          <w:trHeight w:val="300"/>
        </w:trPr>
        <w:tc>
          <w:tcPr>
            <w:tcW w:w="6970" w:type="dxa"/>
          </w:tcPr>
          <w:p w14:paraId="5163C4C5" w14:textId="77777777" w:rsidR="007C717A" w:rsidRPr="00E47482" w:rsidRDefault="003F6646" w:rsidP="00B23B70">
            <w:pPr>
              <w:pStyle w:val="SDMMethEquation"/>
              <w:ind w:left="709"/>
            </w:pPr>
            <m:oMathPara>
              <m:oMathParaPr>
                <m:jc m:val="left"/>
              </m:oMathParaPr>
              <m:oMath>
                <m:sSub>
                  <m:sSubPr>
                    <m:ctrlPr>
                      <w:rPr>
                        <w:rFonts w:ascii="Cambria Math" w:hAnsi="Cambria Math"/>
                        <w:i/>
                        <w:szCs w:val="20"/>
                      </w:rPr>
                    </m:ctrlPr>
                  </m:sSubPr>
                  <m:e>
                    <m:r>
                      <w:rPr>
                        <w:rFonts w:ascii="Cambria Math" w:hAnsi="Cambria Math"/>
                      </w:rPr>
                      <m:t>LE</m:t>
                    </m:r>
                  </m:e>
                  <m:sub>
                    <m:r>
                      <w:rPr>
                        <w:rFonts w:ascii="Cambria Math" w:hAnsi="Cambria Math"/>
                      </w:rPr>
                      <m:t>EG,BL,y</m:t>
                    </m:r>
                  </m:sub>
                </m:sSub>
                <m:r>
                  <w:rPr>
                    <w:rFonts w:ascii="Cambria Math" w:hAnsi="Cambria Math"/>
                  </w:rPr>
                  <m:t>=</m:t>
                </m:r>
                <m:nary>
                  <m:naryPr>
                    <m:chr m:val="∑"/>
                    <m:limLoc m:val="undOvr"/>
                    <m:supHide m:val="1"/>
                    <m:ctrlPr>
                      <w:rPr>
                        <w:rFonts w:ascii="Cambria Math" w:hAnsi="Cambria Math"/>
                        <w:i/>
                      </w:rPr>
                    </m:ctrlPr>
                  </m:naryPr>
                  <m:sub>
                    <m:r>
                      <w:rPr>
                        <w:rFonts w:ascii="Cambria Math" w:eastAsiaTheme="minorEastAsia" w:hAnsi="Cambria Math" w:hint="eastAsia"/>
                        <w:lang w:eastAsia="zh-CN"/>
                      </w:rPr>
                      <m:t>s</m:t>
                    </m:r>
                  </m:sub>
                  <m:sup/>
                  <m:e>
                    <m:sSub>
                      <m:sSubPr>
                        <m:ctrlPr>
                          <w:rPr>
                            <w:rFonts w:ascii="Cambria Math" w:hAnsi="Cambria Math"/>
                            <w:i/>
                          </w:rPr>
                        </m:ctrlPr>
                      </m:sSubPr>
                      <m:e>
                        <m:r>
                          <w:rPr>
                            <w:rFonts w:ascii="Cambria Math" w:hAnsi="Cambria Math"/>
                          </w:rPr>
                          <m:t>EG</m:t>
                        </m:r>
                      </m:e>
                      <m:sub>
                        <m:r>
                          <w:rPr>
                            <w:rFonts w:ascii="Cambria Math" w:hAnsi="Cambria Math"/>
                          </w:rPr>
                          <m:t>s,y</m:t>
                        </m:r>
                      </m:sub>
                    </m:sSub>
                    <m:r>
                      <w:rPr>
                        <w:rFonts w:ascii="Cambria Math" w:hAnsi="Cambria Math"/>
                      </w:rPr>
                      <m:t>×</m:t>
                    </m:r>
                    <m:sSub>
                      <m:sSubPr>
                        <m:ctrlPr>
                          <w:rPr>
                            <w:rFonts w:ascii="Cambria Math" w:hAnsi="Cambria Math"/>
                            <w:i/>
                          </w:rPr>
                        </m:ctrlPr>
                      </m:sSubPr>
                      <m:e>
                        <m:r>
                          <w:rPr>
                            <w:rFonts w:ascii="Cambria Math" w:hAnsi="Cambria Math"/>
                          </w:rPr>
                          <m:t>EF</m:t>
                        </m:r>
                      </m:e>
                      <m:sub>
                        <m:r>
                          <w:rPr>
                            <w:rFonts w:ascii="Cambria Math" w:hAnsi="Cambria Math"/>
                          </w:rPr>
                          <m:t>EG,BL,s,y</m:t>
                        </m:r>
                      </m:sub>
                    </m:sSub>
                  </m:e>
                </m:nary>
              </m:oMath>
            </m:oMathPara>
          </w:p>
        </w:tc>
        <w:tc>
          <w:tcPr>
            <w:tcW w:w="1686" w:type="dxa"/>
          </w:tcPr>
          <w:p w14:paraId="7B809C3E" w14:textId="77777777" w:rsidR="007C717A" w:rsidRPr="002B6960" w:rsidRDefault="007C717A">
            <w:pPr>
              <w:pStyle w:val="SDMMethEquationNr"/>
              <w:numPr>
                <w:ilvl w:val="0"/>
                <w:numId w:val="6"/>
              </w:numPr>
            </w:pPr>
          </w:p>
        </w:tc>
      </w:tr>
      <w:tr w:rsidR="007C717A" w:rsidRPr="002B6960" w14:paraId="1EBEC426" w14:textId="77777777" w:rsidTr="00FA3A4E">
        <w:tblPrEx>
          <w:tblLook w:val="04A0" w:firstRow="1" w:lastRow="0" w:firstColumn="1" w:lastColumn="0" w:noHBand="0" w:noVBand="1"/>
        </w:tblPrEx>
        <w:trPr>
          <w:trHeight w:val="300"/>
        </w:trPr>
        <w:tc>
          <w:tcPr>
            <w:tcW w:w="6970" w:type="dxa"/>
          </w:tcPr>
          <w:p w14:paraId="11A8E0A2" w14:textId="7EEDCEE3" w:rsidR="007C717A" w:rsidRPr="00E47482" w:rsidRDefault="003F6646" w:rsidP="00B23B70">
            <w:pPr>
              <w:pStyle w:val="SDMMethEquation"/>
              <w:ind w:left="709"/>
            </w:pPr>
            <m:oMathPara>
              <m:oMathParaPr>
                <m:jc m:val="left"/>
              </m:oMathParaPr>
              <m:oMath>
                <m:sSub>
                  <m:sSubPr>
                    <m:ctrlPr>
                      <w:rPr>
                        <w:rFonts w:ascii="Cambria Math" w:hAnsi="Cambria Math"/>
                        <w:i/>
                        <w:szCs w:val="20"/>
                      </w:rPr>
                    </m:ctrlPr>
                  </m:sSubPr>
                  <m:e>
                    <m:r>
                      <w:rPr>
                        <w:rFonts w:ascii="Cambria Math" w:hAnsi="Cambria Math"/>
                      </w:rPr>
                      <m:t>LE</m:t>
                    </m:r>
                  </m:e>
                  <m:sub>
                    <m:r>
                      <w:rPr>
                        <w:rFonts w:ascii="Cambria Math" w:hAnsi="Cambria Math"/>
                      </w:rPr>
                      <m:t>EC,BL,y</m:t>
                    </m:r>
                  </m:sub>
                </m:sSub>
                <m:r>
                  <w:rPr>
                    <w:rFonts w:ascii="Cambria Math" w:hAnsi="Cambria Math"/>
                  </w:rPr>
                  <m:t>=</m:t>
                </m:r>
                <m:nary>
                  <m:naryPr>
                    <m:chr m:val="∑"/>
                    <m:limLoc m:val="undOvr"/>
                    <m:supHide m:val="1"/>
                    <m:ctrlPr>
                      <w:rPr>
                        <w:rFonts w:ascii="Cambria Math" w:hAnsi="Cambria Math"/>
                        <w:i/>
                      </w:rPr>
                    </m:ctrlPr>
                  </m:naryPr>
                  <m:sub>
                    <m:r>
                      <w:rPr>
                        <w:rFonts w:ascii="Cambria Math" w:eastAsiaTheme="minorEastAsia" w:hAnsi="Cambria Math" w:hint="eastAsia"/>
                        <w:lang w:eastAsia="zh-CN"/>
                      </w:rPr>
                      <m:t>s</m:t>
                    </m:r>
                  </m:sub>
                  <m:sup/>
                  <m:e>
                    <m:sSub>
                      <m:sSubPr>
                        <m:ctrlPr>
                          <w:rPr>
                            <w:rFonts w:ascii="Cambria Math" w:hAnsi="Cambria Math"/>
                            <w:i/>
                          </w:rPr>
                        </m:ctrlPr>
                      </m:sSubPr>
                      <m:e>
                        <m:r>
                          <w:rPr>
                            <w:rFonts w:ascii="Cambria Math" w:hAnsi="Cambria Math"/>
                          </w:rPr>
                          <m:t>EC</m:t>
                        </m:r>
                      </m:e>
                      <m:sub>
                        <m:r>
                          <w:rPr>
                            <w:rFonts w:ascii="Cambria Math" w:hAnsi="Cambria Math"/>
                          </w:rPr>
                          <m:t>s,y</m:t>
                        </m:r>
                      </m:sub>
                    </m:sSub>
                    <m:r>
                      <w:rPr>
                        <w:rFonts w:ascii="Cambria Math" w:hAnsi="Cambria Math"/>
                      </w:rPr>
                      <m:t>×</m:t>
                    </m:r>
                    <m:sSub>
                      <m:sSubPr>
                        <m:ctrlPr>
                          <w:rPr>
                            <w:rFonts w:ascii="Cambria Math" w:hAnsi="Cambria Math"/>
                            <w:i/>
                          </w:rPr>
                        </m:ctrlPr>
                      </m:sSubPr>
                      <m:e>
                        <m:r>
                          <w:rPr>
                            <w:rFonts w:ascii="Cambria Math" w:hAnsi="Cambria Math"/>
                          </w:rPr>
                          <m:t>EF</m:t>
                        </m:r>
                      </m:e>
                      <m:sub>
                        <m:r>
                          <w:rPr>
                            <w:rFonts w:ascii="Cambria Math" w:hAnsi="Cambria Math"/>
                          </w:rPr>
                          <m:t>EC,</m:t>
                        </m:r>
                        <m:r>
                          <w:rPr>
                            <w:rFonts w:ascii="Cambria Math" w:hAnsi="Cambria Math"/>
                            <w:strike/>
                          </w:rPr>
                          <m:t>PJ</m:t>
                        </m:r>
                        <m:r>
                          <w:rPr>
                            <w:rFonts w:ascii="Cambria Math" w:hAnsi="Cambria Math"/>
                          </w:rPr>
                          <m:t>B</m:t>
                        </m:r>
                        <m:r>
                          <w:rPr>
                            <w:rFonts w:ascii="Cambria Math" w:eastAsia="MS Mincho" w:hAnsi="Cambria Math"/>
                            <w:lang w:eastAsia="ja-JP"/>
                          </w:rPr>
                          <m:t>L</m:t>
                        </m:r>
                        <m:r>
                          <w:rPr>
                            <w:rFonts w:ascii="Cambria Math" w:hAnsi="Cambria Math"/>
                          </w:rPr>
                          <m:t>,s,y</m:t>
                        </m:r>
                      </m:sub>
                    </m:sSub>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1-</m:t>
                        </m:r>
                        <m:sSub>
                          <m:sSubPr>
                            <m:ctrlPr>
                              <w:rPr>
                                <w:rFonts w:ascii="Cambria Math" w:hAnsi="Cambria Math"/>
                                <w:i/>
                              </w:rPr>
                            </m:ctrlPr>
                          </m:sSubPr>
                          <m:e>
                            <m:r>
                              <w:rPr>
                                <w:rFonts w:ascii="Cambria Math" w:hAnsi="Cambria Math"/>
                              </w:rPr>
                              <m:t>F</m:t>
                            </m:r>
                          </m:e>
                          <m:sub>
                            <m:r>
                              <w:rPr>
                                <w:rFonts w:ascii="Cambria Math" w:hAnsi="Cambria Math"/>
                              </w:rPr>
                              <m:t>TDL,s,y</m:t>
                            </m:r>
                          </m:sub>
                        </m:sSub>
                      </m:den>
                    </m:f>
                  </m:e>
                </m:nary>
              </m:oMath>
            </m:oMathPara>
          </w:p>
        </w:tc>
        <w:tc>
          <w:tcPr>
            <w:tcW w:w="1686" w:type="dxa"/>
          </w:tcPr>
          <w:p w14:paraId="16BE5490" w14:textId="77777777" w:rsidR="007C717A" w:rsidRPr="002B6960" w:rsidRDefault="007C717A">
            <w:pPr>
              <w:pStyle w:val="SDMMethEquationNr"/>
              <w:numPr>
                <w:ilvl w:val="0"/>
                <w:numId w:val="6"/>
              </w:numPr>
            </w:pPr>
          </w:p>
        </w:tc>
      </w:tr>
      <w:tr w:rsidR="007C717A" w:rsidRPr="002B6960" w14:paraId="1E3311DE" w14:textId="77777777" w:rsidTr="00FA3A4E">
        <w:tblPrEx>
          <w:tblLook w:val="04A0" w:firstRow="1" w:lastRow="0" w:firstColumn="1" w:lastColumn="0" w:noHBand="0" w:noVBand="1"/>
        </w:tblPrEx>
        <w:trPr>
          <w:trHeight w:val="300"/>
        </w:trPr>
        <w:tc>
          <w:tcPr>
            <w:tcW w:w="6970" w:type="dxa"/>
          </w:tcPr>
          <w:p w14:paraId="1777A340" w14:textId="77777777" w:rsidR="007C717A" w:rsidRPr="00E47482" w:rsidRDefault="003F6646" w:rsidP="00B23B70">
            <w:pPr>
              <w:pStyle w:val="SDMMethEquation"/>
              <w:ind w:left="709"/>
            </w:pPr>
            <m:oMathPara>
              <m:oMathParaPr>
                <m:jc m:val="left"/>
              </m:oMathParaPr>
              <m:oMath>
                <m:sSub>
                  <m:sSubPr>
                    <m:ctrlPr>
                      <w:rPr>
                        <w:rFonts w:ascii="Cambria Math" w:hAnsi="Cambria Math"/>
                        <w:i/>
                        <w:szCs w:val="20"/>
                      </w:rPr>
                    </m:ctrlPr>
                  </m:sSubPr>
                  <m:e>
                    <m:r>
                      <w:rPr>
                        <w:rFonts w:ascii="Cambria Math" w:hAnsi="Cambria Math"/>
                      </w:rPr>
                      <m:t>LE</m:t>
                    </m:r>
                  </m:e>
                  <m:sub>
                    <m:r>
                      <w:rPr>
                        <w:rFonts w:ascii="Cambria Math" w:hAnsi="Cambria Math"/>
                      </w:rPr>
                      <m:t>EG,PJ,y</m:t>
                    </m:r>
                  </m:sub>
                </m:sSub>
                <m:r>
                  <w:rPr>
                    <w:rFonts w:ascii="Cambria Math" w:hAnsi="Cambria Math"/>
                  </w:rPr>
                  <m:t>=</m:t>
                </m:r>
                <m:nary>
                  <m:naryPr>
                    <m:chr m:val="∑"/>
                    <m:limLoc m:val="undOvr"/>
                    <m:supHide m:val="1"/>
                    <m:ctrlPr>
                      <w:rPr>
                        <w:rFonts w:ascii="Cambria Math" w:hAnsi="Cambria Math"/>
                        <w:i/>
                      </w:rPr>
                    </m:ctrlPr>
                  </m:naryPr>
                  <m:sub>
                    <m:r>
                      <w:rPr>
                        <w:rFonts w:ascii="Cambria Math" w:eastAsiaTheme="minorEastAsia" w:hAnsi="Cambria Math" w:hint="eastAsia"/>
                        <w:lang w:eastAsia="zh-CN"/>
                      </w:rPr>
                      <m:t>s</m:t>
                    </m:r>
                  </m:sub>
                  <m:sup/>
                  <m:e>
                    <m:sSub>
                      <m:sSubPr>
                        <m:ctrlPr>
                          <w:rPr>
                            <w:rFonts w:ascii="Cambria Math" w:hAnsi="Cambria Math"/>
                            <w:i/>
                          </w:rPr>
                        </m:ctrlPr>
                      </m:sSubPr>
                      <m:e>
                        <m:r>
                          <w:rPr>
                            <w:rFonts w:ascii="Cambria Math" w:hAnsi="Cambria Math"/>
                          </w:rPr>
                          <m:t>EG</m:t>
                        </m:r>
                      </m:e>
                      <m:sub>
                        <m:r>
                          <w:rPr>
                            <w:rFonts w:ascii="Cambria Math" w:hAnsi="Cambria Math"/>
                          </w:rPr>
                          <m:t>s,y</m:t>
                        </m:r>
                      </m:sub>
                    </m:sSub>
                    <m:r>
                      <w:rPr>
                        <w:rFonts w:ascii="Cambria Math" w:hAnsi="Cambria Math"/>
                      </w:rPr>
                      <m:t>×</m:t>
                    </m:r>
                    <m:sSub>
                      <m:sSubPr>
                        <m:ctrlPr>
                          <w:rPr>
                            <w:rFonts w:ascii="Cambria Math" w:hAnsi="Cambria Math"/>
                            <w:i/>
                          </w:rPr>
                        </m:ctrlPr>
                      </m:sSubPr>
                      <m:e>
                        <m:r>
                          <w:rPr>
                            <w:rFonts w:ascii="Cambria Math" w:hAnsi="Cambria Math"/>
                          </w:rPr>
                          <m:t>EF</m:t>
                        </m:r>
                      </m:e>
                      <m:sub>
                        <m:r>
                          <w:rPr>
                            <w:rFonts w:ascii="Cambria Math" w:hAnsi="Cambria Math"/>
                          </w:rPr>
                          <m:t>EG,PJ,s,y</m:t>
                        </m:r>
                      </m:sub>
                    </m:sSub>
                  </m:e>
                </m:nary>
              </m:oMath>
            </m:oMathPara>
          </w:p>
        </w:tc>
        <w:tc>
          <w:tcPr>
            <w:tcW w:w="1686" w:type="dxa"/>
          </w:tcPr>
          <w:p w14:paraId="63BE7FA0" w14:textId="77777777" w:rsidR="007C717A" w:rsidRPr="002B6960" w:rsidRDefault="007C717A">
            <w:pPr>
              <w:pStyle w:val="SDMMethEquationNr"/>
              <w:numPr>
                <w:ilvl w:val="0"/>
                <w:numId w:val="6"/>
              </w:numPr>
            </w:pPr>
          </w:p>
        </w:tc>
      </w:tr>
      <w:tr w:rsidR="007C717A" w:rsidRPr="002B6960" w14:paraId="7FB67F37" w14:textId="77777777" w:rsidTr="00FA3A4E">
        <w:tblPrEx>
          <w:tblLook w:val="04A0" w:firstRow="1" w:lastRow="0" w:firstColumn="1" w:lastColumn="0" w:noHBand="0" w:noVBand="1"/>
        </w:tblPrEx>
        <w:trPr>
          <w:trHeight w:val="300"/>
        </w:trPr>
        <w:tc>
          <w:tcPr>
            <w:tcW w:w="6970" w:type="dxa"/>
          </w:tcPr>
          <w:p w14:paraId="284124FA" w14:textId="77777777" w:rsidR="007C717A" w:rsidRPr="00043B0B" w:rsidRDefault="003F6646" w:rsidP="00B23B70">
            <w:pPr>
              <w:pStyle w:val="SDMMethEquation"/>
              <w:ind w:left="709"/>
            </w:pPr>
            <m:oMathPara>
              <m:oMathParaPr>
                <m:jc m:val="left"/>
              </m:oMathParaPr>
              <m:oMath>
                <m:sSub>
                  <m:sSubPr>
                    <m:ctrlPr>
                      <w:rPr>
                        <w:rFonts w:ascii="Cambria Math" w:hAnsi="Cambria Math"/>
                        <w:i/>
                        <w:szCs w:val="20"/>
                      </w:rPr>
                    </m:ctrlPr>
                  </m:sSubPr>
                  <m:e>
                    <m:r>
                      <w:rPr>
                        <w:rFonts w:ascii="Cambria Math" w:hAnsi="Cambria Math"/>
                      </w:rPr>
                      <m:t>LE</m:t>
                    </m:r>
                  </m:e>
                  <m:sub>
                    <m:r>
                      <w:rPr>
                        <w:rFonts w:ascii="Cambria Math" w:hAnsi="Cambria Math"/>
                      </w:rPr>
                      <m:t>EC,PJ,y</m:t>
                    </m:r>
                  </m:sub>
                </m:sSub>
                <m:r>
                  <w:rPr>
                    <w:rFonts w:ascii="Cambria Math" w:hAnsi="Cambria Math"/>
                  </w:rPr>
                  <m:t>=</m:t>
                </m:r>
                <m:nary>
                  <m:naryPr>
                    <m:chr m:val="∑"/>
                    <m:limLoc m:val="undOvr"/>
                    <m:supHide m:val="1"/>
                    <m:ctrlPr>
                      <w:rPr>
                        <w:rFonts w:ascii="Cambria Math" w:hAnsi="Cambria Math"/>
                        <w:i/>
                      </w:rPr>
                    </m:ctrlPr>
                  </m:naryPr>
                  <m:sub>
                    <m:r>
                      <w:rPr>
                        <w:rFonts w:ascii="Cambria Math" w:eastAsiaTheme="minorEastAsia" w:hAnsi="Cambria Math" w:hint="eastAsia"/>
                        <w:lang w:eastAsia="zh-CN"/>
                      </w:rPr>
                      <m:t>s</m:t>
                    </m:r>
                  </m:sub>
                  <m:sup/>
                  <m:e>
                    <m:sSub>
                      <m:sSubPr>
                        <m:ctrlPr>
                          <w:rPr>
                            <w:rFonts w:ascii="Cambria Math" w:hAnsi="Cambria Math"/>
                            <w:i/>
                          </w:rPr>
                        </m:ctrlPr>
                      </m:sSubPr>
                      <m:e>
                        <m:r>
                          <w:rPr>
                            <w:rFonts w:ascii="Cambria Math" w:hAnsi="Cambria Math"/>
                          </w:rPr>
                          <m:t>EC</m:t>
                        </m:r>
                      </m:e>
                      <m:sub>
                        <m:r>
                          <w:rPr>
                            <w:rFonts w:ascii="Cambria Math" w:hAnsi="Cambria Math"/>
                          </w:rPr>
                          <m:t>s,y</m:t>
                        </m:r>
                      </m:sub>
                    </m:sSub>
                    <m:r>
                      <w:rPr>
                        <w:rFonts w:ascii="Cambria Math" w:hAnsi="Cambria Math"/>
                      </w:rPr>
                      <m:t>×</m:t>
                    </m:r>
                    <m:sSub>
                      <m:sSubPr>
                        <m:ctrlPr>
                          <w:rPr>
                            <w:rFonts w:ascii="Cambria Math" w:hAnsi="Cambria Math"/>
                            <w:i/>
                          </w:rPr>
                        </m:ctrlPr>
                      </m:sSubPr>
                      <m:e>
                        <m:r>
                          <w:rPr>
                            <w:rFonts w:ascii="Cambria Math" w:hAnsi="Cambria Math"/>
                          </w:rPr>
                          <m:t>EF</m:t>
                        </m:r>
                      </m:e>
                      <m:sub>
                        <m:r>
                          <w:rPr>
                            <w:rFonts w:ascii="Cambria Math" w:hAnsi="Cambria Math"/>
                          </w:rPr>
                          <m:t>EC,PJ,s,y</m:t>
                        </m:r>
                      </m:sub>
                    </m:sSub>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1-</m:t>
                        </m:r>
                        <m:sSub>
                          <m:sSubPr>
                            <m:ctrlPr>
                              <w:rPr>
                                <w:rFonts w:ascii="Cambria Math" w:hAnsi="Cambria Math"/>
                                <w:i/>
                              </w:rPr>
                            </m:ctrlPr>
                          </m:sSubPr>
                          <m:e>
                            <m:r>
                              <w:rPr>
                                <w:rFonts w:ascii="Cambria Math" w:hAnsi="Cambria Math"/>
                              </w:rPr>
                              <m:t>F</m:t>
                            </m:r>
                          </m:e>
                          <m:sub>
                            <m:r>
                              <w:rPr>
                                <w:rFonts w:ascii="Cambria Math" w:hAnsi="Cambria Math"/>
                              </w:rPr>
                              <m:t>TDL,s,y</m:t>
                            </m:r>
                          </m:sub>
                        </m:sSub>
                      </m:den>
                    </m:f>
                  </m:e>
                </m:nary>
              </m:oMath>
            </m:oMathPara>
          </w:p>
        </w:tc>
        <w:tc>
          <w:tcPr>
            <w:tcW w:w="1686" w:type="dxa"/>
          </w:tcPr>
          <w:p w14:paraId="66344E8E" w14:textId="77777777" w:rsidR="007C717A" w:rsidRPr="002B6960" w:rsidRDefault="007C717A">
            <w:pPr>
              <w:pStyle w:val="SDMMethEquationNr"/>
              <w:numPr>
                <w:ilvl w:val="0"/>
                <w:numId w:val="6"/>
              </w:numPr>
            </w:pPr>
          </w:p>
        </w:tc>
      </w:tr>
    </w:tbl>
    <w:p w14:paraId="173B54D3" w14:textId="09873309" w:rsidR="003A2A42" w:rsidRDefault="003A2A42" w:rsidP="00F62D64">
      <w:pPr>
        <w:pStyle w:val="SDMMethCaptionEquationParametersTable"/>
      </w:pPr>
      <w:r>
        <w:t>Where:</w:t>
      </w:r>
    </w:p>
    <w:tbl>
      <w:tblPr>
        <w:tblStyle w:val="SDMMethTableEquationParameters"/>
        <w:tblW w:w="8760" w:type="dxa"/>
        <w:tblLook w:val="04A0" w:firstRow="1" w:lastRow="0" w:firstColumn="1" w:lastColumn="0" w:noHBand="0" w:noVBand="1"/>
      </w:tblPr>
      <w:tblGrid>
        <w:gridCol w:w="1701"/>
        <w:gridCol w:w="345"/>
        <w:gridCol w:w="6714"/>
      </w:tblGrid>
      <w:tr w:rsidR="00D9066E" w:rsidRPr="002408C8" w14:paraId="62365F97" w14:textId="77777777" w:rsidTr="00AA7E37">
        <w:tc>
          <w:tcPr>
            <w:tcW w:w="1701" w:type="dxa"/>
            <w:vAlign w:val="top"/>
          </w:tcPr>
          <w:p w14:paraId="5A31CF3C" w14:textId="77777777" w:rsidR="00D9066E" w:rsidRPr="00E47482" w:rsidRDefault="003F6646" w:rsidP="002408C8">
            <w:pPr>
              <w:pStyle w:val="SDMTableBoxParaNotNumbered"/>
              <w:rPr>
                <w:rFonts w:cs="Arial"/>
              </w:rPr>
            </w:pPr>
            <m:oMathPara>
              <m:oMathParaPr>
                <m:jc m:val="left"/>
              </m:oMathParaPr>
              <m:oMath>
                <m:sSub>
                  <m:sSubPr>
                    <m:ctrlPr>
                      <w:rPr>
                        <w:rFonts w:ascii="Cambria Math" w:hAnsi="Cambria Math" w:cs="Arial"/>
                        <w:i/>
                      </w:rPr>
                    </m:ctrlPr>
                  </m:sSubPr>
                  <m:e>
                    <m:r>
                      <w:rPr>
                        <w:rFonts w:ascii="Cambria Math" w:hAnsi="Cambria Math" w:cs="Arial"/>
                      </w:rPr>
                      <m:t>BE</m:t>
                    </m:r>
                  </m:e>
                  <m:sub>
                    <m:r>
                      <w:rPr>
                        <w:rFonts w:ascii="Cambria Math" w:hAnsi="Cambria Math" w:cs="Arial"/>
                      </w:rPr>
                      <m:t>EG,y</m:t>
                    </m:r>
                  </m:sub>
                </m:sSub>
              </m:oMath>
            </m:oMathPara>
          </w:p>
        </w:tc>
        <w:tc>
          <w:tcPr>
            <w:tcW w:w="345" w:type="dxa"/>
            <w:vAlign w:val="top"/>
          </w:tcPr>
          <w:p w14:paraId="43E80D8F" w14:textId="77777777" w:rsidR="00D9066E" w:rsidRPr="002408C8" w:rsidRDefault="00D9066E" w:rsidP="002408C8">
            <w:pPr>
              <w:pStyle w:val="SDMTableBoxParaNotNumbered"/>
              <w:rPr>
                <w:rFonts w:cs="Arial"/>
              </w:rPr>
            </w:pPr>
            <w:r w:rsidRPr="002408C8">
              <w:rPr>
                <w:rFonts w:cs="Arial"/>
              </w:rPr>
              <w:t>=</w:t>
            </w:r>
          </w:p>
        </w:tc>
        <w:tc>
          <w:tcPr>
            <w:tcW w:w="0" w:type="auto"/>
            <w:vAlign w:val="top"/>
          </w:tcPr>
          <w:p w14:paraId="385CFBD8" w14:textId="290EADB1" w:rsidR="00D9066E" w:rsidRPr="002408C8" w:rsidRDefault="00D9066E" w:rsidP="002408C8">
            <w:pPr>
              <w:pStyle w:val="SDMTableBoxParaNotNumbered"/>
              <w:rPr>
                <w:rFonts w:cs="Arial"/>
              </w:rPr>
            </w:pPr>
            <w:r w:rsidRPr="002408C8">
              <w:rPr>
                <w:rFonts w:cs="Arial"/>
              </w:rPr>
              <w:t>Baseline emissions from electricity generation in year </w:t>
            </w:r>
            <w:r w:rsidRPr="002408C8">
              <w:rPr>
                <w:rFonts w:cs="Arial"/>
                <w:i/>
                <w:iCs/>
              </w:rPr>
              <w:t>y</w:t>
            </w:r>
            <w:r w:rsidRPr="002408C8">
              <w:rPr>
                <w:rFonts w:cs="Arial"/>
              </w:rPr>
              <w:t xml:space="preserve"> (t CO</w:t>
            </w:r>
            <w:r w:rsidRPr="002408C8">
              <w:rPr>
                <w:rFonts w:cs="Arial"/>
                <w:vertAlign w:val="subscript"/>
              </w:rPr>
              <w:t>2</w:t>
            </w:r>
            <w:r w:rsidRPr="002408C8">
              <w:rPr>
                <w:rFonts w:cs="Arial"/>
              </w:rPr>
              <w:t>)</w:t>
            </w:r>
          </w:p>
        </w:tc>
      </w:tr>
      <w:tr w:rsidR="00D9066E" w:rsidRPr="002408C8" w14:paraId="00F8C831" w14:textId="77777777" w:rsidTr="00AA7E37">
        <w:tc>
          <w:tcPr>
            <w:tcW w:w="1701" w:type="dxa"/>
            <w:vAlign w:val="top"/>
          </w:tcPr>
          <w:p w14:paraId="5AFE00B1" w14:textId="77777777" w:rsidR="00D9066E" w:rsidRPr="00E47482" w:rsidRDefault="003F6646" w:rsidP="002408C8">
            <w:pPr>
              <w:pStyle w:val="SDMTableBoxParaNotNumbered"/>
              <w:rPr>
                <w:rFonts w:cs="Arial"/>
              </w:rPr>
            </w:pPr>
            <m:oMathPara>
              <m:oMathParaPr>
                <m:jc m:val="left"/>
              </m:oMathParaPr>
              <m:oMath>
                <m:sSub>
                  <m:sSubPr>
                    <m:ctrlPr>
                      <w:rPr>
                        <w:rFonts w:ascii="Cambria Math" w:hAnsi="Cambria Math" w:cs="Arial"/>
                        <w:i/>
                      </w:rPr>
                    </m:ctrlPr>
                  </m:sSubPr>
                  <m:e>
                    <m:r>
                      <w:rPr>
                        <w:rFonts w:ascii="Cambria Math" w:hAnsi="Cambria Math" w:cs="Arial"/>
                      </w:rPr>
                      <m:t>BE</m:t>
                    </m:r>
                  </m:e>
                  <m:sub>
                    <m:r>
                      <w:rPr>
                        <w:rFonts w:ascii="Cambria Math" w:hAnsi="Cambria Math" w:cs="Arial"/>
                      </w:rPr>
                      <m:t>EC,y</m:t>
                    </m:r>
                  </m:sub>
                </m:sSub>
              </m:oMath>
            </m:oMathPara>
          </w:p>
        </w:tc>
        <w:tc>
          <w:tcPr>
            <w:tcW w:w="345" w:type="dxa"/>
            <w:vAlign w:val="top"/>
          </w:tcPr>
          <w:p w14:paraId="5D6D6229" w14:textId="77777777" w:rsidR="00D9066E" w:rsidRPr="002408C8" w:rsidRDefault="00D9066E" w:rsidP="002408C8">
            <w:pPr>
              <w:pStyle w:val="SDMTableBoxParaNotNumbered"/>
              <w:rPr>
                <w:rFonts w:cs="Arial"/>
              </w:rPr>
            </w:pPr>
            <w:r w:rsidRPr="002408C8">
              <w:rPr>
                <w:rFonts w:cs="Arial"/>
              </w:rPr>
              <w:t>=</w:t>
            </w:r>
          </w:p>
        </w:tc>
        <w:tc>
          <w:tcPr>
            <w:tcW w:w="0" w:type="auto"/>
            <w:vAlign w:val="top"/>
          </w:tcPr>
          <w:p w14:paraId="485BB342" w14:textId="332A25A9" w:rsidR="00D9066E" w:rsidRPr="002408C8" w:rsidRDefault="00D9066E" w:rsidP="002408C8">
            <w:pPr>
              <w:pStyle w:val="SDMTableBoxParaNotNumbered"/>
              <w:rPr>
                <w:rFonts w:cs="Arial"/>
              </w:rPr>
            </w:pPr>
            <w:r w:rsidRPr="002408C8">
              <w:rPr>
                <w:rFonts w:cs="Arial"/>
              </w:rPr>
              <w:t>Baseline emissions from electricity consumption in year </w:t>
            </w:r>
            <w:r w:rsidRPr="002408C8">
              <w:rPr>
                <w:rFonts w:cs="Arial"/>
                <w:i/>
                <w:iCs/>
              </w:rPr>
              <w:t>y</w:t>
            </w:r>
            <w:r w:rsidRPr="002408C8">
              <w:rPr>
                <w:rFonts w:cs="Arial"/>
              </w:rPr>
              <w:t xml:space="preserve"> (t CO</w:t>
            </w:r>
            <w:r w:rsidRPr="002408C8">
              <w:rPr>
                <w:rFonts w:cs="Arial"/>
                <w:vertAlign w:val="subscript"/>
              </w:rPr>
              <w:t>2</w:t>
            </w:r>
            <w:r w:rsidRPr="002408C8">
              <w:rPr>
                <w:rFonts w:cs="Arial"/>
              </w:rPr>
              <w:t>)</w:t>
            </w:r>
          </w:p>
        </w:tc>
      </w:tr>
      <w:tr w:rsidR="00D9066E" w:rsidRPr="002408C8" w14:paraId="493ABC25" w14:textId="77777777" w:rsidTr="00AA7E37">
        <w:tc>
          <w:tcPr>
            <w:tcW w:w="1701" w:type="dxa"/>
            <w:vAlign w:val="top"/>
          </w:tcPr>
          <w:p w14:paraId="6324B1C7" w14:textId="7C0D7175" w:rsidR="00D9066E" w:rsidRPr="00043B0B" w:rsidRDefault="003F6646" w:rsidP="002408C8">
            <w:pPr>
              <w:pStyle w:val="SDMTableBoxParaNotNumbered"/>
              <w:rPr>
                <w:rFonts w:cs="Arial"/>
              </w:rPr>
            </w:pPr>
            <m:oMathPara>
              <m:oMathParaPr>
                <m:jc m:val="left"/>
              </m:oMathParaPr>
              <m:oMath>
                <m:sSub>
                  <m:sSubPr>
                    <m:ctrlPr>
                      <w:rPr>
                        <w:rFonts w:ascii="Cambria Math" w:hAnsi="Cambria Math" w:cs="Arial"/>
                        <w:i/>
                      </w:rPr>
                    </m:ctrlPr>
                  </m:sSubPr>
                  <m:e>
                    <m:r>
                      <w:rPr>
                        <w:rFonts w:ascii="Cambria Math" w:eastAsia="MS Mincho" w:hAnsi="Cambria Math" w:cs="Arial"/>
                        <w:lang w:eastAsia="ja-JP"/>
                      </w:rPr>
                      <m:t>AE</m:t>
                    </m:r>
                  </m:e>
                  <m:sub>
                    <m:r>
                      <w:rPr>
                        <w:rFonts w:ascii="Cambria Math" w:hAnsi="Cambria Math" w:cs="Arial"/>
                      </w:rPr>
                      <m:t>EG,y</m:t>
                    </m:r>
                  </m:sub>
                </m:sSub>
              </m:oMath>
            </m:oMathPara>
          </w:p>
        </w:tc>
        <w:tc>
          <w:tcPr>
            <w:tcW w:w="345" w:type="dxa"/>
            <w:vAlign w:val="top"/>
          </w:tcPr>
          <w:p w14:paraId="11C4FF0E" w14:textId="77777777" w:rsidR="00D9066E" w:rsidRPr="002408C8" w:rsidRDefault="00D9066E" w:rsidP="002408C8">
            <w:pPr>
              <w:pStyle w:val="SDMTableBoxParaNotNumbered"/>
              <w:rPr>
                <w:rFonts w:cs="Arial"/>
              </w:rPr>
            </w:pPr>
            <w:r w:rsidRPr="002408C8">
              <w:rPr>
                <w:rFonts w:cs="Arial"/>
              </w:rPr>
              <w:t>=</w:t>
            </w:r>
          </w:p>
        </w:tc>
        <w:tc>
          <w:tcPr>
            <w:tcW w:w="0" w:type="auto"/>
            <w:vAlign w:val="top"/>
          </w:tcPr>
          <w:p w14:paraId="4D798045" w14:textId="7E332781" w:rsidR="00D9066E" w:rsidRPr="00043B0B" w:rsidRDefault="007A53A4" w:rsidP="007A53A4">
            <w:pPr>
              <w:pStyle w:val="SDMTableBoxParaNotNumbered"/>
              <w:rPr>
                <w:rFonts w:cs="Arial"/>
              </w:rPr>
            </w:pPr>
            <w:r w:rsidRPr="00043B0B">
              <w:rPr>
                <w:rFonts w:cs="Arial"/>
              </w:rPr>
              <w:t xml:space="preserve">Activity emissions </w:t>
            </w:r>
            <w:r w:rsidR="00D9066E" w:rsidRPr="00043B0B">
              <w:rPr>
                <w:rFonts w:cs="Arial"/>
              </w:rPr>
              <w:t>from electricity generation in year </w:t>
            </w:r>
            <w:r w:rsidR="00D9066E" w:rsidRPr="00043B0B">
              <w:rPr>
                <w:rFonts w:cs="Arial"/>
                <w:i/>
                <w:iCs/>
              </w:rPr>
              <w:t>y</w:t>
            </w:r>
            <w:r w:rsidR="00D9066E" w:rsidRPr="00043B0B">
              <w:rPr>
                <w:rFonts w:cs="Arial"/>
              </w:rPr>
              <w:t xml:space="preserve"> (t CO</w:t>
            </w:r>
            <w:r w:rsidR="00D9066E" w:rsidRPr="00043B0B">
              <w:rPr>
                <w:rFonts w:cs="Arial"/>
                <w:vertAlign w:val="subscript"/>
              </w:rPr>
              <w:t>2</w:t>
            </w:r>
            <w:r w:rsidR="00D9066E" w:rsidRPr="00043B0B">
              <w:rPr>
                <w:rFonts w:cs="Arial"/>
              </w:rPr>
              <w:t>)</w:t>
            </w:r>
          </w:p>
        </w:tc>
      </w:tr>
      <w:tr w:rsidR="00D9066E" w:rsidRPr="002408C8" w14:paraId="39AD2553" w14:textId="77777777" w:rsidTr="00AA7E37">
        <w:tc>
          <w:tcPr>
            <w:tcW w:w="1701" w:type="dxa"/>
            <w:vAlign w:val="top"/>
          </w:tcPr>
          <w:p w14:paraId="6D50B28D" w14:textId="2097E4D9" w:rsidR="00D9066E" w:rsidRPr="00043B0B" w:rsidRDefault="003F6646" w:rsidP="002408C8">
            <w:pPr>
              <w:pStyle w:val="SDMTableBoxParaNotNumbered"/>
              <w:rPr>
                <w:rFonts w:eastAsia="DengXian" w:cs="Arial"/>
              </w:rPr>
            </w:pPr>
            <m:oMathPara>
              <m:oMathParaPr>
                <m:jc m:val="left"/>
              </m:oMathParaPr>
              <m:oMath>
                <m:sSub>
                  <m:sSubPr>
                    <m:ctrlPr>
                      <w:rPr>
                        <w:rFonts w:ascii="Cambria Math" w:hAnsi="Cambria Math" w:cs="Arial"/>
                        <w:i/>
                      </w:rPr>
                    </m:ctrlPr>
                  </m:sSubPr>
                  <m:e>
                    <m:r>
                      <w:rPr>
                        <w:rFonts w:ascii="Cambria Math" w:eastAsia="MS Mincho" w:hAnsi="Cambria Math" w:cs="Arial"/>
                        <w:lang w:eastAsia="ja-JP"/>
                      </w:rPr>
                      <m:t>AE</m:t>
                    </m:r>
                  </m:e>
                  <m:sub>
                    <m:r>
                      <w:rPr>
                        <w:rFonts w:ascii="Cambria Math" w:hAnsi="Cambria Math" w:cs="Arial"/>
                      </w:rPr>
                      <m:t>EC,y</m:t>
                    </m:r>
                  </m:sub>
                </m:sSub>
              </m:oMath>
            </m:oMathPara>
          </w:p>
        </w:tc>
        <w:tc>
          <w:tcPr>
            <w:tcW w:w="345" w:type="dxa"/>
            <w:vAlign w:val="top"/>
          </w:tcPr>
          <w:p w14:paraId="4BDEC6A1" w14:textId="77777777" w:rsidR="00D9066E" w:rsidRPr="002408C8" w:rsidRDefault="00D9066E" w:rsidP="002408C8">
            <w:pPr>
              <w:pStyle w:val="SDMTableBoxParaNotNumbered"/>
              <w:rPr>
                <w:rFonts w:cs="Arial"/>
              </w:rPr>
            </w:pPr>
            <w:r w:rsidRPr="002408C8">
              <w:rPr>
                <w:rFonts w:cs="Arial"/>
              </w:rPr>
              <w:t>=</w:t>
            </w:r>
          </w:p>
        </w:tc>
        <w:tc>
          <w:tcPr>
            <w:tcW w:w="0" w:type="auto"/>
            <w:vAlign w:val="top"/>
          </w:tcPr>
          <w:p w14:paraId="3C76EE9F" w14:textId="0B7F756E" w:rsidR="00D9066E" w:rsidRPr="00043B0B" w:rsidRDefault="008F7B43" w:rsidP="008F7B43">
            <w:pPr>
              <w:pStyle w:val="SDMTableBoxParaNotNumbered"/>
              <w:rPr>
                <w:rFonts w:cs="Arial"/>
              </w:rPr>
            </w:pPr>
            <w:r w:rsidRPr="00043B0B">
              <w:rPr>
                <w:rFonts w:cs="Arial"/>
              </w:rPr>
              <w:t xml:space="preserve">Activity emissions </w:t>
            </w:r>
            <w:r w:rsidR="00D9066E" w:rsidRPr="00043B0B">
              <w:rPr>
                <w:rFonts w:cs="Arial"/>
              </w:rPr>
              <w:t>from electricity consumption in year </w:t>
            </w:r>
            <w:r w:rsidR="00D9066E" w:rsidRPr="00043B0B">
              <w:rPr>
                <w:rFonts w:cs="Arial"/>
                <w:i/>
                <w:iCs/>
              </w:rPr>
              <w:t>y</w:t>
            </w:r>
            <w:r w:rsidR="00D9066E" w:rsidRPr="00043B0B">
              <w:rPr>
                <w:rFonts w:cs="Arial"/>
              </w:rPr>
              <w:t xml:space="preserve"> (t CO</w:t>
            </w:r>
            <w:r w:rsidR="00D9066E" w:rsidRPr="00043B0B">
              <w:rPr>
                <w:rFonts w:cs="Arial"/>
                <w:vertAlign w:val="subscript"/>
              </w:rPr>
              <w:t>2</w:t>
            </w:r>
            <w:r w:rsidR="00D9066E" w:rsidRPr="00043B0B">
              <w:rPr>
                <w:rFonts w:cs="Arial"/>
              </w:rPr>
              <w:t>)</w:t>
            </w:r>
          </w:p>
        </w:tc>
      </w:tr>
      <w:tr w:rsidR="00D9066E" w:rsidRPr="002408C8" w14:paraId="28B4AEFD" w14:textId="77777777" w:rsidTr="00AA7E37">
        <w:tc>
          <w:tcPr>
            <w:tcW w:w="1701" w:type="dxa"/>
            <w:vAlign w:val="top"/>
          </w:tcPr>
          <w:p w14:paraId="427DB9A5" w14:textId="77777777" w:rsidR="00D9066E" w:rsidRPr="00E47482" w:rsidRDefault="003F6646" w:rsidP="002408C8">
            <w:pPr>
              <w:pStyle w:val="SDMTableBoxParaNotNumbered"/>
              <w:rPr>
                <w:rFonts w:eastAsia="DengXian" w:cs="Arial"/>
              </w:rPr>
            </w:pPr>
            <m:oMathPara>
              <m:oMathParaPr>
                <m:jc m:val="left"/>
              </m:oMathParaPr>
              <m:oMath>
                <m:sSub>
                  <m:sSubPr>
                    <m:ctrlPr>
                      <w:rPr>
                        <w:rFonts w:ascii="Cambria Math" w:hAnsi="Cambria Math" w:cs="Arial"/>
                        <w:i/>
                      </w:rPr>
                    </m:ctrlPr>
                  </m:sSubPr>
                  <m:e>
                    <m:r>
                      <w:rPr>
                        <w:rFonts w:ascii="Cambria Math" w:hAnsi="Cambria Math" w:cs="Arial"/>
                      </w:rPr>
                      <m:t>LE</m:t>
                    </m:r>
                  </m:e>
                  <m:sub>
                    <m:r>
                      <w:rPr>
                        <w:rFonts w:ascii="Cambria Math" w:hAnsi="Cambria Math" w:cs="Arial"/>
                      </w:rPr>
                      <m:t>EG,BL,y</m:t>
                    </m:r>
                  </m:sub>
                </m:sSub>
              </m:oMath>
            </m:oMathPara>
          </w:p>
        </w:tc>
        <w:tc>
          <w:tcPr>
            <w:tcW w:w="345" w:type="dxa"/>
            <w:vAlign w:val="top"/>
          </w:tcPr>
          <w:p w14:paraId="6C47B645" w14:textId="77777777" w:rsidR="00D9066E" w:rsidRPr="002408C8" w:rsidRDefault="00D9066E" w:rsidP="002408C8">
            <w:pPr>
              <w:pStyle w:val="SDMTableBoxParaNotNumbered"/>
              <w:rPr>
                <w:rFonts w:cs="Arial"/>
              </w:rPr>
            </w:pPr>
            <w:r w:rsidRPr="002408C8">
              <w:rPr>
                <w:rFonts w:cs="Arial"/>
              </w:rPr>
              <w:t>=</w:t>
            </w:r>
          </w:p>
        </w:tc>
        <w:tc>
          <w:tcPr>
            <w:tcW w:w="0" w:type="auto"/>
            <w:vAlign w:val="top"/>
          </w:tcPr>
          <w:p w14:paraId="16287246" w14:textId="41CF04A9" w:rsidR="00D9066E" w:rsidRPr="00043B0B" w:rsidRDefault="00D9066E" w:rsidP="002408C8">
            <w:pPr>
              <w:pStyle w:val="SDMTableBoxParaNotNumbered"/>
              <w:rPr>
                <w:rFonts w:cs="Arial"/>
              </w:rPr>
            </w:pPr>
            <w:r w:rsidRPr="00043B0B">
              <w:rPr>
                <w:rFonts w:cs="Arial"/>
              </w:rPr>
              <w:t>Leakage emissions from electricity generation in the baseline scenario in year </w:t>
            </w:r>
            <w:r w:rsidRPr="00043B0B">
              <w:rPr>
                <w:rFonts w:cs="Arial"/>
                <w:i/>
                <w:iCs/>
              </w:rPr>
              <w:t>y</w:t>
            </w:r>
            <w:r w:rsidRPr="00043B0B">
              <w:rPr>
                <w:rFonts w:cs="Arial"/>
              </w:rPr>
              <w:t xml:space="preserve"> (t CO</w:t>
            </w:r>
            <w:r w:rsidRPr="00043B0B">
              <w:rPr>
                <w:rFonts w:cs="Arial"/>
                <w:vertAlign w:val="subscript"/>
              </w:rPr>
              <w:t>2</w:t>
            </w:r>
            <w:r w:rsidRPr="00043B0B">
              <w:rPr>
                <w:rFonts w:cs="Arial"/>
              </w:rPr>
              <w:t>)</w:t>
            </w:r>
          </w:p>
        </w:tc>
      </w:tr>
      <w:tr w:rsidR="00D9066E" w:rsidRPr="002408C8" w14:paraId="077B9500" w14:textId="77777777" w:rsidTr="00AA7E37">
        <w:tc>
          <w:tcPr>
            <w:tcW w:w="1701" w:type="dxa"/>
            <w:vAlign w:val="top"/>
          </w:tcPr>
          <w:p w14:paraId="36A9E54B" w14:textId="77777777" w:rsidR="00D9066E" w:rsidRPr="00E47482" w:rsidRDefault="003F6646" w:rsidP="002408C8">
            <w:pPr>
              <w:pStyle w:val="SDMTableBoxParaNotNumbered"/>
              <w:rPr>
                <w:rFonts w:eastAsia="DengXian" w:cs="Arial"/>
              </w:rPr>
            </w:pPr>
            <m:oMathPara>
              <m:oMathParaPr>
                <m:jc m:val="left"/>
              </m:oMathParaPr>
              <m:oMath>
                <m:sSub>
                  <m:sSubPr>
                    <m:ctrlPr>
                      <w:rPr>
                        <w:rFonts w:ascii="Cambria Math" w:hAnsi="Cambria Math" w:cs="Arial"/>
                        <w:i/>
                      </w:rPr>
                    </m:ctrlPr>
                  </m:sSubPr>
                  <m:e>
                    <m:r>
                      <w:rPr>
                        <w:rFonts w:ascii="Cambria Math" w:hAnsi="Cambria Math" w:cs="Arial"/>
                      </w:rPr>
                      <m:t>LE</m:t>
                    </m:r>
                  </m:e>
                  <m:sub>
                    <m:r>
                      <w:rPr>
                        <w:rFonts w:ascii="Cambria Math" w:hAnsi="Cambria Math" w:cs="Arial"/>
                      </w:rPr>
                      <m:t>EC,BL,y</m:t>
                    </m:r>
                  </m:sub>
                </m:sSub>
              </m:oMath>
            </m:oMathPara>
          </w:p>
        </w:tc>
        <w:tc>
          <w:tcPr>
            <w:tcW w:w="345" w:type="dxa"/>
            <w:vAlign w:val="top"/>
          </w:tcPr>
          <w:p w14:paraId="2ECE4FBB" w14:textId="77777777" w:rsidR="00D9066E" w:rsidRPr="002408C8" w:rsidRDefault="00D9066E" w:rsidP="002408C8">
            <w:pPr>
              <w:pStyle w:val="SDMTableBoxParaNotNumbered"/>
              <w:rPr>
                <w:rFonts w:cs="Arial"/>
              </w:rPr>
            </w:pPr>
            <w:r w:rsidRPr="002408C8">
              <w:rPr>
                <w:rFonts w:cs="Arial"/>
              </w:rPr>
              <w:t>=</w:t>
            </w:r>
          </w:p>
        </w:tc>
        <w:tc>
          <w:tcPr>
            <w:tcW w:w="0" w:type="auto"/>
            <w:vAlign w:val="top"/>
          </w:tcPr>
          <w:p w14:paraId="3BD57879" w14:textId="3DF29505" w:rsidR="00D9066E" w:rsidRPr="00043B0B" w:rsidRDefault="00D9066E" w:rsidP="002408C8">
            <w:pPr>
              <w:pStyle w:val="SDMTableBoxParaNotNumbered"/>
              <w:rPr>
                <w:rFonts w:cs="Arial"/>
              </w:rPr>
            </w:pPr>
            <w:r w:rsidRPr="00043B0B">
              <w:rPr>
                <w:rFonts w:cs="Arial"/>
              </w:rPr>
              <w:t>Leakage emissions from electricity consumption in the baseline scenario in year </w:t>
            </w:r>
            <w:r w:rsidRPr="00043B0B">
              <w:rPr>
                <w:rFonts w:cs="Arial"/>
                <w:i/>
                <w:iCs/>
              </w:rPr>
              <w:t>y</w:t>
            </w:r>
            <w:r w:rsidRPr="00043B0B">
              <w:rPr>
                <w:rFonts w:cs="Arial"/>
              </w:rPr>
              <w:t xml:space="preserve"> (t CO</w:t>
            </w:r>
            <w:r w:rsidRPr="00043B0B">
              <w:rPr>
                <w:rFonts w:cs="Arial"/>
                <w:vertAlign w:val="subscript"/>
              </w:rPr>
              <w:t>2</w:t>
            </w:r>
            <w:r w:rsidRPr="00043B0B">
              <w:rPr>
                <w:rFonts w:cs="Arial"/>
              </w:rPr>
              <w:t>)</w:t>
            </w:r>
          </w:p>
        </w:tc>
      </w:tr>
      <w:tr w:rsidR="00D9066E" w:rsidRPr="002408C8" w14:paraId="5E3C8226" w14:textId="77777777" w:rsidTr="00AA7E37">
        <w:tc>
          <w:tcPr>
            <w:tcW w:w="1701" w:type="dxa"/>
            <w:vAlign w:val="top"/>
          </w:tcPr>
          <w:p w14:paraId="2B0FC8B7" w14:textId="77777777" w:rsidR="00D9066E" w:rsidRPr="00E47482" w:rsidRDefault="003F6646" w:rsidP="002408C8">
            <w:pPr>
              <w:pStyle w:val="SDMTableBoxParaNotNumbered"/>
              <w:rPr>
                <w:rFonts w:eastAsia="DengXian" w:cs="Arial"/>
              </w:rPr>
            </w:pPr>
            <m:oMathPara>
              <m:oMathParaPr>
                <m:jc m:val="left"/>
              </m:oMathParaPr>
              <m:oMath>
                <m:sSub>
                  <m:sSubPr>
                    <m:ctrlPr>
                      <w:rPr>
                        <w:rFonts w:ascii="Cambria Math" w:hAnsi="Cambria Math" w:cs="Arial"/>
                        <w:i/>
                      </w:rPr>
                    </m:ctrlPr>
                  </m:sSubPr>
                  <m:e>
                    <m:r>
                      <w:rPr>
                        <w:rFonts w:ascii="Cambria Math" w:hAnsi="Cambria Math" w:cs="Arial"/>
                      </w:rPr>
                      <m:t>LE</m:t>
                    </m:r>
                  </m:e>
                  <m:sub>
                    <m:r>
                      <w:rPr>
                        <w:rFonts w:ascii="Cambria Math" w:hAnsi="Cambria Math" w:cs="Arial"/>
                      </w:rPr>
                      <m:t>EG,PJ,y</m:t>
                    </m:r>
                  </m:sub>
                </m:sSub>
              </m:oMath>
            </m:oMathPara>
          </w:p>
        </w:tc>
        <w:tc>
          <w:tcPr>
            <w:tcW w:w="345" w:type="dxa"/>
            <w:vAlign w:val="top"/>
          </w:tcPr>
          <w:p w14:paraId="1793D24D" w14:textId="77777777" w:rsidR="00D9066E" w:rsidRPr="002408C8" w:rsidRDefault="00D9066E" w:rsidP="002408C8">
            <w:pPr>
              <w:pStyle w:val="SDMTableBoxParaNotNumbered"/>
              <w:rPr>
                <w:rFonts w:cs="Arial"/>
              </w:rPr>
            </w:pPr>
            <w:r w:rsidRPr="002408C8">
              <w:rPr>
                <w:rFonts w:cs="Arial"/>
              </w:rPr>
              <w:t>=</w:t>
            </w:r>
          </w:p>
        </w:tc>
        <w:tc>
          <w:tcPr>
            <w:tcW w:w="0" w:type="auto"/>
            <w:vAlign w:val="top"/>
          </w:tcPr>
          <w:p w14:paraId="1CF781D5" w14:textId="351FCA9E" w:rsidR="00D9066E" w:rsidRPr="00043B0B" w:rsidRDefault="00D9066E" w:rsidP="002408C8">
            <w:pPr>
              <w:pStyle w:val="SDMTableBoxParaNotNumbered"/>
              <w:rPr>
                <w:rFonts w:cs="Arial"/>
              </w:rPr>
            </w:pPr>
            <w:r w:rsidRPr="00043B0B">
              <w:rPr>
                <w:rFonts w:cs="Arial"/>
              </w:rPr>
              <w:t>Leakage emissions from electricity generation in the</w:t>
            </w:r>
            <w:r w:rsidR="008F7B43" w:rsidRPr="00043B0B">
              <w:rPr>
                <w:rFonts w:cs="Arial"/>
              </w:rPr>
              <w:t xml:space="preserve"> activity</w:t>
            </w:r>
            <w:r w:rsidR="00690E9C" w:rsidRPr="00043B0B">
              <w:rPr>
                <w:rFonts w:cs="Arial"/>
              </w:rPr>
              <w:t xml:space="preserve"> scenario</w:t>
            </w:r>
            <w:r w:rsidRPr="00043B0B">
              <w:rPr>
                <w:rFonts w:cs="Arial"/>
              </w:rPr>
              <w:t xml:space="preserve"> in year </w:t>
            </w:r>
            <w:r w:rsidRPr="00043B0B">
              <w:rPr>
                <w:rFonts w:cs="Arial"/>
                <w:i/>
                <w:iCs/>
              </w:rPr>
              <w:t>y</w:t>
            </w:r>
            <w:r w:rsidRPr="00043B0B">
              <w:rPr>
                <w:rFonts w:cs="Arial"/>
              </w:rPr>
              <w:t xml:space="preserve"> (t CO</w:t>
            </w:r>
            <w:r w:rsidRPr="00043B0B">
              <w:rPr>
                <w:rFonts w:cs="Arial"/>
                <w:vertAlign w:val="subscript"/>
              </w:rPr>
              <w:t>2</w:t>
            </w:r>
            <w:r w:rsidRPr="00043B0B">
              <w:rPr>
                <w:rFonts w:cs="Arial"/>
              </w:rPr>
              <w:t>)</w:t>
            </w:r>
          </w:p>
        </w:tc>
      </w:tr>
      <w:tr w:rsidR="00D9066E" w:rsidRPr="002408C8" w14:paraId="0331347E" w14:textId="77777777" w:rsidTr="00AA7E37">
        <w:tc>
          <w:tcPr>
            <w:tcW w:w="1701" w:type="dxa"/>
            <w:vAlign w:val="top"/>
          </w:tcPr>
          <w:p w14:paraId="5259C75E" w14:textId="77777777" w:rsidR="00D9066E" w:rsidRPr="00E47482" w:rsidRDefault="003F6646" w:rsidP="002408C8">
            <w:pPr>
              <w:pStyle w:val="SDMTableBoxParaNotNumbered"/>
              <w:rPr>
                <w:rFonts w:eastAsia="DengXian" w:cs="Arial"/>
              </w:rPr>
            </w:pPr>
            <m:oMathPara>
              <m:oMathParaPr>
                <m:jc m:val="left"/>
              </m:oMathParaPr>
              <m:oMath>
                <m:sSub>
                  <m:sSubPr>
                    <m:ctrlPr>
                      <w:rPr>
                        <w:rFonts w:ascii="Cambria Math" w:hAnsi="Cambria Math" w:cs="Arial"/>
                        <w:i/>
                      </w:rPr>
                    </m:ctrlPr>
                  </m:sSubPr>
                  <m:e>
                    <m:r>
                      <w:rPr>
                        <w:rFonts w:ascii="Cambria Math" w:hAnsi="Cambria Math" w:cs="Arial"/>
                      </w:rPr>
                      <m:t>LE</m:t>
                    </m:r>
                  </m:e>
                  <m:sub>
                    <m:r>
                      <w:rPr>
                        <w:rFonts w:ascii="Cambria Math" w:hAnsi="Cambria Math" w:cs="Arial"/>
                      </w:rPr>
                      <m:t>EC,PJ,y</m:t>
                    </m:r>
                  </m:sub>
                </m:sSub>
              </m:oMath>
            </m:oMathPara>
          </w:p>
        </w:tc>
        <w:tc>
          <w:tcPr>
            <w:tcW w:w="345" w:type="dxa"/>
            <w:vAlign w:val="top"/>
          </w:tcPr>
          <w:p w14:paraId="594239A3" w14:textId="77777777" w:rsidR="00D9066E" w:rsidRPr="002408C8" w:rsidRDefault="00D9066E" w:rsidP="002408C8">
            <w:pPr>
              <w:pStyle w:val="SDMTableBoxParaNotNumbered"/>
              <w:rPr>
                <w:rFonts w:cs="Arial"/>
              </w:rPr>
            </w:pPr>
            <w:r w:rsidRPr="002408C8">
              <w:rPr>
                <w:rFonts w:cs="Arial"/>
              </w:rPr>
              <w:t>=</w:t>
            </w:r>
          </w:p>
        </w:tc>
        <w:tc>
          <w:tcPr>
            <w:tcW w:w="0" w:type="auto"/>
            <w:vAlign w:val="top"/>
          </w:tcPr>
          <w:p w14:paraId="5CAA0FE9" w14:textId="1FACF108" w:rsidR="00D9066E" w:rsidRPr="00043B0B" w:rsidRDefault="00D9066E" w:rsidP="002408C8">
            <w:pPr>
              <w:pStyle w:val="SDMTableBoxParaNotNumbered"/>
              <w:rPr>
                <w:rFonts w:cs="Arial"/>
              </w:rPr>
            </w:pPr>
            <w:r w:rsidRPr="00043B0B">
              <w:rPr>
                <w:rFonts w:cs="Arial"/>
              </w:rPr>
              <w:t>Leakage emissions from electricity consumption in the</w:t>
            </w:r>
            <w:r w:rsidR="008F7B43" w:rsidRPr="00043B0B">
              <w:rPr>
                <w:rFonts w:cs="Arial"/>
              </w:rPr>
              <w:t xml:space="preserve"> activity</w:t>
            </w:r>
            <w:r w:rsidRPr="00043B0B">
              <w:rPr>
                <w:rFonts w:cs="Arial"/>
                <w:strike/>
              </w:rPr>
              <w:t xml:space="preserve"> </w:t>
            </w:r>
            <w:r w:rsidR="00690E9C" w:rsidRPr="00043B0B">
              <w:rPr>
                <w:rFonts w:cs="Arial"/>
              </w:rPr>
              <w:t>scenario</w:t>
            </w:r>
            <w:r w:rsidRPr="00043B0B">
              <w:rPr>
                <w:rFonts w:cs="Arial"/>
              </w:rPr>
              <w:t xml:space="preserve"> in year </w:t>
            </w:r>
            <w:r w:rsidRPr="00043B0B">
              <w:rPr>
                <w:rFonts w:cs="Arial"/>
                <w:i/>
                <w:iCs/>
              </w:rPr>
              <w:t>y</w:t>
            </w:r>
            <w:r w:rsidRPr="00043B0B">
              <w:rPr>
                <w:rFonts w:cs="Arial"/>
              </w:rPr>
              <w:t xml:space="preserve"> (t CO</w:t>
            </w:r>
            <w:r w:rsidRPr="00043B0B">
              <w:rPr>
                <w:rFonts w:cs="Arial"/>
                <w:vertAlign w:val="subscript"/>
              </w:rPr>
              <w:t>2</w:t>
            </w:r>
            <w:r w:rsidRPr="00043B0B">
              <w:rPr>
                <w:rFonts w:cs="Arial"/>
              </w:rPr>
              <w:t>)</w:t>
            </w:r>
          </w:p>
        </w:tc>
      </w:tr>
      <w:tr w:rsidR="00D9066E" w:rsidRPr="002408C8" w14:paraId="50A65078" w14:textId="77777777" w:rsidTr="00AA7E37">
        <w:tc>
          <w:tcPr>
            <w:tcW w:w="1701" w:type="dxa"/>
            <w:vAlign w:val="top"/>
          </w:tcPr>
          <w:p w14:paraId="11B766E5" w14:textId="77777777" w:rsidR="00D9066E" w:rsidRPr="00E47482" w:rsidRDefault="003F6646" w:rsidP="002408C8">
            <w:pPr>
              <w:pStyle w:val="SDMTableBoxParaNotNumbered"/>
              <w:rPr>
                <w:rFonts w:eastAsia="DengXian" w:cs="Arial"/>
              </w:rPr>
            </w:pPr>
            <m:oMathPara>
              <m:oMathParaPr>
                <m:jc m:val="left"/>
              </m:oMathParaPr>
              <m:oMath>
                <m:sSub>
                  <m:sSubPr>
                    <m:ctrlPr>
                      <w:rPr>
                        <w:rFonts w:ascii="Cambria Math" w:hAnsi="Cambria Math" w:cs="Arial"/>
                        <w:i/>
                      </w:rPr>
                    </m:ctrlPr>
                  </m:sSubPr>
                  <m:e>
                    <m:r>
                      <w:rPr>
                        <w:rFonts w:ascii="Cambria Math" w:hAnsi="Cambria Math" w:cs="Arial"/>
                      </w:rPr>
                      <m:t>EG</m:t>
                    </m:r>
                  </m:e>
                  <m:sub>
                    <m:r>
                      <w:rPr>
                        <w:rFonts w:ascii="Cambria Math" w:hAnsi="Cambria Math" w:cs="Arial"/>
                      </w:rPr>
                      <m:t>s,y</m:t>
                    </m:r>
                  </m:sub>
                </m:sSub>
              </m:oMath>
            </m:oMathPara>
          </w:p>
        </w:tc>
        <w:tc>
          <w:tcPr>
            <w:tcW w:w="345" w:type="dxa"/>
            <w:vAlign w:val="top"/>
          </w:tcPr>
          <w:p w14:paraId="43F31D9C" w14:textId="77777777" w:rsidR="00D9066E" w:rsidRPr="002408C8" w:rsidRDefault="00D9066E" w:rsidP="002408C8">
            <w:pPr>
              <w:pStyle w:val="SDMTableBoxParaNotNumbered"/>
              <w:rPr>
                <w:rFonts w:cs="Arial"/>
              </w:rPr>
            </w:pPr>
            <w:r w:rsidRPr="002408C8">
              <w:rPr>
                <w:rFonts w:cs="Arial"/>
              </w:rPr>
              <w:t>=</w:t>
            </w:r>
          </w:p>
        </w:tc>
        <w:tc>
          <w:tcPr>
            <w:tcW w:w="0" w:type="auto"/>
            <w:vAlign w:val="top"/>
          </w:tcPr>
          <w:p w14:paraId="60C3BFEA" w14:textId="7F5FF388" w:rsidR="00D9066E" w:rsidRPr="00043B0B" w:rsidRDefault="00D9066E" w:rsidP="002408C8">
            <w:pPr>
              <w:pStyle w:val="SDMTableBoxParaNotNumbered"/>
              <w:rPr>
                <w:rFonts w:cs="Arial"/>
              </w:rPr>
            </w:pPr>
            <w:r w:rsidRPr="00043B0B">
              <w:rPr>
                <w:rFonts w:cs="Arial"/>
              </w:rPr>
              <w:t>Electricity generation by the electricity generation source </w:t>
            </w:r>
            <w:r w:rsidRPr="00043B0B">
              <w:rPr>
                <w:rFonts w:cs="Arial"/>
                <w:i/>
                <w:iCs/>
              </w:rPr>
              <w:t>s</w:t>
            </w:r>
            <w:r w:rsidRPr="00043B0B">
              <w:rPr>
                <w:rFonts w:cs="Arial"/>
              </w:rPr>
              <w:t xml:space="preserve"> in year </w:t>
            </w:r>
            <w:r w:rsidRPr="00043B0B">
              <w:rPr>
                <w:rFonts w:cs="Arial"/>
                <w:i/>
                <w:iCs/>
              </w:rPr>
              <w:t>y</w:t>
            </w:r>
            <w:r w:rsidRPr="00043B0B">
              <w:rPr>
                <w:rFonts w:cs="Arial"/>
              </w:rPr>
              <w:t xml:space="preserve"> (MWh)</w:t>
            </w:r>
          </w:p>
        </w:tc>
      </w:tr>
      <w:tr w:rsidR="00D9066E" w:rsidRPr="002408C8" w14:paraId="49099DC6" w14:textId="77777777" w:rsidTr="00AA7E37">
        <w:tc>
          <w:tcPr>
            <w:tcW w:w="1701" w:type="dxa"/>
            <w:vAlign w:val="top"/>
          </w:tcPr>
          <w:p w14:paraId="1769EAFB" w14:textId="77777777" w:rsidR="00D9066E" w:rsidRPr="00E47482" w:rsidRDefault="003F6646" w:rsidP="002408C8">
            <w:pPr>
              <w:pStyle w:val="SDMTableBoxParaNotNumbered"/>
              <w:rPr>
                <w:rFonts w:eastAsia="DengXian" w:cs="Arial"/>
              </w:rPr>
            </w:pPr>
            <m:oMathPara>
              <m:oMathParaPr>
                <m:jc m:val="left"/>
              </m:oMathParaPr>
              <m:oMath>
                <m:sSub>
                  <m:sSubPr>
                    <m:ctrlPr>
                      <w:rPr>
                        <w:rFonts w:ascii="Cambria Math" w:hAnsi="Cambria Math" w:cs="Arial"/>
                        <w:i/>
                      </w:rPr>
                    </m:ctrlPr>
                  </m:sSubPr>
                  <m:e>
                    <m:r>
                      <w:rPr>
                        <w:rFonts w:ascii="Cambria Math" w:hAnsi="Cambria Math" w:cs="Arial"/>
                      </w:rPr>
                      <m:t>EC</m:t>
                    </m:r>
                  </m:e>
                  <m:sub>
                    <m:r>
                      <w:rPr>
                        <w:rFonts w:ascii="Cambria Math" w:hAnsi="Cambria Math" w:cs="Arial"/>
                      </w:rPr>
                      <m:t>s,y</m:t>
                    </m:r>
                  </m:sub>
                </m:sSub>
              </m:oMath>
            </m:oMathPara>
          </w:p>
        </w:tc>
        <w:tc>
          <w:tcPr>
            <w:tcW w:w="345" w:type="dxa"/>
            <w:vAlign w:val="top"/>
          </w:tcPr>
          <w:p w14:paraId="55685B6D" w14:textId="77777777" w:rsidR="00D9066E" w:rsidRPr="002408C8" w:rsidRDefault="00D9066E" w:rsidP="002408C8">
            <w:pPr>
              <w:pStyle w:val="SDMTableBoxParaNotNumbered"/>
              <w:rPr>
                <w:rFonts w:cs="Arial"/>
              </w:rPr>
            </w:pPr>
            <w:r w:rsidRPr="002408C8">
              <w:rPr>
                <w:rFonts w:cs="Arial"/>
              </w:rPr>
              <w:t>=</w:t>
            </w:r>
          </w:p>
        </w:tc>
        <w:tc>
          <w:tcPr>
            <w:tcW w:w="0" w:type="auto"/>
            <w:vAlign w:val="top"/>
          </w:tcPr>
          <w:p w14:paraId="1F883FF0" w14:textId="1F0EAFCE" w:rsidR="00D9066E" w:rsidRPr="00043B0B" w:rsidRDefault="00D9066E" w:rsidP="002408C8">
            <w:pPr>
              <w:pStyle w:val="SDMTableBoxParaNotNumbered"/>
              <w:rPr>
                <w:rFonts w:cs="Arial"/>
              </w:rPr>
            </w:pPr>
            <w:r w:rsidRPr="00043B0B">
              <w:rPr>
                <w:rFonts w:cs="Arial"/>
              </w:rPr>
              <w:t>Electricity consumption by the electricity consumption source </w:t>
            </w:r>
            <w:r w:rsidRPr="00043B0B">
              <w:rPr>
                <w:rFonts w:cs="Arial"/>
                <w:i/>
                <w:iCs/>
              </w:rPr>
              <w:t>s</w:t>
            </w:r>
            <w:r w:rsidRPr="00043B0B">
              <w:rPr>
                <w:rFonts w:cs="Arial"/>
              </w:rPr>
              <w:t xml:space="preserve"> in year </w:t>
            </w:r>
            <w:r w:rsidRPr="00043B0B">
              <w:rPr>
                <w:rFonts w:cs="Arial"/>
                <w:i/>
                <w:iCs/>
              </w:rPr>
              <w:t>y</w:t>
            </w:r>
            <w:r w:rsidRPr="00043B0B">
              <w:rPr>
                <w:rFonts w:cs="Arial"/>
              </w:rPr>
              <w:t xml:space="preserve"> (MWh)</w:t>
            </w:r>
          </w:p>
        </w:tc>
      </w:tr>
      <w:tr w:rsidR="00D9066E" w:rsidRPr="002408C8" w14:paraId="24753CD3" w14:textId="77777777" w:rsidTr="00AA7E37">
        <w:tc>
          <w:tcPr>
            <w:tcW w:w="1701" w:type="dxa"/>
            <w:vAlign w:val="top"/>
          </w:tcPr>
          <w:p w14:paraId="10F688A1" w14:textId="77777777" w:rsidR="00D9066E" w:rsidRPr="00E47482" w:rsidRDefault="003F6646" w:rsidP="002408C8">
            <w:pPr>
              <w:pStyle w:val="SDMTableBoxParaNotNumbered"/>
              <w:rPr>
                <w:rFonts w:eastAsia="DengXian" w:cs="Arial"/>
              </w:rPr>
            </w:pPr>
            <m:oMathPara>
              <m:oMathParaPr>
                <m:jc m:val="left"/>
              </m:oMathParaPr>
              <m:oMath>
                <m:sSub>
                  <m:sSubPr>
                    <m:ctrlPr>
                      <w:rPr>
                        <w:rFonts w:ascii="Cambria Math" w:hAnsi="Cambria Math" w:cs="Arial"/>
                        <w:i/>
                      </w:rPr>
                    </m:ctrlPr>
                  </m:sSubPr>
                  <m:e>
                    <m:r>
                      <w:rPr>
                        <w:rFonts w:ascii="Cambria Math" w:hAnsi="Cambria Math" w:cs="Arial"/>
                      </w:rPr>
                      <m:t>EF</m:t>
                    </m:r>
                  </m:e>
                  <m:sub>
                    <m:r>
                      <w:rPr>
                        <w:rFonts w:ascii="Cambria Math" w:hAnsi="Cambria Math" w:cs="Arial"/>
                      </w:rPr>
                      <m:t>EG,BL,s,y</m:t>
                    </m:r>
                  </m:sub>
                </m:sSub>
              </m:oMath>
            </m:oMathPara>
          </w:p>
        </w:tc>
        <w:tc>
          <w:tcPr>
            <w:tcW w:w="345" w:type="dxa"/>
            <w:vAlign w:val="top"/>
          </w:tcPr>
          <w:p w14:paraId="5CE437D7" w14:textId="77777777" w:rsidR="00D9066E" w:rsidRPr="002408C8" w:rsidRDefault="00D9066E" w:rsidP="002408C8">
            <w:pPr>
              <w:pStyle w:val="SDMTableBoxParaNotNumbered"/>
              <w:rPr>
                <w:rFonts w:cs="Arial"/>
              </w:rPr>
            </w:pPr>
            <w:r w:rsidRPr="002408C8">
              <w:rPr>
                <w:rFonts w:cs="Arial"/>
              </w:rPr>
              <w:t>=</w:t>
            </w:r>
          </w:p>
        </w:tc>
        <w:tc>
          <w:tcPr>
            <w:tcW w:w="0" w:type="auto"/>
            <w:vAlign w:val="top"/>
          </w:tcPr>
          <w:p w14:paraId="3A3F2B84" w14:textId="3C90493D" w:rsidR="00D9066E" w:rsidRPr="00043B0B" w:rsidRDefault="00D9066E" w:rsidP="002408C8">
            <w:pPr>
              <w:pStyle w:val="SDMTableBoxParaNotNumbered"/>
              <w:rPr>
                <w:rFonts w:cs="Arial"/>
              </w:rPr>
            </w:pPr>
            <w:r w:rsidRPr="00043B0B">
              <w:rPr>
                <w:rFonts w:cs="Arial"/>
              </w:rPr>
              <w:t>Emission factor for electricity generation by electricity generation source </w:t>
            </w:r>
            <w:r w:rsidRPr="00043B0B">
              <w:rPr>
                <w:rFonts w:cs="Arial"/>
                <w:i/>
                <w:iCs/>
              </w:rPr>
              <w:t>s</w:t>
            </w:r>
            <w:r w:rsidRPr="00043B0B">
              <w:rPr>
                <w:rFonts w:cs="Arial"/>
              </w:rPr>
              <w:t xml:space="preserve"> in the baseline scenario in (</w:t>
            </w:r>
            <w:r w:rsidR="00B766BF" w:rsidRPr="00043B0B">
              <w:rPr>
                <w:rFonts w:cs="Arial"/>
              </w:rPr>
              <w:t>case</w:t>
            </w:r>
            <w:r w:rsidR="00FE0895" w:rsidRPr="00043B0B">
              <w:rPr>
                <w:rFonts w:cs="Arial"/>
              </w:rPr>
              <w:t> </w:t>
            </w:r>
            <w:r w:rsidRPr="00043B0B">
              <w:rPr>
                <w:rFonts w:cs="Arial"/>
              </w:rPr>
              <w:t>2) year </w:t>
            </w:r>
            <w:r w:rsidRPr="00043B0B">
              <w:rPr>
                <w:rFonts w:cs="Arial"/>
                <w:i/>
                <w:iCs/>
              </w:rPr>
              <w:t>y</w:t>
            </w:r>
            <w:r w:rsidRPr="00043B0B">
              <w:rPr>
                <w:rFonts w:cs="Arial"/>
              </w:rPr>
              <w:t xml:space="preserve"> (</w:t>
            </w:r>
            <w:r w:rsidR="00543004" w:rsidRPr="00043B0B">
              <w:rPr>
                <w:rFonts w:cs="Arial"/>
              </w:rPr>
              <w:t>t CO</w:t>
            </w:r>
            <w:r w:rsidR="00543004" w:rsidRPr="00043B0B">
              <w:rPr>
                <w:rFonts w:cs="Arial"/>
                <w:vertAlign w:val="subscript"/>
              </w:rPr>
              <w:t>2</w:t>
            </w:r>
            <w:r w:rsidR="008F7B43" w:rsidRPr="00043B0B">
              <w:rPr>
                <w:rFonts w:cs="Arial"/>
              </w:rPr>
              <w:t> / </w:t>
            </w:r>
            <w:r w:rsidRPr="00043B0B">
              <w:rPr>
                <w:rFonts w:cs="Arial"/>
              </w:rPr>
              <w:t>MWh)</w:t>
            </w:r>
          </w:p>
        </w:tc>
      </w:tr>
      <w:tr w:rsidR="00D9066E" w:rsidRPr="002408C8" w14:paraId="38B34AE0" w14:textId="77777777" w:rsidTr="00AA7E37">
        <w:tc>
          <w:tcPr>
            <w:tcW w:w="1701" w:type="dxa"/>
            <w:vAlign w:val="top"/>
          </w:tcPr>
          <w:p w14:paraId="40AB2446" w14:textId="77777777" w:rsidR="00D9066E" w:rsidRPr="00A6576D" w:rsidRDefault="003F6646" w:rsidP="002408C8">
            <w:pPr>
              <w:pStyle w:val="SDMTableBoxParaNotNumbered"/>
              <w:rPr>
                <w:rFonts w:cs="Arial"/>
              </w:rPr>
            </w:pPr>
            <m:oMathPara>
              <m:oMathParaPr>
                <m:jc m:val="left"/>
              </m:oMathParaPr>
              <m:oMath>
                <m:sSub>
                  <m:sSubPr>
                    <m:ctrlPr>
                      <w:rPr>
                        <w:rFonts w:ascii="Cambria Math" w:hAnsi="Cambria Math" w:cs="Arial"/>
                        <w:i/>
                      </w:rPr>
                    </m:ctrlPr>
                  </m:sSubPr>
                  <m:e>
                    <m:r>
                      <w:rPr>
                        <w:rFonts w:ascii="Cambria Math" w:hAnsi="Cambria Math" w:cs="Arial"/>
                      </w:rPr>
                      <m:t>EF</m:t>
                    </m:r>
                  </m:e>
                  <m:sub>
                    <m:r>
                      <w:rPr>
                        <w:rFonts w:ascii="Cambria Math" w:hAnsi="Cambria Math" w:cs="Arial"/>
                      </w:rPr>
                      <m:t>EC,BL,s,y</m:t>
                    </m:r>
                  </m:sub>
                </m:sSub>
              </m:oMath>
            </m:oMathPara>
          </w:p>
        </w:tc>
        <w:tc>
          <w:tcPr>
            <w:tcW w:w="345" w:type="dxa"/>
            <w:vAlign w:val="top"/>
          </w:tcPr>
          <w:p w14:paraId="009B5F0F" w14:textId="77777777" w:rsidR="00D9066E" w:rsidRPr="002408C8" w:rsidRDefault="00D9066E" w:rsidP="002408C8">
            <w:pPr>
              <w:pStyle w:val="SDMTableBoxParaNotNumbered"/>
              <w:rPr>
                <w:rFonts w:cs="Arial"/>
              </w:rPr>
            </w:pPr>
            <w:r w:rsidRPr="002408C8">
              <w:rPr>
                <w:rFonts w:cs="Arial"/>
              </w:rPr>
              <w:t>=</w:t>
            </w:r>
          </w:p>
        </w:tc>
        <w:tc>
          <w:tcPr>
            <w:tcW w:w="0" w:type="auto"/>
            <w:vAlign w:val="top"/>
          </w:tcPr>
          <w:p w14:paraId="639A7CD1" w14:textId="035C5B85" w:rsidR="00D9066E" w:rsidRPr="00043B0B" w:rsidRDefault="00D9066E" w:rsidP="002408C8">
            <w:pPr>
              <w:pStyle w:val="SDMTableBoxParaNotNumbered"/>
              <w:rPr>
                <w:rFonts w:cs="Arial"/>
              </w:rPr>
            </w:pPr>
            <w:r w:rsidRPr="00043B0B">
              <w:rPr>
                <w:rFonts w:cs="Arial"/>
              </w:rPr>
              <w:t>Emission factor for electricity consumption by electricity consumption source </w:t>
            </w:r>
            <w:r w:rsidRPr="00043B0B">
              <w:rPr>
                <w:rFonts w:cs="Arial"/>
                <w:i/>
                <w:iCs/>
              </w:rPr>
              <w:t>s</w:t>
            </w:r>
            <w:r w:rsidRPr="00043B0B">
              <w:rPr>
                <w:rFonts w:cs="Arial"/>
              </w:rPr>
              <w:t xml:space="preserve"> in the baseline scenario in (</w:t>
            </w:r>
            <w:r w:rsidR="00B766BF" w:rsidRPr="00043B0B">
              <w:rPr>
                <w:rFonts w:cs="Arial"/>
              </w:rPr>
              <w:t>case</w:t>
            </w:r>
            <w:r w:rsidR="00FE0895" w:rsidRPr="00043B0B">
              <w:rPr>
                <w:rFonts w:cs="Arial"/>
              </w:rPr>
              <w:t> </w:t>
            </w:r>
            <w:r w:rsidRPr="00043B0B">
              <w:rPr>
                <w:rFonts w:cs="Arial"/>
              </w:rPr>
              <w:t>2) year </w:t>
            </w:r>
            <w:r w:rsidRPr="00043B0B">
              <w:rPr>
                <w:rFonts w:cs="Arial"/>
                <w:i/>
                <w:iCs/>
              </w:rPr>
              <w:t>y</w:t>
            </w:r>
            <w:r w:rsidRPr="00043B0B">
              <w:rPr>
                <w:rFonts w:cs="Arial"/>
              </w:rPr>
              <w:t xml:space="preserve"> (</w:t>
            </w:r>
            <w:r w:rsidR="00543004" w:rsidRPr="00043B0B">
              <w:rPr>
                <w:rFonts w:cs="Arial"/>
              </w:rPr>
              <w:t>t CO</w:t>
            </w:r>
            <w:r w:rsidR="00543004" w:rsidRPr="00043B0B">
              <w:rPr>
                <w:rFonts w:cs="Arial"/>
                <w:vertAlign w:val="subscript"/>
              </w:rPr>
              <w:t>2</w:t>
            </w:r>
            <w:r w:rsidR="008F7B43" w:rsidRPr="00043B0B">
              <w:rPr>
                <w:rFonts w:cs="Arial"/>
              </w:rPr>
              <w:t> / </w:t>
            </w:r>
            <w:r w:rsidRPr="00043B0B">
              <w:rPr>
                <w:rFonts w:cs="Arial"/>
              </w:rPr>
              <w:t>MWh)</w:t>
            </w:r>
          </w:p>
        </w:tc>
      </w:tr>
      <w:tr w:rsidR="00D9066E" w:rsidRPr="002408C8" w14:paraId="536727D4" w14:textId="77777777" w:rsidTr="00AA7E37">
        <w:tc>
          <w:tcPr>
            <w:tcW w:w="1701" w:type="dxa"/>
            <w:vAlign w:val="top"/>
          </w:tcPr>
          <w:p w14:paraId="514C365C" w14:textId="77777777" w:rsidR="00D9066E" w:rsidRPr="00A6576D" w:rsidRDefault="003F6646" w:rsidP="002408C8">
            <w:pPr>
              <w:pStyle w:val="SDMTableBoxParaNotNumbered"/>
              <w:rPr>
                <w:rFonts w:eastAsia="DengXian" w:cs="Arial"/>
              </w:rPr>
            </w:pPr>
            <m:oMathPara>
              <m:oMathParaPr>
                <m:jc m:val="left"/>
              </m:oMathParaPr>
              <m:oMath>
                <m:sSub>
                  <m:sSubPr>
                    <m:ctrlPr>
                      <w:rPr>
                        <w:rFonts w:ascii="Cambria Math" w:hAnsi="Cambria Math" w:cs="Arial"/>
                        <w:i/>
                      </w:rPr>
                    </m:ctrlPr>
                  </m:sSubPr>
                  <m:e>
                    <m:r>
                      <w:rPr>
                        <w:rFonts w:ascii="Cambria Math" w:hAnsi="Cambria Math" w:cs="Arial"/>
                      </w:rPr>
                      <m:t>EF</m:t>
                    </m:r>
                  </m:e>
                  <m:sub>
                    <m:r>
                      <w:rPr>
                        <w:rFonts w:ascii="Cambria Math" w:hAnsi="Cambria Math" w:cs="Arial"/>
                      </w:rPr>
                      <m:t>EG,PJ,s,y</m:t>
                    </m:r>
                  </m:sub>
                </m:sSub>
              </m:oMath>
            </m:oMathPara>
          </w:p>
        </w:tc>
        <w:tc>
          <w:tcPr>
            <w:tcW w:w="345" w:type="dxa"/>
            <w:vAlign w:val="top"/>
          </w:tcPr>
          <w:p w14:paraId="73CE5018" w14:textId="77777777" w:rsidR="00D9066E" w:rsidRPr="002408C8" w:rsidRDefault="00D9066E" w:rsidP="002408C8">
            <w:pPr>
              <w:pStyle w:val="SDMTableBoxParaNotNumbered"/>
              <w:rPr>
                <w:rFonts w:cs="Arial"/>
              </w:rPr>
            </w:pPr>
            <w:r w:rsidRPr="002408C8">
              <w:rPr>
                <w:rFonts w:cs="Arial"/>
              </w:rPr>
              <w:t>=</w:t>
            </w:r>
          </w:p>
        </w:tc>
        <w:tc>
          <w:tcPr>
            <w:tcW w:w="0" w:type="auto"/>
            <w:vAlign w:val="top"/>
          </w:tcPr>
          <w:p w14:paraId="4CE39F68" w14:textId="48A78D62" w:rsidR="00D9066E" w:rsidRPr="00043B0B" w:rsidRDefault="00D9066E" w:rsidP="002408C8">
            <w:pPr>
              <w:pStyle w:val="SDMTableBoxParaNotNumbered"/>
              <w:rPr>
                <w:rFonts w:cs="Arial"/>
              </w:rPr>
            </w:pPr>
            <w:r w:rsidRPr="00043B0B">
              <w:rPr>
                <w:rFonts w:cs="Arial"/>
              </w:rPr>
              <w:t>Emission factor for electricity generation by electricity generation source </w:t>
            </w:r>
            <w:r w:rsidRPr="00043B0B">
              <w:rPr>
                <w:rFonts w:cs="Arial"/>
                <w:i/>
                <w:iCs/>
              </w:rPr>
              <w:t>s</w:t>
            </w:r>
            <w:r w:rsidRPr="00043B0B">
              <w:rPr>
                <w:rFonts w:cs="Arial"/>
              </w:rPr>
              <w:t xml:space="preserve"> in the </w:t>
            </w:r>
            <w:r w:rsidR="008F7B43" w:rsidRPr="00043B0B">
              <w:rPr>
                <w:rFonts w:cs="Arial"/>
              </w:rPr>
              <w:t xml:space="preserve">activity scenario </w:t>
            </w:r>
            <w:r w:rsidRPr="00043B0B">
              <w:rPr>
                <w:rFonts w:cs="Arial"/>
              </w:rPr>
              <w:t>in (</w:t>
            </w:r>
            <w:r w:rsidR="00B766BF" w:rsidRPr="00043B0B">
              <w:rPr>
                <w:rFonts w:cs="Arial"/>
              </w:rPr>
              <w:t>case</w:t>
            </w:r>
            <w:r w:rsidR="00FE0895" w:rsidRPr="00043B0B">
              <w:rPr>
                <w:rFonts w:cs="Arial"/>
              </w:rPr>
              <w:t> </w:t>
            </w:r>
            <w:r w:rsidRPr="00043B0B">
              <w:rPr>
                <w:rFonts w:cs="Arial"/>
              </w:rPr>
              <w:t>1) year </w:t>
            </w:r>
            <w:r w:rsidRPr="00043B0B">
              <w:rPr>
                <w:rFonts w:cs="Arial"/>
                <w:i/>
                <w:iCs/>
              </w:rPr>
              <w:t>y</w:t>
            </w:r>
            <w:r w:rsidRPr="00043B0B">
              <w:rPr>
                <w:rFonts w:cs="Arial"/>
              </w:rPr>
              <w:t xml:space="preserve"> (</w:t>
            </w:r>
            <w:r w:rsidR="00543004" w:rsidRPr="00043B0B">
              <w:rPr>
                <w:rFonts w:cs="Arial"/>
              </w:rPr>
              <w:t>t CO</w:t>
            </w:r>
            <w:r w:rsidR="00543004" w:rsidRPr="00043B0B">
              <w:rPr>
                <w:rFonts w:cs="Arial"/>
                <w:vertAlign w:val="subscript"/>
              </w:rPr>
              <w:t>2</w:t>
            </w:r>
            <w:r w:rsidR="008F7B43" w:rsidRPr="00043B0B">
              <w:rPr>
                <w:rFonts w:cs="Arial"/>
              </w:rPr>
              <w:t> / </w:t>
            </w:r>
            <w:r w:rsidRPr="00043B0B">
              <w:rPr>
                <w:rFonts w:cs="Arial"/>
              </w:rPr>
              <w:t>MWh)</w:t>
            </w:r>
          </w:p>
        </w:tc>
      </w:tr>
      <w:tr w:rsidR="00D9066E" w:rsidRPr="002408C8" w14:paraId="0DD97660" w14:textId="77777777" w:rsidTr="00AA7E37">
        <w:tc>
          <w:tcPr>
            <w:tcW w:w="1701" w:type="dxa"/>
            <w:vAlign w:val="top"/>
          </w:tcPr>
          <w:p w14:paraId="376FE20F" w14:textId="77777777" w:rsidR="00D9066E" w:rsidRPr="00A6576D" w:rsidRDefault="003F6646" w:rsidP="002408C8">
            <w:pPr>
              <w:pStyle w:val="SDMTableBoxParaNotNumbered"/>
              <w:rPr>
                <w:rFonts w:cs="Arial"/>
              </w:rPr>
            </w:pPr>
            <m:oMathPara>
              <m:oMathParaPr>
                <m:jc m:val="left"/>
              </m:oMathParaPr>
              <m:oMath>
                <m:sSub>
                  <m:sSubPr>
                    <m:ctrlPr>
                      <w:rPr>
                        <w:rFonts w:ascii="Cambria Math" w:hAnsi="Cambria Math" w:cs="Arial"/>
                        <w:i/>
                      </w:rPr>
                    </m:ctrlPr>
                  </m:sSubPr>
                  <m:e>
                    <m:r>
                      <w:rPr>
                        <w:rFonts w:ascii="Cambria Math" w:hAnsi="Cambria Math" w:cs="Arial"/>
                      </w:rPr>
                      <m:t>EF</m:t>
                    </m:r>
                  </m:e>
                  <m:sub>
                    <m:r>
                      <w:rPr>
                        <w:rFonts w:ascii="Cambria Math" w:hAnsi="Cambria Math" w:cs="Arial"/>
                      </w:rPr>
                      <m:t>EC,PJ,s,y</m:t>
                    </m:r>
                  </m:sub>
                </m:sSub>
              </m:oMath>
            </m:oMathPara>
          </w:p>
        </w:tc>
        <w:tc>
          <w:tcPr>
            <w:tcW w:w="345" w:type="dxa"/>
            <w:vAlign w:val="top"/>
          </w:tcPr>
          <w:p w14:paraId="5A401E75" w14:textId="77777777" w:rsidR="00D9066E" w:rsidRPr="002408C8" w:rsidRDefault="00D9066E" w:rsidP="002408C8">
            <w:pPr>
              <w:pStyle w:val="SDMTableBoxParaNotNumbered"/>
              <w:rPr>
                <w:rFonts w:cs="Arial"/>
              </w:rPr>
            </w:pPr>
            <w:r w:rsidRPr="002408C8">
              <w:rPr>
                <w:rFonts w:cs="Arial"/>
              </w:rPr>
              <w:t>=</w:t>
            </w:r>
          </w:p>
        </w:tc>
        <w:tc>
          <w:tcPr>
            <w:tcW w:w="0" w:type="auto"/>
            <w:vAlign w:val="top"/>
          </w:tcPr>
          <w:p w14:paraId="68DD5381" w14:textId="5EE7BB65" w:rsidR="00D9066E" w:rsidRPr="00043B0B" w:rsidRDefault="00D9066E" w:rsidP="008F7B43">
            <w:pPr>
              <w:pStyle w:val="SDMTableBoxParaNotNumbered"/>
              <w:rPr>
                <w:rFonts w:cs="Arial"/>
              </w:rPr>
            </w:pPr>
            <w:r w:rsidRPr="00043B0B">
              <w:rPr>
                <w:rFonts w:cs="Arial"/>
              </w:rPr>
              <w:t>Emission factor for electricity consumption by electricity consumption source </w:t>
            </w:r>
            <w:r w:rsidRPr="00043B0B">
              <w:rPr>
                <w:rFonts w:cs="Arial"/>
                <w:i/>
                <w:iCs/>
              </w:rPr>
              <w:t>s</w:t>
            </w:r>
            <w:r w:rsidRPr="00043B0B">
              <w:rPr>
                <w:rFonts w:cs="Arial"/>
              </w:rPr>
              <w:t xml:space="preserve"> in the</w:t>
            </w:r>
            <w:r w:rsidR="008F7B43" w:rsidRPr="00043B0B">
              <w:rPr>
                <w:rFonts w:cs="Arial"/>
              </w:rPr>
              <w:t xml:space="preserve"> activity</w:t>
            </w:r>
            <w:r w:rsidRPr="00043B0B">
              <w:rPr>
                <w:rFonts w:cs="Arial"/>
              </w:rPr>
              <w:t xml:space="preserve"> </w:t>
            </w:r>
            <w:r w:rsidR="008F7B43" w:rsidRPr="00043B0B">
              <w:rPr>
                <w:rFonts w:cs="Arial"/>
              </w:rPr>
              <w:t xml:space="preserve">scenario </w:t>
            </w:r>
            <w:r w:rsidRPr="00043B0B">
              <w:rPr>
                <w:rFonts w:cs="Arial"/>
              </w:rPr>
              <w:t>in (</w:t>
            </w:r>
            <w:r w:rsidR="00B766BF" w:rsidRPr="00043B0B">
              <w:rPr>
                <w:rFonts w:cs="Arial"/>
              </w:rPr>
              <w:t>case</w:t>
            </w:r>
            <w:r w:rsidR="00FE0895" w:rsidRPr="00043B0B">
              <w:rPr>
                <w:rFonts w:cs="Arial"/>
              </w:rPr>
              <w:t> </w:t>
            </w:r>
            <w:r w:rsidRPr="00043B0B">
              <w:rPr>
                <w:rFonts w:cs="Arial"/>
              </w:rPr>
              <w:t>1) year </w:t>
            </w:r>
            <w:r w:rsidRPr="00043B0B">
              <w:rPr>
                <w:rFonts w:cs="Arial"/>
                <w:i/>
                <w:iCs/>
              </w:rPr>
              <w:t>y</w:t>
            </w:r>
            <w:r w:rsidRPr="00043B0B">
              <w:rPr>
                <w:rFonts w:cs="Arial"/>
              </w:rPr>
              <w:t xml:space="preserve"> (</w:t>
            </w:r>
            <w:r w:rsidR="00543004" w:rsidRPr="00043B0B">
              <w:rPr>
                <w:rFonts w:cs="Arial"/>
              </w:rPr>
              <w:t>t CO</w:t>
            </w:r>
            <w:r w:rsidR="00543004" w:rsidRPr="00043B0B">
              <w:rPr>
                <w:rFonts w:cs="Arial"/>
                <w:vertAlign w:val="subscript"/>
              </w:rPr>
              <w:t>2</w:t>
            </w:r>
            <w:r w:rsidR="008F7B43" w:rsidRPr="00043B0B">
              <w:rPr>
                <w:rFonts w:cs="Arial"/>
              </w:rPr>
              <w:t> / </w:t>
            </w:r>
            <w:r w:rsidRPr="00043B0B">
              <w:rPr>
                <w:rFonts w:cs="Arial"/>
              </w:rPr>
              <w:t>MWh)</w:t>
            </w:r>
          </w:p>
        </w:tc>
      </w:tr>
      <w:tr w:rsidR="00D9066E" w:rsidRPr="002408C8" w14:paraId="1AAD7F89" w14:textId="77777777" w:rsidTr="00AA7E37">
        <w:tc>
          <w:tcPr>
            <w:tcW w:w="1701" w:type="dxa"/>
            <w:vAlign w:val="top"/>
          </w:tcPr>
          <w:p w14:paraId="6A9EF3AD" w14:textId="77777777" w:rsidR="00D9066E" w:rsidRPr="00A6576D" w:rsidRDefault="003F6646" w:rsidP="002408C8">
            <w:pPr>
              <w:pStyle w:val="SDMTableBoxParaNotNumbered"/>
              <w:rPr>
                <w:rFonts w:eastAsia="DengXian" w:cs="Arial"/>
              </w:rPr>
            </w:pPr>
            <m:oMathPara>
              <m:oMathParaPr>
                <m:jc m:val="left"/>
              </m:oMathParaPr>
              <m:oMath>
                <m:sSub>
                  <m:sSubPr>
                    <m:ctrlPr>
                      <w:rPr>
                        <w:rFonts w:ascii="Cambria Math" w:hAnsi="Cambria Math" w:cs="Arial"/>
                        <w:i/>
                      </w:rPr>
                    </m:ctrlPr>
                  </m:sSubPr>
                  <m:e>
                    <m:r>
                      <w:rPr>
                        <w:rFonts w:ascii="Cambria Math" w:hAnsi="Cambria Math" w:cs="Arial"/>
                      </w:rPr>
                      <m:t>F</m:t>
                    </m:r>
                  </m:e>
                  <m:sub>
                    <m:r>
                      <w:rPr>
                        <w:rFonts w:ascii="Cambria Math" w:hAnsi="Cambria Math" w:cs="Arial"/>
                      </w:rPr>
                      <m:t>TDL,s,y</m:t>
                    </m:r>
                  </m:sub>
                </m:sSub>
              </m:oMath>
            </m:oMathPara>
          </w:p>
        </w:tc>
        <w:tc>
          <w:tcPr>
            <w:tcW w:w="345" w:type="dxa"/>
            <w:vAlign w:val="top"/>
          </w:tcPr>
          <w:p w14:paraId="6EF71387" w14:textId="77777777" w:rsidR="00D9066E" w:rsidRPr="002408C8" w:rsidRDefault="00D9066E" w:rsidP="002408C8">
            <w:pPr>
              <w:pStyle w:val="SDMTableBoxParaNotNumbered"/>
              <w:rPr>
                <w:rFonts w:cs="Arial"/>
              </w:rPr>
            </w:pPr>
            <w:r w:rsidRPr="002408C8">
              <w:rPr>
                <w:rFonts w:cs="Arial"/>
              </w:rPr>
              <w:t>=</w:t>
            </w:r>
          </w:p>
        </w:tc>
        <w:tc>
          <w:tcPr>
            <w:tcW w:w="0" w:type="auto"/>
            <w:vAlign w:val="top"/>
          </w:tcPr>
          <w:p w14:paraId="17B52086" w14:textId="5523BA2A" w:rsidR="00D9066E" w:rsidRPr="002408C8" w:rsidRDefault="00D9066E" w:rsidP="002408C8">
            <w:pPr>
              <w:pStyle w:val="SDMTableBoxParaNotNumbered"/>
              <w:rPr>
                <w:rFonts w:cs="Arial"/>
              </w:rPr>
            </w:pPr>
            <w:r w:rsidRPr="002408C8">
              <w:rPr>
                <w:rFonts w:cs="Arial"/>
              </w:rPr>
              <w:t>Factor to account for transmission and distribution losses applicable to electricity generation or consumption source </w:t>
            </w:r>
            <w:r w:rsidRPr="002408C8">
              <w:rPr>
                <w:rFonts w:cs="Arial"/>
                <w:i/>
                <w:iCs/>
              </w:rPr>
              <w:t>s</w:t>
            </w:r>
            <w:r w:rsidRPr="002408C8">
              <w:rPr>
                <w:rFonts w:cs="Arial"/>
              </w:rPr>
              <w:t xml:space="preserve"> in year </w:t>
            </w:r>
            <w:r w:rsidRPr="002408C8">
              <w:rPr>
                <w:rFonts w:cs="Arial"/>
                <w:i/>
                <w:iCs/>
              </w:rPr>
              <w:t>y</w:t>
            </w:r>
          </w:p>
        </w:tc>
      </w:tr>
      <w:tr w:rsidR="00D9066E" w:rsidRPr="002408C8" w14:paraId="19D4EA7C" w14:textId="77777777" w:rsidTr="00AA7E37">
        <w:tc>
          <w:tcPr>
            <w:tcW w:w="1701" w:type="dxa"/>
            <w:vAlign w:val="top"/>
          </w:tcPr>
          <w:p w14:paraId="0D026FDB" w14:textId="77777777" w:rsidR="00D9066E" w:rsidRPr="002408C8" w:rsidRDefault="00075C2A" w:rsidP="002408C8">
            <w:pPr>
              <w:pStyle w:val="SDMTableBoxParaNotNumbered"/>
              <w:rPr>
                <w:rFonts w:eastAsia="DengXian" w:cs="Arial"/>
              </w:rPr>
            </w:pPr>
            <m:oMathPara>
              <m:oMathParaPr>
                <m:jc m:val="left"/>
              </m:oMathParaPr>
              <m:oMath>
                <m:r>
                  <w:rPr>
                    <w:rFonts w:ascii="Cambria Math" w:hAnsi="Cambria Math" w:cs="Arial"/>
                  </w:rPr>
                  <m:t>s</m:t>
                </m:r>
              </m:oMath>
            </m:oMathPara>
          </w:p>
        </w:tc>
        <w:tc>
          <w:tcPr>
            <w:tcW w:w="345" w:type="dxa"/>
            <w:vAlign w:val="top"/>
          </w:tcPr>
          <w:p w14:paraId="3189EA2B" w14:textId="77777777" w:rsidR="00D9066E" w:rsidRPr="002408C8" w:rsidRDefault="00D9066E" w:rsidP="002408C8">
            <w:pPr>
              <w:pStyle w:val="SDMTableBoxParaNotNumbered"/>
              <w:rPr>
                <w:rFonts w:cs="Arial"/>
              </w:rPr>
            </w:pPr>
            <w:r w:rsidRPr="002408C8">
              <w:rPr>
                <w:rFonts w:cs="Arial"/>
              </w:rPr>
              <w:t>=</w:t>
            </w:r>
          </w:p>
        </w:tc>
        <w:tc>
          <w:tcPr>
            <w:tcW w:w="0" w:type="auto"/>
            <w:vAlign w:val="top"/>
          </w:tcPr>
          <w:p w14:paraId="12E943A6" w14:textId="77777777" w:rsidR="00D9066E" w:rsidRPr="002408C8" w:rsidRDefault="00D9066E" w:rsidP="002408C8">
            <w:pPr>
              <w:pStyle w:val="SDMTableBoxParaNotNumbered"/>
              <w:rPr>
                <w:rFonts w:cs="Arial"/>
              </w:rPr>
            </w:pPr>
            <w:r w:rsidRPr="002408C8">
              <w:rPr>
                <w:rFonts w:cs="Arial"/>
              </w:rPr>
              <w:t>Relevant electricity generation or consumption sources</w:t>
            </w:r>
          </w:p>
        </w:tc>
      </w:tr>
    </w:tbl>
    <w:p w14:paraId="2974E458" w14:textId="387471F3" w:rsidR="007667C8" w:rsidRPr="00363C70" w:rsidRDefault="00B766BF" w:rsidP="00F62D64">
      <w:pPr>
        <w:pStyle w:val="SDMSubPara1"/>
        <w:keepNext/>
      </w:pPr>
      <w:bookmarkStart w:id="864" w:name="_Toc212389913"/>
      <w:bookmarkStart w:id="865" w:name="_Toc215208612"/>
      <w:bookmarkStart w:id="866" w:name="_Toc215216131"/>
      <w:bookmarkStart w:id="867" w:name="_Toc215222867"/>
      <w:bookmarkStart w:id="868" w:name="_Toc215223055"/>
      <w:bookmarkStart w:id="869" w:name="_Toc215223277"/>
      <w:bookmarkStart w:id="870" w:name="_Toc215574903"/>
      <w:bookmarkEnd w:id="333"/>
      <w:bookmarkEnd w:id="334"/>
      <w:r>
        <w:rPr>
          <w:b/>
          <w:bCs/>
        </w:rPr>
        <w:t xml:space="preserve">Hourly determination: </w:t>
      </w:r>
      <w:r w:rsidRPr="00B766BF">
        <w:t>w</w:t>
      </w:r>
      <w:r w:rsidR="007667C8" w:rsidRPr="00363C70">
        <w:t xml:space="preserve">here electricity generation </w:t>
      </w:r>
      <w:r w:rsidR="00C670CB">
        <w:t>and/</w:t>
      </w:r>
      <w:r w:rsidR="007667C8" w:rsidRPr="00363C70">
        <w:t xml:space="preserve">or consumption and emission factors are determined </w:t>
      </w:r>
      <w:r w:rsidR="00A617AA">
        <w:t xml:space="preserve">on an hourly basis </w:t>
      </w:r>
      <w:r w:rsidR="007667C8" w:rsidRPr="00363C70">
        <w:t xml:space="preserve">for each </w:t>
      </w:r>
      <w:r w:rsidR="007B6A07" w:rsidRPr="00363C70">
        <w:t>hour </w:t>
      </w:r>
      <w:r w:rsidR="007B6A07" w:rsidRPr="00363C70">
        <w:rPr>
          <w:i/>
        </w:rPr>
        <w:t>h</w:t>
      </w:r>
      <w:r w:rsidR="007B6A07" w:rsidRPr="00363C70">
        <w:t xml:space="preserve"> of the </w:t>
      </w:r>
      <w:r w:rsidR="007667C8" w:rsidRPr="00363C70">
        <w:t>calendar year </w:t>
      </w:r>
      <w:r w:rsidR="007667C8" w:rsidRPr="00334EBB">
        <w:rPr>
          <w:i/>
          <w:iCs/>
        </w:rPr>
        <w:t>y</w:t>
      </w:r>
      <w:r w:rsidR="007667C8" w:rsidRPr="00363C70">
        <w:t xml:space="preserve"> of the crediting period, emissions shall be calculated as follows:</w:t>
      </w:r>
    </w:p>
    <w:tbl>
      <w:tblPr>
        <w:tblStyle w:val="SDMMethTableEquation"/>
        <w:tblW w:w="8553" w:type="dxa"/>
        <w:tblLook w:val="0600" w:firstRow="0" w:lastRow="0" w:firstColumn="0" w:lastColumn="0" w:noHBand="1" w:noVBand="1"/>
      </w:tblPr>
      <w:tblGrid>
        <w:gridCol w:w="6970"/>
        <w:gridCol w:w="1583"/>
      </w:tblGrid>
      <w:tr w:rsidR="00D9066E" w:rsidRPr="00E32F75" w14:paraId="5E3B2489" w14:textId="77777777" w:rsidTr="0028579F">
        <w:tc>
          <w:tcPr>
            <w:tcW w:w="6970" w:type="dxa"/>
          </w:tcPr>
          <w:p w14:paraId="0468D0B3" w14:textId="0298653D" w:rsidR="00D9066E" w:rsidRPr="00A6576D" w:rsidRDefault="003F6646" w:rsidP="00B23B70">
            <w:pPr>
              <w:pStyle w:val="SDMMethEquation"/>
              <w:ind w:left="709"/>
            </w:pPr>
            <m:oMathPara>
              <m:oMathParaPr>
                <m:jc m:val="left"/>
              </m:oMathParaPr>
              <m:oMath>
                <m:sSub>
                  <m:sSubPr>
                    <m:ctrlPr>
                      <w:rPr>
                        <w:rFonts w:ascii="Cambria Math" w:hAnsi="Cambria Math"/>
                        <w:i/>
                        <w:szCs w:val="20"/>
                      </w:rPr>
                    </m:ctrlPr>
                  </m:sSubPr>
                  <m:e>
                    <m:r>
                      <w:rPr>
                        <w:rFonts w:ascii="Cambria Math" w:hAnsi="Cambria Math"/>
                      </w:rPr>
                      <m:t>BE</m:t>
                    </m:r>
                  </m:e>
                  <m:sub>
                    <m:r>
                      <w:rPr>
                        <w:rFonts w:ascii="Cambria Math" w:hAnsi="Cambria Math"/>
                      </w:rPr>
                      <m:t>EG,y</m:t>
                    </m:r>
                  </m:sub>
                </m:sSub>
                <m:r>
                  <w:rPr>
                    <w:rFonts w:ascii="Cambria Math" w:hAnsi="Cambria Math"/>
                  </w:rPr>
                  <m:t>=</m:t>
                </m:r>
                <m:nary>
                  <m:naryPr>
                    <m:chr m:val="∑"/>
                    <m:limLoc m:val="undOvr"/>
                    <m:supHide m:val="1"/>
                    <m:ctrlPr>
                      <w:rPr>
                        <w:rFonts w:ascii="Cambria Math" w:hAnsi="Cambria Math"/>
                        <w:i/>
                        <w:szCs w:val="20"/>
                      </w:rPr>
                    </m:ctrlPr>
                  </m:naryPr>
                  <m:sub>
                    <m:r>
                      <w:rPr>
                        <w:rFonts w:ascii="Cambria Math" w:hAnsi="Cambria Math"/>
                      </w:rPr>
                      <m:t>s</m:t>
                    </m:r>
                  </m:sub>
                  <m:sup/>
                  <m:e>
                    <m:nary>
                      <m:naryPr>
                        <m:chr m:val="∑"/>
                        <m:limLoc m:val="undOvr"/>
                        <m:ctrlPr>
                          <w:rPr>
                            <w:rFonts w:ascii="Cambria Math" w:hAnsi="Cambria Math"/>
                            <w:i/>
                            <w:szCs w:val="20"/>
                          </w:rPr>
                        </m:ctrlPr>
                      </m:naryPr>
                      <m:sub>
                        <m:r>
                          <w:rPr>
                            <w:rFonts w:ascii="Cambria Math" w:hAnsi="Cambria Math"/>
                            <w:szCs w:val="20"/>
                          </w:rPr>
                          <m:t>h=</m:t>
                        </m:r>
                        <m:r>
                          <w:rPr>
                            <w:rFonts w:ascii="Cambria Math" w:hAnsi="Cambria Math"/>
                            <w:szCs w:val="20"/>
                          </w:rPr>
                          <m:t>1</m:t>
                        </m:r>
                      </m:sub>
                      <m:sup>
                        <m:r>
                          <w:rPr>
                            <w:rFonts w:ascii="Cambria Math" w:hAnsi="Cambria Math"/>
                            <w:szCs w:val="20"/>
                          </w:rPr>
                          <m:t>8,760</m:t>
                        </m:r>
                      </m:sup>
                      <m:e>
                        <m:sSub>
                          <m:sSubPr>
                            <m:ctrlPr>
                              <w:rPr>
                                <w:rFonts w:ascii="Cambria Math" w:hAnsi="Cambria Math"/>
                                <w:i/>
                                <w:szCs w:val="20"/>
                              </w:rPr>
                            </m:ctrlPr>
                          </m:sSubPr>
                          <m:e>
                            <m:r>
                              <w:rPr>
                                <w:rFonts w:ascii="Cambria Math" w:hAnsi="Cambria Math"/>
                              </w:rPr>
                              <m:t>EG</m:t>
                            </m:r>
                          </m:e>
                          <m:sub>
                            <m:r>
                              <w:rPr>
                                <w:rFonts w:ascii="Cambria Math" w:hAnsi="Cambria Math"/>
                              </w:rPr>
                              <m:t>s,h</m:t>
                            </m:r>
                          </m:sub>
                        </m:sSub>
                        <m:r>
                          <w:rPr>
                            <w:rFonts w:ascii="Cambria Math" w:hAnsi="Cambria Math"/>
                          </w:rPr>
                          <m:t>×</m:t>
                        </m:r>
                        <m:sSub>
                          <m:sSubPr>
                            <m:ctrlPr>
                              <w:rPr>
                                <w:rFonts w:ascii="Cambria Math" w:hAnsi="Cambria Math"/>
                                <w:i/>
                                <w:szCs w:val="20"/>
                              </w:rPr>
                            </m:ctrlPr>
                          </m:sSubPr>
                          <m:e>
                            <m:r>
                              <w:rPr>
                                <w:rFonts w:ascii="Cambria Math" w:hAnsi="Cambria Math"/>
                              </w:rPr>
                              <m:t>EF</m:t>
                            </m:r>
                          </m:e>
                          <m:sub>
                            <m:r>
                              <w:rPr>
                                <w:rFonts w:ascii="Cambria Math" w:hAnsi="Cambria Math"/>
                              </w:rPr>
                              <m:t>EG,BL,s,h</m:t>
                            </m:r>
                          </m:sub>
                        </m:sSub>
                      </m:e>
                    </m:nary>
                  </m:e>
                </m:nary>
              </m:oMath>
            </m:oMathPara>
          </w:p>
        </w:tc>
        <w:tc>
          <w:tcPr>
            <w:tcW w:w="1583" w:type="dxa"/>
          </w:tcPr>
          <w:p w14:paraId="441B1681" w14:textId="77777777" w:rsidR="00D9066E" w:rsidRPr="002B6960" w:rsidRDefault="00D9066E">
            <w:pPr>
              <w:pStyle w:val="SDMMethEquationNr"/>
              <w:numPr>
                <w:ilvl w:val="0"/>
                <w:numId w:val="6"/>
              </w:numPr>
            </w:pPr>
          </w:p>
        </w:tc>
      </w:tr>
      <w:tr w:rsidR="00D9066E" w:rsidRPr="00E32F75" w14:paraId="491F9504" w14:textId="77777777" w:rsidTr="0028579F">
        <w:tc>
          <w:tcPr>
            <w:tcW w:w="6970" w:type="dxa"/>
          </w:tcPr>
          <w:p w14:paraId="1DF57529" w14:textId="55DD6BBD" w:rsidR="00D9066E" w:rsidRPr="00A6576D" w:rsidRDefault="003F6646" w:rsidP="00B23B70">
            <w:pPr>
              <w:pStyle w:val="SDMMethEquation"/>
              <w:ind w:left="709"/>
            </w:pPr>
            <m:oMathPara>
              <m:oMathParaPr>
                <m:jc m:val="left"/>
              </m:oMathParaPr>
              <m:oMath>
                <m:sSub>
                  <m:sSubPr>
                    <m:ctrlPr>
                      <w:rPr>
                        <w:rFonts w:ascii="Cambria Math" w:hAnsi="Cambria Math"/>
                        <w:i/>
                        <w:szCs w:val="20"/>
                      </w:rPr>
                    </m:ctrlPr>
                  </m:sSubPr>
                  <m:e>
                    <m:r>
                      <w:rPr>
                        <w:rFonts w:ascii="Cambria Math" w:hAnsi="Cambria Math"/>
                      </w:rPr>
                      <m:t>BE</m:t>
                    </m:r>
                  </m:e>
                  <m:sub>
                    <m:r>
                      <w:rPr>
                        <w:rFonts w:ascii="Cambria Math" w:hAnsi="Cambria Math"/>
                      </w:rPr>
                      <m:t>EC,y</m:t>
                    </m:r>
                  </m:sub>
                </m:sSub>
                <m:r>
                  <w:rPr>
                    <w:rFonts w:ascii="Cambria Math" w:hAnsi="Cambria Math"/>
                  </w:rPr>
                  <m:t>=</m:t>
                </m:r>
                <m:nary>
                  <m:naryPr>
                    <m:chr m:val="∑"/>
                    <m:limLoc m:val="undOvr"/>
                    <m:supHide m:val="1"/>
                    <m:ctrlPr>
                      <w:rPr>
                        <w:rFonts w:ascii="Cambria Math" w:hAnsi="Cambria Math"/>
                        <w:i/>
                        <w:szCs w:val="20"/>
                      </w:rPr>
                    </m:ctrlPr>
                  </m:naryPr>
                  <m:sub>
                    <m:r>
                      <w:rPr>
                        <w:rFonts w:ascii="Cambria Math" w:hAnsi="Cambria Math"/>
                      </w:rPr>
                      <m:t>s</m:t>
                    </m:r>
                  </m:sub>
                  <m:sup/>
                  <m:e>
                    <m:d>
                      <m:dPr>
                        <m:ctrlPr>
                          <w:rPr>
                            <w:rFonts w:ascii="Cambria Math" w:hAnsi="Cambria Math"/>
                            <w:i/>
                            <w:szCs w:val="20"/>
                          </w:rPr>
                        </m:ctrlPr>
                      </m:dPr>
                      <m:e>
                        <m:nary>
                          <m:naryPr>
                            <m:chr m:val="∑"/>
                            <m:limLoc m:val="undOvr"/>
                            <m:ctrlPr>
                              <w:rPr>
                                <w:rFonts w:ascii="Cambria Math" w:hAnsi="Cambria Math"/>
                                <w:i/>
                                <w:szCs w:val="20"/>
                              </w:rPr>
                            </m:ctrlPr>
                          </m:naryPr>
                          <m:sub>
                            <m:r>
                              <w:rPr>
                                <w:rFonts w:ascii="Cambria Math" w:hAnsi="Cambria Math"/>
                                <w:szCs w:val="20"/>
                              </w:rPr>
                              <m:t>h=</m:t>
                            </m:r>
                            <m:r>
                              <w:rPr>
                                <w:rFonts w:ascii="Cambria Math" w:hAnsi="Cambria Math"/>
                                <w:szCs w:val="20"/>
                              </w:rPr>
                              <m:t>1</m:t>
                            </m:r>
                          </m:sub>
                          <m:sup>
                            <m:r>
                              <w:rPr>
                                <w:rFonts w:ascii="Cambria Math" w:hAnsi="Cambria Math"/>
                                <w:szCs w:val="20"/>
                              </w:rPr>
                              <m:t>8,760</m:t>
                            </m:r>
                          </m:sup>
                          <m:e>
                            <m:sSub>
                              <m:sSubPr>
                                <m:ctrlPr>
                                  <w:rPr>
                                    <w:rFonts w:ascii="Cambria Math" w:hAnsi="Cambria Math"/>
                                    <w:i/>
                                    <w:szCs w:val="20"/>
                                  </w:rPr>
                                </m:ctrlPr>
                              </m:sSubPr>
                              <m:e>
                                <m:r>
                                  <w:rPr>
                                    <w:rFonts w:ascii="Cambria Math" w:hAnsi="Cambria Math"/>
                                  </w:rPr>
                                  <m:t>EC</m:t>
                                </m:r>
                              </m:e>
                              <m:sub>
                                <m:r>
                                  <w:rPr>
                                    <w:rFonts w:ascii="Cambria Math" w:hAnsi="Cambria Math"/>
                                  </w:rPr>
                                  <m:t>s,h</m:t>
                                </m:r>
                              </m:sub>
                            </m:sSub>
                            <m:r>
                              <w:rPr>
                                <w:rFonts w:ascii="Cambria Math" w:hAnsi="Cambria Math"/>
                              </w:rPr>
                              <m:t>×</m:t>
                            </m:r>
                            <m:sSub>
                              <m:sSubPr>
                                <m:ctrlPr>
                                  <w:rPr>
                                    <w:rFonts w:ascii="Cambria Math" w:hAnsi="Cambria Math"/>
                                    <w:i/>
                                    <w:szCs w:val="20"/>
                                  </w:rPr>
                                </m:ctrlPr>
                              </m:sSubPr>
                              <m:e>
                                <m:r>
                                  <w:rPr>
                                    <w:rFonts w:ascii="Cambria Math" w:hAnsi="Cambria Math"/>
                                  </w:rPr>
                                  <m:t>EF</m:t>
                                </m:r>
                              </m:e>
                              <m:sub>
                                <m:r>
                                  <w:rPr>
                                    <w:rFonts w:ascii="Cambria Math" w:hAnsi="Cambria Math"/>
                                  </w:rPr>
                                  <m:t>EC,BL,s,h</m:t>
                                </m:r>
                              </m:sub>
                            </m:sSub>
                          </m:e>
                        </m:nary>
                      </m:e>
                    </m:d>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1-</m:t>
                        </m:r>
                        <m:sSub>
                          <m:sSubPr>
                            <m:ctrlPr>
                              <w:rPr>
                                <w:rFonts w:ascii="Cambria Math" w:hAnsi="Cambria Math"/>
                                <w:i/>
                                <w:szCs w:val="20"/>
                              </w:rPr>
                            </m:ctrlPr>
                          </m:sSubPr>
                          <m:e>
                            <m:r>
                              <w:rPr>
                                <w:rFonts w:ascii="Cambria Math" w:hAnsi="Cambria Math"/>
                              </w:rPr>
                              <m:t>F</m:t>
                            </m:r>
                          </m:e>
                          <m:sub>
                            <m:r>
                              <w:rPr>
                                <w:rFonts w:ascii="Cambria Math" w:hAnsi="Cambria Math"/>
                              </w:rPr>
                              <m:t>TDL,s,y</m:t>
                            </m:r>
                          </m:sub>
                        </m:sSub>
                      </m:den>
                    </m:f>
                  </m:e>
                </m:nary>
              </m:oMath>
            </m:oMathPara>
          </w:p>
        </w:tc>
        <w:tc>
          <w:tcPr>
            <w:tcW w:w="1583" w:type="dxa"/>
          </w:tcPr>
          <w:p w14:paraId="6C9C741E" w14:textId="77777777" w:rsidR="00D9066E" w:rsidRPr="002B6960" w:rsidRDefault="00D9066E">
            <w:pPr>
              <w:pStyle w:val="SDMMethEquationNr"/>
              <w:numPr>
                <w:ilvl w:val="0"/>
                <w:numId w:val="6"/>
              </w:numPr>
            </w:pPr>
          </w:p>
        </w:tc>
      </w:tr>
      <w:tr w:rsidR="00D9066E" w:rsidRPr="002B6960" w14:paraId="23E13EE1" w14:textId="77777777" w:rsidTr="0028579F">
        <w:tblPrEx>
          <w:tblLook w:val="04A0" w:firstRow="1" w:lastRow="0" w:firstColumn="1" w:lastColumn="0" w:noHBand="0" w:noVBand="1"/>
        </w:tblPrEx>
        <w:tc>
          <w:tcPr>
            <w:tcW w:w="6970" w:type="dxa"/>
          </w:tcPr>
          <w:p w14:paraId="5BA48681" w14:textId="3DCDC2E0" w:rsidR="00D9066E" w:rsidRPr="00A6576D" w:rsidRDefault="003F6646" w:rsidP="00B23B70">
            <w:pPr>
              <w:pStyle w:val="SDMMethEquation"/>
              <w:ind w:left="709"/>
            </w:pPr>
            <m:oMathPara>
              <m:oMathParaPr>
                <m:jc m:val="left"/>
              </m:oMathParaPr>
              <m:oMath>
                <m:sSub>
                  <m:sSubPr>
                    <m:ctrlPr>
                      <w:rPr>
                        <w:rFonts w:ascii="Cambria Math" w:hAnsi="Cambria Math"/>
                        <w:i/>
                        <w:szCs w:val="20"/>
                      </w:rPr>
                    </m:ctrlPr>
                  </m:sSubPr>
                  <m:e>
                    <m:r>
                      <w:rPr>
                        <w:rFonts w:ascii="Cambria Math" w:hAnsi="Cambria Math"/>
                      </w:rPr>
                      <m:t>AE</m:t>
                    </m:r>
                  </m:e>
                  <m:sub>
                    <m:r>
                      <w:rPr>
                        <w:rFonts w:ascii="Cambria Math" w:hAnsi="Cambria Math"/>
                      </w:rPr>
                      <m:t>EG,y</m:t>
                    </m:r>
                  </m:sub>
                </m:sSub>
                <m:r>
                  <w:rPr>
                    <w:rFonts w:ascii="Cambria Math" w:hAnsi="Cambria Math"/>
                  </w:rPr>
                  <m:t>=</m:t>
                </m:r>
                <m:nary>
                  <m:naryPr>
                    <m:chr m:val="∑"/>
                    <m:limLoc m:val="undOvr"/>
                    <m:supHide m:val="1"/>
                    <m:ctrlPr>
                      <w:rPr>
                        <w:rFonts w:ascii="Cambria Math" w:hAnsi="Cambria Math"/>
                        <w:i/>
                      </w:rPr>
                    </m:ctrlPr>
                  </m:naryPr>
                  <m:sub>
                    <m:r>
                      <w:rPr>
                        <w:rFonts w:ascii="Cambria Math" w:eastAsiaTheme="minorEastAsia" w:hAnsi="Cambria Math" w:hint="eastAsia"/>
                        <w:lang w:eastAsia="zh-CN"/>
                      </w:rPr>
                      <m:t>s</m:t>
                    </m:r>
                  </m:sub>
                  <m:sup/>
                  <m:e>
                    <m:nary>
                      <m:naryPr>
                        <m:chr m:val="∑"/>
                        <m:limLoc m:val="undOvr"/>
                        <m:ctrlPr>
                          <w:rPr>
                            <w:rFonts w:ascii="Cambria Math" w:hAnsi="Cambria Math"/>
                            <w:i/>
                          </w:rPr>
                        </m:ctrlPr>
                      </m:naryPr>
                      <m:sub>
                        <m:r>
                          <w:rPr>
                            <w:rFonts w:ascii="Cambria Math" w:hAnsi="Cambria Math"/>
                          </w:rPr>
                          <m:t>h=</m:t>
                        </m:r>
                        <m:r>
                          <w:rPr>
                            <w:rFonts w:ascii="Cambria Math" w:hAnsi="Cambria Math"/>
                          </w:rPr>
                          <m:t>1</m:t>
                        </m:r>
                      </m:sub>
                      <m:sup>
                        <m:r>
                          <w:rPr>
                            <w:rFonts w:ascii="Cambria Math" w:hAnsi="Cambria Math"/>
                          </w:rPr>
                          <m:t>8,760</m:t>
                        </m:r>
                      </m:sup>
                      <m:e>
                        <m:sSub>
                          <m:sSubPr>
                            <m:ctrlPr>
                              <w:rPr>
                                <w:rFonts w:ascii="Cambria Math" w:hAnsi="Cambria Math"/>
                                <w:i/>
                              </w:rPr>
                            </m:ctrlPr>
                          </m:sSubPr>
                          <m:e>
                            <m:r>
                              <w:rPr>
                                <w:rFonts w:ascii="Cambria Math" w:hAnsi="Cambria Math"/>
                              </w:rPr>
                              <m:t>EG</m:t>
                            </m:r>
                          </m:e>
                          <m:sub>
                            <m:r>
                              <w:rPr>
                                <w:rFonts w:ascii="Cambria Math" w:hAnsi="Cambria Math"/>
                              </w:rPr>
                              <m:t>s,h</m:t>
                            </m:r>
                          </m:sub>
                        </m:sSub>
                        <m:r>
                          <w:rPr>
                            <w:rFonts w:ascii="Cambria Math" w:hAnsi="Cambria Math"/>
                          </w:rPr>
                          <m:t>×</m:t>
                        </m:r>
                        <m:sSub>
                          <m:sSubPr>
                            <m:ctrlPr>
                              <w:rPr>
                                <w:rFonts w:ascii="Cambria Math" w:hAnsi="Cambria Math"/>
                                <w:i/>
                              </w:rPr>
                            </m:ctrlPr>
                          </m:sSubPr>
                          <m:e>
                            <m:r>
                              <w:rPr>
                                <w:rFonts w:ascii="Cambria Math" w:hAnsi="Cambria Math"/>
                              </w:rPr>
                              <m:t>EF</m:t>
                            </m:r>
                          </m:e>
                          <m:sub>
                            <m:r>
                              <w:rPr>
                                <w:rFonts w:ascii="Cambria Math" w:hAnsi="Cambria Math"/>
                              </w:rPr>
                              <m:t>EG,PJ,s,h</m:t>
                            </m:r>
                          </m:sub>
                        </m:sSub>
                      </m:e>
                    </m:nary>
                  </m:e>
                </m:nary>
              </m:oMath>
            </m:oMathPara>
          </w:p>
        </w:tc>
        <w:tc>
          <w:tcPr>
            <w:tcW w:w="1583" w:type="dxa"/>
          </w:tcPr>
          <w:p w14:paraId="51C8EAB7" w14:textId="77777777" w:rsidR="00D9066E" w:rsidRPr="002B6960" w:rsidRDefault="00D9066E">
            <w:pPr>
              <w:pStyle w:val="SDMMethEquationNr"/>
              <w:numPr>
                <w:ilvl w:val="0"/>
                <w:numId w:val="6"/>
              </w:numPr>
            </w:pPr>
          </w:p>
        </w:tc>
      </w:tr>
      <w:tr w:rsidR="00D9066E" w:rsidRPr="002B6960" w14:paraId="5E1A3BA7" w14:textId="77777777" w:rsidTr="0028579F">
        <w:tblPrEx>
          <w:tblLook w:val="04A0" w:firstRow="1" w:lastRow="0" w:firstColumn="1" w:lastColumn="0" w:noHBand="0" w:noVBand="1"/>
        </w:tblPrEx>
        <w:tc>
          <w:tcPr>
            <w:tcW w:w="6970" w:type="dxa"/>
          </w:tcPr>
          <w:p w14:paraId="133613C2" w14:textId="0A594F24" w:rsidR="00D9066E" w:rsidRPr="00A6576D" w:rsidRDefault="003F6646" w:rsidP="00B23B70">
            <w:pPr>
              <w:pStyle w:val="SDMMethEquation"/>
              <w:ind w:left="709"/>
            </w:pPr>
            <m:oMathPara>
              <m:oMathParaPr>
                <m:jc m:val="left"/>
              </m:oMathParaPr>
              <m:oMath>
                <m:sSub>
                  <m:sSubPr>
                    <m:ctrlPr>
                      <w:rPr>
                        <w:rFonts w:ascii="Cambria Math" w:hAnsi="Cambria Math"/>
                        <w:i/>
                        <w:szCs w:val="20"/>
                      </w:rPr>
                    </m:ctrlPr>
                  </m:sSubPr>
                  <m:e>
                    <m:r>
                      <w:rPr>
                        <w:rFonts w:ascii="Cambria Math" w:hAnsi="Cambria Math"/>
                      </w:rPr>
                      <m:t>AE</m:t>
                    </m:r>
                  </m:e>
                  <m:sub>
                    <m:r>
                      <w:rPr>
                        <w:rFonts w:ascii="Cambria Math" w:hAnsi="Cambria Math"/>
                      </w:rPr>
                      <m:t>EC,y</m:t>
                    </m:r>
                  </m:sub>
                </m:sSub>
                <m:r>
                  <w:rPr>
                    <w:rFonts w:ascii="Cambria Math" w:hAnsi="Cambria Math"/>
                  </w:rPr>
                  <m:t>=</m:t>
                </m:r>
                <m:nary>
                  <m:naryPr>
                    <m:chr m:val="∑"/>
                    <m:limLoc m:val="undOvr"/>
                    <m:supHide m:val="1"/>
                    <m:ctrlPr>
                      <w:rPr>
                        <w:rFonts w:ascii="Cambria Math" w:hAnsi="Cambria Math"/>
                        <w:i/>
                      </w:rPr>
                    </m:ctrlPr>
                  </m:naryPr>
                  <m:sub>
                    <m:r>
                      <w:rPr>
                        <w:rFonts w:ascii="Cambria Math" w:eastAsiaTheme="minorEastAsia" w:hAnsi="Cambria Math" w:hint="eastAsia"/>
                        <w:lang w:eastAsia="zh-CN"/>
                      </w:rPr>
                      <m:t>s</m:t>
                    </m:r>
                  </m:sub>
                  <m:sup/>
                  <m:e>
                    <m:d>
                      <m:dPr>
                        <m:ctrlPr>
                          <w:rPr>
                            <w:rFonts w:ascii="Cambria Math" w:hAnsi="Cambria Math"/>
                            <w:i/>
                          </w:rPr>
                        </m:ctrlPr>
                      </m:dPr>
                      <m:e>
                        <m:nary>
                          <m:naryPr>
                            <m:chr m:val="∑"/>
                            <m:limLoc m:val="undOvr"/>
                            <m:ctrlPr>
                              <w:rPr>
                                <w:rFonts w:ascii="Cambria Math" w:hAnsi="Cambria Math"/>
                                <w:i/>
                              </w:rPr>
                            </m:ctrlPr>
                          </m:naryPr>
                          <m:sub>
                            <m:r>
                              <w:rPr>
                                <w:rFonts w:ascii="Cambria Math" w:hAnsi="Cambria Math"/>
                              </w:rPr>
                              <m:t>h=</m:t>
                            </m:r>
                            <m:r>
                              <w:rPr>
                                <w:rFonts w:ascii="Cambria Math" w:hAnsi="Cambria Math"/>
                              </w:rPr>
                              <m:t>1</m:t>
                            </m:r>
                          </m:sub>
                          <m:sup>
                            <m:r>
                              <w:rPr>
                                <w:rFonts w:ascii="Cambria Math" w:hAnsi="Cambria Math"/>
                              </w:rPr>
                              <m:t>8,760</m:t>
                            </m:r>
                          </m:sup>
                          <m:e>
                            <m:sSub>
                              <m:sSubPr>
                                <m:ctrlPr>
                                  <w:rPr>
                                    <w:rFonts w:ascii="Cambria Math" w:hAnsi="Cambria Math"/>
                                    <w:i/>
                                  </w:rPr>
                                </m:ctrlPr>
                              </m:sSubPr>
                              <m:e>
                                <m:r>
                                  <w:rPr>
                                    <w:rFonts w:ascii="Cambria Math" w:hAnsi="Cambria Math"/>
                                  </w:rPr>
                                  <m:t>EC</m:t>
                                </m:r>
                              </m:e>
                              <m:sub>
                                <m:r>
                                  <w:rPr>
                                    <w:rFonts w:ascii="Cambria Math" w:hAnsi="Cambria Math"/>
                                  </w:rPr>
                                  <m:t>s,h</m:t>
                                </m:r>
                              </m:sub>
                            </m:sSub>
                            <m:r>
                              <w:rPr>
                                <w:rFonts w:ascii="Cambria Math" w:hAnsi="Cambria Math"/>
                              </w:rPr>
                              <m:t>×</m:t>
                            </m:r>
                            <m:sSub>
                              <m:sSubPr>
                                <m:ctrlPr>
                                  <w:rPr>
                                    <w:rFonts w:ascii="Cambria Math" w:hAnsi="Cambria Math"/>
                                    <w:i/>
                                  </w:rPr>
                                </m:ctrlPr>
                              </m:sSubPr>
                              <m:e>
                                <m:r>
                                  <w:rPr>
                                    <w:rFonts w:ascii="Cambria Math" w:hAnsi="Cambria Math"/>
                                  </w:rPr>
                                  <m:t>EF</m:t>
                                </m:r>
                              </m:e>
                              <m:sub>
                                <m:r>
                                  <w:rPr>
                                    <w:rFonts w:ascii="Cambria Math" w:hAnsi="Cambria Math"/>
                                  </w:rPr>
                                  <m:t>EC,PJ,s,h</m:t>
                                </m:r>
                              </m:sub>
                            </m:sSub>
                          </m:e>
                        </m:nary>
                      </m:e>
                    </m:d>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1-</m:t>
                        </m:r>
                        <m:sSub>
                          <m:sSubPr>
                            <m:ctrlPr>
                              <w:rPr>
                                <w:rFonts w:ascii="Cambria Math" w:hAnsi="Cambria Math"/>
                                <w:i/>
                              </w:rPr>
                            </m:ctrlPr>
                          </m:sSubPr>
                          <m:e>
                            <m:r>
                              <w:rPr>
                                <w:rFonts w:ascii="Cambria Math" w:hAnsi="Cambria Math"/>
                              </w:rPr>
                              <m:t>F</m:t>
                            </m:r>
                          </m:e>
                          <m:sub>
                            <m:r>
                              <w:rPr>
                                <w:rFonts w:ascii="Cambria Math" w:hAnsi="Cambria Math"/>
                              </w:rPr>
                              <m:t>TDL,s,y</m:t>
                            </m:r>
                          </m:sub>
                        </m:sSub>
                      </m:den>
                    </m:f>
                  </m:e>
                </m:nary>
              </m:oMath>
            </m:oMathPara>
          </w:p>
        </w:tc>
        <w:tc>
          <w:tcPr>
            <w:tcW w:w="1583" w:type="dxa"/>
          </w:tcPr>
          <w:p w14:paraId="1CA0C109" w14:textId="77777777" w:rsidR="00D9066E" w:rsidRPr="002B6960" w:rsidRDefault="00D9066E">
            <w:pPr>
              <w:pStyle w:val="SDMMethEquationNr"/>
              <w:numPr>
                <w:ilvl w:val="0"/>
                <w:numId w:val="6"/>
              </w:numPr>
            </w:pPr>
          </w:p>
        </w:tc>
      </w:tr>
      <w:tr w:rsidR="00D9066E" w:rsidRPr="002B6960" w14:paraId="0DF924CC" w14:textId="77777777" w:rsidTr="0028579F">
        <w:tblPrEx>
          <w:tblLook w:val="04A0" w:firstRow="1" w:lastRow="0" w:firstColumn="1" w:lastColumn="0" w:noHBand="0" w:noVBand="1"/>
        </w:tblPrEx>
        <w:tc>
          <w:tcPr>
            <w:tcW w:w="6970" w:type="dxa"/>
          </w:tcPr>
          <w:p w14:paraId="2F6F5727" w14:textId="6CF4D300" w:rsidR="00D9066E" w:rsidRPr="00A6576D" w:rsidRDefault="003F6646" w:rsidP="00B23B70">
            <w:pPr>
              <w:pStyle w:val="SDMMethEquation"/>
              <w:ind w:left="709"/>
            </w:pPr>
            <m:oMathPara>
              <m:oMathParaPr>
                <m:jc m:val="left"/>
              </m:oMathParaPr>
              <m:oMath>
                <m:sSub>
                  <m:sSubPr>
                    <m:ctrlPr>
                      <w:rPr>
                        <w:rFonts w:ascii="Cambria Math" w:hAnsi="Cambria Math"/>
                        <w:i/>
                        <w:szCs w:val="20"/>
                      </w:rPr>
                    </m:ctrlPr>
                  </m:sSubPr>
                  <m:e>
                    <m:r>
                      <w:rPr>
                        <w:rFonts w:ascii="Cambria Math" w:hAnsi="Cambria Math"/>
                      </w:rPr>
                      <m:t>LE</m:t>
                    </m:r>
                  </m:e>
                  <m:sub>
                    <m:r>
                      <w:rPr>
                        <w:rFonts w:ascii="Cambria Math" w:hAnsi="Cambria Math"/>
                      </w:rPr>
                      <m:t>EG,BL,y</m:t>
                    </m:r>
                  </m:sub>
                </m:sSub>
                <m:r>
                  <w:rPr>
                    <w:rFonts w:ascii="Cambria Math" w:hAnsi="Cambria Math"/>
                  </w:rPr>
                  <m:t>=</m:t>
                </m:r>
                <m:nary>
                  <m:naryPr>
                    <m:chr m:val="∑"/>
                    <m:limLoc m:val="undOvr"/>
                    <m:supHide m:val="1"/>
                    <m:ctrlPr>
                      <w:rPr>
                        <w:rFonts w:ascii="Cambria Math" w:hAnsi="Cambria Math"/>
                        <w:i/>
                      </w:rPr>
                    </m:ctrlPr>
                  </m:naryPr>
                  <m:sub>
                    <m:r>
                      <w:rPr>
                        <w:rFonts w:ascii="Cambria Math" w:eastAsiaTheme="minorEastAsia" w:hAnsi="Cambria Math" w:hint="eastAsia"/>
                        <w:lang w:eastAsia="zh-CN"/>
                      </w:rPr>
                      <m:t>s</m:t>
                    </m:r>
                  </m:sub>
                  <m:sup/>
                  <m:e>
                    <m:nary>
                      <m:naryPr>
                        <m:chr m:val="∑"/>
                        <m:limLoc m:val="undOvr"/>
                        <m:ctrlPr>
                          <w:rPr>
                            <w:rFonts w:ascii="Cambria Math" w:hAnsi="Cambria Math"/>
                            <w:i/>
                          </w:rPr>
                        </m:ctrlPr>
                      </m:naryPr>
                      <m:sub>
                        <m:r>
                          <w:rPr>
                            <w:rFonts w:ascii="Cambria Math" w:hAnsi="Cambria Math"/>
                          </w:rPr>
                          <m:t>h=</m:t>
                        </m:r>
                        <m:r>
                          <w:rPr>
                            <w:rFonts w:ascii="Cambria Math" w:hAnsi="Cambria Math"/>
                          </w:rPr>
                          <m:t>1</m:t>
                        </m:r>
                      </m:sub>
                      <m:sup>
                        <m:r>
                          <w:rPr>
                            <w:rFonts w:ascii="Cambria Math" w:hAnsi="Cambria Math"/>
                          </w:rPr>
                          <m:t>8,760</m:t>
                        </m:r>
                      </m:sup>
                      <m:e>
                        <m:sSub>
                          <m:sSubPr>
                            <m:ctrlPr>
                              <w:rPr>
                                <w:rFonts w:ascii="Cambria Math" w:hAnsi="Cambria Math"/>
                                <w:i/>
                              </w:rPr>
                            </m:ctrlPr>
                          </m:sSubPr>
                          <m:e>
                            <m:r>
                              <w:rPr>
                                <w:rFonts w:ascii="Cambria Math" w:hAnsi="Cambria Math"/>
                              </w:rPr>
                              <m:t>EG</m:t>
                            </m:r>
                          </m:e>
                          <m:sub>
                            <m:r>
                              <w:rPr>
                                <w:rFonts w:ascii="Cambria Math" w:hAnsi="Cambria Math"/>
                              </w:rPr>
                              <m:t>s,h</m:t>
                            </m:r>
                          </m:sub>
                        </m:sSub>
                        <m:r>
                          <w:rPr>
                            <w:rFonts w:ascii="Cambria Math" w:hAnsi="Cambria Math"/>
                          </w:rPr>
                          <m:t>×</m:t>
                        </m:r>
                        <m:sSub>
                          <m:sSubPr>
                            <m:ctrlPr>
                              <w:rPr>
                                <w:rFonts w:ascii="Cambria Math" w:hAnsi="Cambria Math"/>
                                <w:i/>
                              </w:rPr>
                            </m:ctrlPr>
                          </m:sSubPr>
                          <m:e>
                            <m:r>
                              <w:rPr>
                                <w:rFonts w:ascii="Cambria Math" w:hAnsi="Cambria Math"/>
                              </w:rPr>
                              <m:t>EF</m:t>
                            </m:r>
                          </m:e>
                          <m:sub>
                            <m:r>
                              <w:rPr>
                                <w:rFonts w:ascii="Cambria Math" w:hAnsi="Cambria Math"/>
                              </w:rPr>
                              <m:t>EG,BL,s,h</m:t>
                            </m:r>
                          </m:sub>
                        </m:sSub>
                      </m:e>
                    </m:nary>
                  </m:e>
                </m:nary>
              </m:oMath>
            </m:oMathPara>
          </w:p>
        </w:tc>
        <w:tc>
          <w:tcPr>
            <w:tcW w:w="1583" w:type="dxa"/>
          </w:tcPr>
          <w:p w14:paraId="5D6F32B5" w14:textId="77777777" w:rsidR="00D9066E" w:rsidRPr="002B6960" w:rsidRDefault="00D9066E">
            <w:pPr>
              <w:pStyle w:val="SDMMethEquationNr"/>
              <w:numPr>
                <w:ilvl w:val="0"/>
                <w:numId w:val="6"/>
              </w:numPr>
            </w:pPr>
          </w:p>
        </w:tc>
      </w:tr>
      <w:tr w:rsidR="00D9066E" w:rsidRPr="002B6960" w14:paraId="6AE6B0D0" w14:textId="77777777" w:rsidTr="0028579F">
        <w:tblPrEx>
          <w:tblLook w:val="04A0" w:firstRow="1" w:lastRow="0" w:firstColumn="1" w:lastColumn="0" w:noHBand="0" w:noVBand="1"/>
        </w:tblPrEx>
        <w:tc>
          <w:tcPr>
            <w:tcW w:w="6970" w:type="dxa"/>
          </w:tcPr>
          <w:p w14:paraId="2A054DD3" w14:textId="79F64F0F" w:rsidR="00D9066E" w:rsidRPr="00A6576D" w:rsidRDefault="003F6646" w:rsidP="00B23B70">
            <w:pPr>
              <w:pStyle w:val="SDMMethEquation"/>
              <w:ind w:left="709"/>
            </w:pPr>
            <m:oMathPara>
              <m:oMathParaPr>
                <m:jc m:val="left"/>
              </m:oMathParaPr>
              <m:oMath>
                <m:sSub>
                  <m:sSubPr>
                    <m:ctrlPr>
                      <w:rPr>
                        <w:rFonts w:ascii="Cambria Math" w:hAnsi="Cambria Math"/>
                        <w:i/>
                        <w:szCs w:val="20"/>
                      </w:rPr>
                    </m:ctrlPr>
                  </m:sSubPr>
                  <m:e>
                    <m:r>
                      <w:rPr>
                        <w:rFonts w:ascii="Cambria Math" w:hAnsi="Cambria Math"/>
                      </w:rPr>
                      <m:t>LE</m:t>
                    </m:r>
                  </m:e>
                  <m:sub>
                    <m:r>
                      <w:rPr>
                        <w:rFonts w:ascii="Cambria Math" w:hAnsi="Cambria Math"/>
                      </w:rPr>
                      <m:t>EC,BL,y</m:t>
                    </m:r>
                  </m:sub>
                </m:sSub>
                <m:r>
                  <w:rPr>
                    <w:rFonts w:ascii="Cambria Math" w:hAnsi="Cambria Math"/>
                  </w:rPr>
                  <m:t>=</m:t>
                </m:r>
                <m:nary>
                  <m:naryPr>
                    <m:chr m:val="∑"/>
                    <m:limLoc m:val="undOvr"/>
                    <m:supHide m:val="1"/>
                    <m:ctrlPr>
                      <w:rPr>
                        <w:rFonts w:ascii="Cambria Math" w:hAnsi="Cambria Math"/>
                        <w:i/>
                      </w:rPr>
                    </m:ctrlPr>
                  </m:naryPr>
                  <m:sub>
                    <m:r>
                      <w:rPr>
                        <w:rFonts w:ascii="Cambria Math" w:eastAsiaTheme="minorEastAsia" w:hAnsi="Cambria Math" w:hint="eastAsia"/>
                        <w:lang w:eastAsia="zh-CN"/>
                      </w:rPr>
                      <m:t>s</m:t>
                    </m:r>
                  </m:sub>
                  <m:sup/>
                  <m:e>
                    <m:d>
                      <m:dPr>
                        <m:ctrlPr>
                          <w:rPr>
                            <w:rFonts w:ascii="Cambria Math" w:hAnsi="Cambria Math"/>
                            <w:i/>
                          </w:rPr>
                        </m:ctrlPr>
                      </m:dPr>
                      <m:e>
                        <m:nary>
                          <m:naryPr>
                            <m:chr m:val="∑"/>
                            <m:limLoc m:val="undOvr"/>
                            <m:ctrlPr>
                              <w:rPr>
                                <w:rFonts w:ascii="Cambria Math" w:hAnsi="Cambria Math"/>
                                <w:i/>
                              </w:rPr>
                            </m:ctrlPr>
                          </m:naryPr>
                          <m:sub>
                            <m:r>
                              <w:rPr>
                                <w:rFonts w:ascii="Cambria Math" w:hAnsi="Cambria Math"/>
                              </w:rPr>
                              <m:t>h=</m:t>
                            </m:r>
                            <m:r>
                              <w:rPr>
                                <w:rFonts w:ascii="Cambria Math" w:hAnsi="Cambria Math"/>
                              </w:rPr>
                              <m:t>1</m:t>
                            </m:r>
                          </m:sub>
                          <m:sup>
                            <m:r>
                              <w:rPr>
                                <w:rFonts w:ascii="Cambria Math" w:hAnsi="Cambria Math"/>
                              </w:rPr>
                              <m:t>8,760</m:t>
                            </m:r>
                          </m:sup>
                          <m:e>
                            <m:sSub>
                              <m:sSubPr>
                                <m:ctrlPr>
                                  <w:rPr>
                                    <w:rFonts w:ascii="Cambria Math" w:hAnsi="Cambria Math"/>
                                    <w:i/>
                                  </w:rPr>
                                </m:ctrlPr>
                              </m:sSubPr>
                              <m:e>
                                <m:r>
                                  <w:rPr>
                                    <w:rFonts w:ascii="Cambria Math" w:hAnsi="Cambria Math"/>
                                  </w:rPr>
                                  <m:t>EC</m:t>
                                </m:r>
                              </m:e>
                              <m:sub>
                                <m:r>
                                  <w:rPr>
                                    <w:rFonts w:ascii="Cambria Math" w:hAnsi="Cambria Math"/>
                                  </w:rPr>
                                  <m:t>s,h</m:t>
                                </m:r>
                              </m:sub>
                            </m:sSub>
                            <m:r>
                              <w:rPr>
                                <w:rFonts w:ascii="Cambria Math" w:hAnsi="Cambria Math"/>
                              </w:rPr>
                              <m:t>×</m:t>
                            </m:r>
                            <m:sSub>
                              <m:sSubPr>
                                <m:ctrlPr>
                                  <w:rPr>
                                    <w:rFonts w:ascii="Cambria Math" w:hAnsi="Cambria Math"/>
                                    <w:i/>
                                  </w:rPr>
                                </m:ctrlPr>
                              </m:sSubPr>
                              <m:e>
                                <m:r>
                                  <w:rPr>
                                    <w:rFonts w:ascii="Cambria Math" w:hAnsi="Cambria Math"/>
                                  </w:rPr>
                                  <m:t>EF</m:t>
                                </m:r>
                              </m:e>
                              <m:sub>
                                <m:r>
                                  <w:rPr>
                                    <w:rFonts w:ascii="Cambria Math" w:hAnsi="Cambria Math"/>
                                  </w:rPr>
                                  <m:t>EC,</m:t>
                                </m:r>
                                <m:r>
                                  <w:rPr>
                                    <w:rFonts w:ascii="Cambria Math" w:hAnsi="Cambria Math"/>
                                    <w:strike/>
                                  </w:rPr>
                                  <m:t>PJ</m:t>
                                </m:r>
                                <m:r>
                                  <w:rPr>
                                    <w:rFonts w:ascii="Cambria Math" w:hAnsi="Cambria Math"/>
                                  </w:rPr>
                                  <m:t>B</m:t>
                                </m:r>
                                <m:r>
                                  <w:rPr>
                                    <w:rFonts w:ascii="Cambria Math" w:eastAsia="MS Mincho" w:hAnsi="Cambria Math"/>
                                    <w:lang w:eastAsia="ja-JP"/>
                                  </w:rPr>
                                  <m:t>L</m:t>
                                </m:r>
                                <m:r>
                                  <w:rPr>
                                    <w:rFonts w:ascii="Cambria Math" w:hAnsi="Cambria Math"/>
                                  </w:rPr>
                                  <m:t>,s,h</m:t>
                                </m:r>
                              </m:sub>
                            </m:sSub>
                          </m:e>
                        </m:nary>
                      </m:e>
                    </m:d>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1-</m:t>
                        </m:r>
                        <m:sSub>
                          <m:sSubPr>
                            <m:ctrlPr>
                              <w:rPr>
                                <w:rFonts w:ascii="Cambria Math" w:hAnsi="Cambria Math"/>
                                <w:i/>
                              </w:rPr>
                            </m:ctrlPr>
                          </m:sSubPr>
                          <m:e>
                            <m:r>
                              <w:rPr>
                                <w:rFonts w:ascii="Cambria Math" w:hAnsi="Cambria Math"/>
                              </w:rPr>
                              <m:t>F</m:t>
                            </m:r>
                          </m:e>
                          <m:sub>
                            <m:r>
                              <w:rPr>
                                <w:rFonts w:ascii="Cambria Math" w:hAnsi="Cambria Math"/>
                              </w:rPr>
                              <m:t>TDL,s,y</m:t>
                            </m:r>
                          </m:sub>
                        </m:sSub>
                      </m:den>
                    </m:f>
                  </m:e>
                </m:nary>
              </m:oMath>
            </m:oMathPara>
          </w:p>
        </w:tc>
        <w:tc>
          <w:tcPr>
            <w:tcW w:w="1583" w:type="dxa"/>
          </w:tcPr>
          <w:p w14:paraId="28875578" w14:textId="77777777" w:rsidR="00D9066E" w:rsidRPr="002B6960" w:rsidRDefault="00D9066E">
            <w:pPr>
              <w:pStyle w:val="SDMMethEquationNr"/>
              <w:numPr>
                <w:ilvl w:val="0"/>
                <w:numId w:val="6"/>
              </w:numPr>
            </w:pPr>
          </w:p>
        </w:tc>
      </w:tr>
      <w:tr w:rsidR="00D9066E" w:rsidRPr="002B6960" w14:paraId="4559E46E" w14:textId="77777777" w:rsidTr="0028579F">
        <w:tblPrEx>
          <w:tblLook w:val="04A0" w:firstRow="1" w:lastRow="0" w:firstColumn="1" w:lastColumn="0" w:noHBand="0" w:noVBand="1"/>
        </w:tblPrEx>
        <w:tc>
          <w:tcPr>
            <w:tcW w:w="6970" w:type="dxa"/>
          </w:tcPr>
          <w:p w14:paraId="2F19FBB2" w14:textId="2B59A338" w:rsidR="00D9066E" w:rsidRPr="00A6576D" w:rsidRDefault="003F6646" w:rsidP="00B23B70">
            <w:pPr>
              <w:pStyle w:val="SDMMethEquation"/>
              <w:ind w:left="709"/>
            </w:pPr>
            <m:oMathPara>
              <m:oMathParaPr>
                <m:jc m:val="left"/>
              </m:oMathParaPr>
              <m:oMath>
                <m:sSub>
                  <m:sSubPr>
                    <m:ctrlPr>
                      <w:rPr>
                        <w:rFonts w:ascii="Cambria Math" w:hAnsi="Cambria Math"/>
                        <w:i/>
                        <w:szCs w:val="20"/>
                      </w:rPr>
                    </m:ctrlPr>
                  </m:sSubPr>
                  <m:e>
                    <m:r>
                      <w:rPr>
                        <w:rFonts w:ascii="Cambria Math" w:hAnsi="Cambria Math"/>
                      </w:rPr>
                      <m:t>LE</m:t>
                    </m:r>
                  </m:e>
                  <m:sub>
                    <m:r>
                      <w:rPr>
                        <w:rFonts w:ascii="Cambria Math" w:hAnsi="Cambria Math"/>
                      </w:rPr>
                      <m:t>EG,PJ,y</m:t>
                    </m:r>
                  </m:sub>
                </m:sSub>
                <m:r>
                  <w:rPr>
                    <w:rFonts w:ascii="Cambria Math" w:hAnsi="Cambria Math"/>
                  </w:rPr>
                  <m:t>=</m:t>
                </m:r>
                <m:nary>
                  <m:naryPr>
                    <m:chr m:val="∑"/>
                    <m:limLoc m:val="undOvr"/>
                    <m:supHide m:val="1"/>
                    <m:ctrlPr>
                      <w:rPr>
                        <w:rFonts w:ascii="Cambria Math" w:hAnsi="Cambria Math"/>
                        <w:i/>
                      </w:rPr>
                    </m:ctrlPr>
                  </m:naryPr>
                  <m:sub>
                    <m:r>
                      <w:rPr>
                        <w:rFonts w:ascii="Cambria Math" w:eastAsiaTheme="minorEastAsia" w:hAnsi="Cambria Math" w:hint="eastAsia"/>
                        <w:lang w:eastAsia="zh-CN"/>
                      </w:rPr>
                      <m:t>s</m:t>
                    </m:r>
                  </m:sub>
                  <m:sup/>
                  <m:e>
                    <m:nary>
                      <m:naryPr>
                        <m:chr m:val="∑"/>
                        <m:limLoc m:val="undOvr"/>
                        <m:ctrlPr>
                          <w:rPr>
                            <w:rFonts w:ascii="Cambria Math" w:hAnsi="Cambria Math"/>
                            <w:i/>
                          </w:rPr>
                        </m:ctrlPr>
                      </m:naryPr>
                      <m:sub>
                        <m:r>
                          <w:rPr>
                            <w:rFonts w:ascii="Cambria Math" w:hAnsi="Cambria Math"/>
                          </w:rPr>
                          <m:t>h=</m:t>
                        </m:r>
                        <m:r>
                          <w:rPr>
                            <w:rFonts w:ascii="Cambria Math" w:hAnsi="Cambria Math"/>
                          </w:rPr>
                          <m:t>1</m:t>
                        </m:r>
                      </m:sub>
                      <m:sup>
                        <m:r>
                          <w:rPr>
                            <w:rFonts w:ascii="Cambria Math" w:hAnsi="Cambria Math"/>
                          </w:rPr>
                          <m:t>8,760</m:t>
                        </m:r>
                      </m:sup>
                      <m:e>
                        <m:sSub>
                          <m:sSubPr>
                            <m:ctrlPr>
                              <w:rPr>
                                <w:rFonts w:ascii="Cambria Math" w:hAnsi="Cambria Math"/>
                                <w:i/>
                              </w:rPr>
                            </m:ctrlPr>
                          </m:sSubPr>
                          <m:e>
                            <m:r>
                              <w:rPr>
                                <w:rFonts w:ascii="Cambria Math" w:hAnsi="Cambria Math"/>
                              </w:rPr>
                              <m:t>EG</m:t>
                            </m:r>
                          </m:e>
                          <m:sub>
                            <m:r>
                              <w:rPr>
                                <w:rFonts w:ascii="Cambria Math" w:hAnsi="Cambria Math"/>
                              </w:rPr>
                              <m:t>s,h</m:t>
                            </m:r>
                          </m:sub>
                        </m:sSub>
                        <m:r>
                          <w:rPr>
                            <w:rFonts w:ascii="Cambria Math" w:hAnsi="Cambria Math"/>
                          </w:rPr>
                          <m:t>×</m:t>
                        </m:r>
                        <m:sSub>
                          <m:sSubPr>
                            <m:ctrlPr>
                              <w:rPr>
                                <w:rFonts w:ascii="Cambria Math" w:hAnsi="Cambria Math"/>
                                <w:i/>
                              </w:rPr>
                            </m:ctrlPr>
                          </m:sSubPr>
                          <m:e>
                            <m:r>
                              <w:rPr>
                                <w:rFonts w:ascii="Cambria Math" w:hAnsi="Cambria Math"/>
                              </w:rPr>
                              <m:t>EF</m:t>
                            </m:r>
                          </m:e>
                          <m:sub>
                            <m:r>
                              <w:rPr>
                                <w:rFonts w:ascii="Cambria Math" w:hAnsi="Cambria Math"/>
                              </w:rPr>
                              <m:t>EG,PJ,s,h</m:t>
                            </m:r>
                          </m:sub>
                        </m:sSub>
                      </m:e>
                    </m:nary>
                  </m:e>
                </m:nary>
              </m:oMath>
            </m:oMathPara>
          </w:p>
        </w:tc>
        <w:tc>
          <w:tcPr>
            <w:tcW w:w="1583" w:type="dxa"/>
          </w:tcPr>
          <w:p w14:paraId="12D9B74E" w14:textId="77777777" w:rsidR="00D9066E" w:rsidRPr="002B6960" w:rsidRDefault="00D9066E">
            <w:pPr>
              <w:pStyle w:val="SDMMethEquationNr"/>
              <w:numPr>
                <w:ilvl w:val="0"/>
                <w:numId w:val="6"/>
              </w:numPr>
            </w:pPr>
          </w:p>
        </w:tc>
      </w:tr>
      <w:tr w:rsidR="00D9066E" w:rsidRPr="002B6960" w14:paraId="43CC94DF" w14:textId="77777777" w:rsidTr="0028579F">
        <w:tblPrEx>
          <w:tblLook w:val="04A0" w:firstRow="1" w:lastRow="0" w:firstColumn="1" w:lastColumn="0" w:noHBand="0" w:noVBand="1"/>
        </w:tblPrEx>
        <w:tc>
          <w:tcPr>
            <w:tcW w:w="6970" w:type="dxa"/>
          </w:tcPr>
          <w:p w14:paraId="249D3989" w14:textId="13A5F62D" w:rsidR="00D9066E" w:rsidRPr="00A6576D" w:rsidRDefault="003F6646" w:rsidP="00B23B70">
            <w:pPr>
              <w:pStyle w:val="SDMMethEquation"/>
              <w:ind w:left="709"/>
            </w:pPr>
            <m:oMathPara>
              <m:oMathParaPr>
                <m:jc m:val="left"/>
              </m:oMathParaPr>
              <m:oMath>
                <m:sSub>
                  <m:sSubPr>
                    <m:ctrlPr>
                      <w:rPr>
                        <w:rFonts w:ascii="Cambria Math" w:hAnsi="Cambria Math"/>
                        <w:i/>
                        <w:szCs w:val="20"/>
                      </w:rPr>
                    </m:ctrlPr>
                  </m:sSubPr>
                  <m:e>
                    <m:r>
                      <w:rPr>
                        <w:rFonts w:ascii="Cambria Math" w:hAnsi="Cambria Math"/>
                      </w:rPr>
                      <m:t>LE</m:t>
                    </m:r>
                  </m:e>
                  <m:sub>
                    <m:r>
                      <w:rPr>
                        <w:rFonts w:ascii="Cambria Math" w:hAnsi="Cambria Math"/>
                      </w:rPr>
                      <m:t>EC,PJ,y</m:t>
                    </m:r>
                  </m:sub>
                </m:sSub>
                <m:r>
                  <w:rPr>
                    <w:rFonts w:ascii="Cambria Math" w:hAnsi="Cambria Math"/>
                  </w:rPr>
                  <m:t>=</m:t>
                </m:r>
                <m:nary>
                  <m:naryPr>
                    <m:chr m:val="∑"/>
                    <m:limLoc m:val="undOvr"/>
                    <m:supHide m:val="1"/>
                    <m:ctrlPr>
                      <w:rPr>
                        <w:rFonts w:ascii="Cambria Math" w:hAnsi="Cambria Math"/>
                        <w:i/>
                      </w:rPr>
                    </m:ctrlPr>
                  </m:naryPr>
                  <m:sub>
                    <m:r>
                      <w:rPr>
                        <w:rFonts w:ascii="Cambria Math" w:eastAsiaTheme="minorEastAsia" w:hAnsi="Cambria Math" w:hint="eastAsia"/>
                        <w:lang w:eastAsia="zh-CN"/>
                      </w:rPr>
                      <m:t>s</m:t>
                    </m:r>
                  </m:sub>
                  <m:sup/>
                  <m:e>
                    <m:d>
                      <m:dPr>
                        <m:ctrlPr>
                          <w:rPr>
                            <w:rFonts w:ascii="Cambria Math" w:hAnsi="Cambria Math"/>
                            <w:i/>
                          </w:rPr>
                        </m:ctrlPr>
                      </m:dPr>
                      <m:e>
                        <m:nary>
                          <m:naryPr>
                            <m:chr m:val="∑"/>
                            <m:limLoc m:val="undOvr"/>
                            <m:ctrlPr>
                              <w:rPr>
                                <w:rFonts w:ascii="Cambria Math" w:hAnsi="Cambria Math"/>
                                <w:i/>
                              </w:rPr>
                            </m:ctrlPr>
                          </m:naryPr>
                          <m:sub>
                            <m:r>
                              <w:rPr>
                                <w:rFonts w:ascii="Cambria Math" w:hAnsi="Cambria Math"/>
                              </w:rPr>
                              <m:t>h=</m:t>
                            </m:r>
                            <m:r>
                              <w:rPr>
                                <w:rFonts w:ascii="Cambria Math" w:hAnsi="Cambria Math"/>
                              </w:rPr>
                              <m:t>1</m:t>
                            </m:r>
                          </m:sub>
                          <m:sup>
                            <m:r>
                              <w:rPr>
                                <w:rFonts w:ascii="Cambria Math" w:hAnsi="Cambria Math"/>
                              </w:rPr>
                              <m:t>8,760</m:t>
                            </m:r>
                          </m:sup>
                          <m:e>
                            <m:sSub>
                              <m:sSubPr>
                                <m:ctrlPr>
                                  <w:rPr>
                                    <w:rFonts w:ascii="Cambria Math" w:hAnsi="Cambria Math"/>
                                    <w:i/>
                                  </w:rPr>
                                </m:ctrlPr>
                              </m:sSubPr>
                              <m:e>
                                <m:r>
                                  <w:rPr>
                                    <w:rFonts w:ascii="Cambria Math" w:hAnsi="Cambria Math"/>
                                  </w:rPr>
                                  <m:t>EC</m:t>
                                </m:r>
                              </m:e>
                              <m:sub>
                                <m:r>
                                  <w:rPr>
                                    <w:rFonts w:ascii="Cambria Math" w:hAnsi="Cambria Math"/>
                                  </w:rPr>
                                  <m:t>s,h</m:t>
                                </m:r>
                              </m:sub>
                            </m:sSub>
                            <m:r>
                              <w:rPr>
                                <w:rFonts w:ascii="Cambria Math" w:hAnsi="Cambria Math"/>
                              </w:rPr>
                              <m:t>×</m:t>
                            </m:r>
                            <m:sSub>
                              <m:sSubPr>
                                <m:ctrlPr>
                                  <w:rPr>
                                    <w:rFonts w:ascii="Cambria Math" w:hAnsi="Cambria Math"/>
                                    <w:i/>
                                  </w:rPr>
                                </m:ctrlPr>
                              </m:sSubPr>
                              <m:e>
                                <m:r>
                                  <w:rPr>
                                    <w:rFonts w:ascii="Cambria Math" w:hAnsi="Cambria Math"/>
                                  </w:rPr>
                                  <m:t>EF</m:t>
                                </m:r>
                              </m:e>
                              <m:sub>
                                <m:r>
                                  <w:rPr>
                                    <w:rFonts w:ascii="Cambria Math" w:hAnsi="Cambria Math"/>
                                  </w:rPr>
                                  <m:t>EC,PJ,s,h</m:t>
                                </m:r>
                              </m:sub>
                            </m:sSub>
                          </m:e>
                        </m:nary>
                      </m:e>
                    </m:d>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1-</m:t>
                        </m:r>
                        <m:sSub>
                          <m:sSubPr>
                            <m:ctrlPr>
                              <w:rPr>
                                <w:rFonts w:ascii="Cambria Math" w:hAnsi="Cambria Math"/>
                                <w:i/>
                              </w:rPr>
                            </m:ctrlPr>
                          </m:sSubPr>
                          <m:e>
                            <m:r>
                              <w:rPr>
                                <w:rFonts w:ascii="Cambria Math" w:hAnsi="Cambria Math"/>
                              </w:rPr>
                              <m:t>F</m:t>
                            </m:r>
                          </m:e>
                          <m:sub>
                            <m:r>
                              <w:rPr>
                                <w:rFonts w:ascii="Cambria Math" w:hAnsi="Cambria Math"/>
                              </w:rPr>
                              <m:t>TDL,s,y</m:t>
                            </m:r>
                          </m:sub>
                        </m:sSub>
                      </m:den>
                    </m:f>
                  </m:e>
                </m:nary>
              </m:oMath>
            </m:oMathPara>
          </w:p>
        </w:tc>
        <w:tc>
          <w:tcPr>
            <w:tcW w:w="1583" w:type="dxa"/>
          </w:tcPr>
          <w:p w14:paraId="3EB513FD" w14:textId="77777777" w:rsidR="00D9066E" w:rsidRPr="002B6960" w:rsidRDefault="00D9066E">
            <w:pPr>
              <w:pStyle w:val="SDMMethEquationNr"/>
              <w:numPr>
                <w:ilvl w:val="0"/>
                <w:numId w:val="6"/>
              </w:numPr>
            </w:pPr>
          </w:p>
        </w:tc>
      </w:tr>
    </w:tbl>
    <w:p w14:paraId="1A77FF30" w14:textId="77777777" w:rsidR="00E00C00" w:rsidRDefault="00E00C00" w:rsidP="00F62D64">
      <w:pPr>
        <w:pStyle w:val="SDMMethCaptionEquationParametersTable"/>
      </w:pPr>
      <w:r>
        <w:t>Where:</w:t>
      </w:r>
    </w:p>
    <w:tbl>
      <w:tblPr>
        <w:tblStyle w:val="SDMMethTableEquationParameters"/>
        <w:tblW w:w="8760" w:type="dxa"/>
        <w:tblLook w:val="04A0" w:firstRow="1" w:lastRow="0" w:firstColumn="1" w:lastColumn="0" w:noHBand="0" w:noVBand="1"/>
      </w:tblPr>
      <w:tblGrid>
        <w:gridCol w:w="1928"/>
        <w:gridCol w:w="345"/>
        <w:gridCol w:w="6487"/>
      </w:tblGrid>
      <w:tr w:rsidR="00E00C00" w:rsidRPr="002408C8" w14:paraId="2916B813" w14:textId="77777777" w:rsidTr="00AA7E37">
        <w:tc>
          <w:tcPr>
            <w:tcW w:w="1928" w:type="dxa"/>
            <w:vAlign w:val="top"/>
          </w:tcPr>
          <w:p w14:paraId="0885958E" w14:textId="77777777" w:rsidR="00E00C00" w:rsidRPr="00A6576D" w:rsidRDefault="003F6646" w:rsidP="002408C8">
            <w:pPr>
              <w:pStyle w:val="SDMTableBoxParaNotNumbered"/>
              <w:rPr>
                <w:rFonts w:cs="Arial"/>
              </w:rPr>
            </w:pPr>
            <m:oMathPara>
              <m:oMathParaPr>
                <m:jc m:val="left"/>
              </m:oMathParaPr>
              <m:oMath>
                <m:sSub>
                  <m:sSubPr>
                    <m:ctrlPr>
                      <w:rPr>
                        <w:rFonts w:ascii="Cambria Math" w:hAnsi="Cambria Math" w:cs="Arial"/>
                        <w:i/>
                      </w:rPr>
                    </m:ctrlPr>
                  </m:sSubPr>
                  <m:e>
                    <m:r>
                      <w:rPr>
                        <w:rFonts w:ascii="Cambria Math" w:hAnsi="Cambria Math" w:cs="Arial"/>
                      </w:rPr>
                      <m:t>BE</m:t>
                    </m:r>
                  </m:e>
                  <m:sub>
                    <m:r>
                      <w:rPr>
                        <w:rFonts w:ascii="Cambria Math" w:hAnsi="Cambria Math" w:cs="Arial"/>
                      </w:rPr>
                      <m:t>EG,y</m:t>
                    </m:r>
                  </m:sub>
                </m:sSub>
              </m:oMath>
            </m:oMathPara>
          </w:p>
        </w:tc>
        <w:tc>
          <w:tcPr>
            <w:tcW w:w="345" w:type="dxa"/>
            <w:vAlign w:val="top"/>
          </w:tcPr>
          <w:p w14:paraId="07C71625" w14:textId="77777777" w:rsidR="00E00C00" w:rsidRPr="002408C8" w:rsidRDefault="00E00C00" w:rsidP="002408C8">
            <w:pPr>
              <w:pStyle w:val="SDMTableBoxParaNotNumbered"/>
              <w:rPr>
                <w:rFonts w:cs="Arial"/>
              </w:rPr>
            </w:pPr>
            <w:r w:rsidRPr="002408C8">
              <w:rPr>
                <w:rFonts w:cs="Arial"/>
              </w:rPr>
              <w:t>=</w:t>
            </w:r>
          </w:p>
        </w:tc>
        <w:tc>
          <w:tcPr>
            <w:tcW w:w="0" w:type="auto"/>
            <w:vAlign w:val="top"/>
          </w:tcPr>
          <w:p w14:paraId="7BA94DB3" w14:textId="233D5730" w:rsidR="00E00C00" w:rsidRPr="002408C8" w:rsidRDefault="00E00C00" w:rsidP="002408C8">
            <w:pPr>
              <w:pStyle w:val="SDMTableBoxParaNotNumbered"/>
              <w:rPr>
                <w:rFonts w:cs="Arial"/>
              </w:rPr>
            </w:pPr>
            <w:r w:rsidRPr="002408C8">
              <w:rPr>
                <w:rFonts w:cs="Arial"/>
              </w:rPr>
              <w:t>Baseline emissions from electricity generat</w:t>
            </w:r>
            <w:r w:rsidR="00A70920" w:rsidRPr="002408C8">
              <w:rPr>
                <w:rFonts w:cs="Arial"/>
              </w:rPr>
              <w:t>ion</w:t>
            </w:r>
            <w:r w:rsidRPr="002408C8" w:rsidDel="007805D0">
              <w:rPr>
                <w:rFonts w:cs="Arial"/>
              </w:rPr>
              <w:t xml:space="preserve"> </w:t>
            </w:r>
            <w:r w:rsidRPr="002408C8">
              <w:rPr>
                <w:rFonts w:cs="Arial"/>
              </w:rPr>
              <w:t>in year</w:t>
            </w:r>
            <w:r w:rsidR="00D97A6B" w:rsidRPr="002408C8">
              <w:rPr>
                <w:rFonts w:cs="Arial"/>
              </w:rPr>
              <w:t> </w:t>
            </w:r>
            <w:r w:rsidRPr="002408C8">
              <w:rPr>
                <w:rFonts w:cs="Arial"/>
                <w:i/>
              </w:rPr>
              <w:t>y</w:t>
            </w:r>
            <w:r w:rsidRPr="002408C8">
              <w:rPr>
                <w:rFonts w:cs="Arial"/>
              </w:rPr>
              <w:t xml:space="preserve"> (t</w:t>
            </w:r>
            <w:r w:rsidR="00FA6FE1" w:rsidRPr="002408C8">
              <w:rPr>
                <w:rFonts w:cs="Arial"/>
              </w:rPr>
              <w:t> </w:t>
            </w:r>
            <w:r w:rsidRPr="002408C8">
              <w:rPr>
                <w:rFonts w:cs="Arial"/>
              </w:rPr>
              <w:t>CO</w:t>
            </w:r>
            <w:r w:rsidRPr="002408C8">
              <w:rPr>
                <w:rFonts w:cs="Arial"/>
                <w:vertAlign w:val="subscript"/>
              </w:rPr>
              <w:t>2</w:t>
            </w:r>
            <w:r w:rsidRPr="002408C8">
              <w:rPr>
                <w:rFonts w:cs="Arial"/>
              </w:rPr>
              <w:t>)</w:t>
            </w:r>
          </w:p>
        </w:tc>
      </w:tr>
      <w:tr w:rsidR="00EC7465" w:rsidRPr="002408C8" w14:paraId="14931A04" w14:textId="77777777" w:rsidTr="00AA7E37">
        <w:tc>
          <w:tcPr>
            <w:tcW w:w="1928" w:type="dxa"/>
            <w:vAlign w:val="top"/>
          </w:tcPr>
          <w:p w14:paraId="67A0880B" w14:textId="77777777" w:rsidR="00EC7465" w:rsidRPr="00A6576D" w:rsidRDefault="003F6646" w:rsidP="002408C8">
            <w:pPr>
              <w:pStyle w:val="SDMTableBoxParaNotNumbered"/>
              <w:rPr>
                <w:rFonts w:cs="Arial"/>
              </w:rPr>
            </w:pPr>
            <m:oMathPara>
              <m:oMathParaPr>
                <m:jc m:val="left"/>
              </m:oMathParaPr>
              <m:oMath>
                <m:sSub>
                  <m:sSubPr>
                    <m:ctrlPr>
                      <w:rPr>
                        <w:rFonts w:ascii="Cambria Math" w:hAnsi="Cambria Math" w:cs="Arial"/>
                        <w:i/>
                      </w:rPr>
                    </m:ctrlPr>
                  </m:sSubPr>
                  <m:e>
                    <m:r>
                      <w:rPr>
                        <w:rFonts w:ascii="Cambria Math" w:hAnsi="Cambria Math" w:cs="Arial"/>
                      </w:rPr>
                      <m:t>BE</m:t>
                    </m:r>
                  </m:e>
                  <m:sub>
                    <m:r>
                      <w:rPr>
                        <w:rFonts w:ascii="Cambria Math" w:hAnsi="Cambria Math" w:cs="Arial"/>
                      </w:rPr>
                      <m:t>EC,y</m:t>
                    </m:r>
                  </m:sub>
                </m:sSub>
              </m:oMath>
            </m:oMathPara>
          </w:p>
        </w:tc>
        <w:tc>
          <w:tcPr>
            <w:tcW w:w="345" w:type="dxa"/>
            <w:vAlign w:val="top"/>
          </w:tcPr>
          <w:p w14:paraId="148FF15B" w14:textId="77777777" w:rsidR="00EC7465" w:rsidRPr="002408C8" w:rsidRDefault="00EC7465" w:rsidP="002408C8">
            <w:pPr>
              <w:pStyle w:val="SDMTableBoxParaNotNumbered"/>
              <w:rPr>
                <w:rFonts w:cs="Arial"/>
              </w:rPr>
            </w:pPr>
            <w:r w:rsidRPr="002408C8">
              <w:rPr>
                <w:rFonts w:cs="Arial"/>
              </w:rPr>
              <w:t>=</w:t>
            </w:r>
          </w:p>
        </w:tc>
        <w:tc>
          <w:tcPr>
            <w:tcW w:w="0" w:type="auto"/>
            <w:vAlign w:val="top"/>
          </w:tcPr>
          <w:p w14:paraId="712ADDFD" w14:textId="03469FC3" w:rsidR="00EC7465" w:rsidRPr="002408C8" w:rsidRDefault="00EC7465" w:rsidP="002408C8">
            <w:pPr>
              <w:pStyle w:val="SDMTableBoxParaNotNumbered"/>
              <w:rPr>
                <w:rFonts w:cs="Arial"/>
              </w:rPr>
            </w:pPr>
            <w:r w:rsidRPr="002408C8">
              <w:rPr>
                <w:rFonts w:cs="Arial"/>
              </w:rPr>
              <w:t>Baseline emissions from electricity consum</w:t>
            </w:r>
            <w:r w:rsidR="00A70920" w:rsidRPr="002408C8">
              <w:rPr>
                <w:rFonts w:cs="Arial"/>
              </w:rPr>
              <w:t>ption</w:t>
            </w:r>
            <w:r w:rsidRPr="002408C8" w:rsidDel="007805D0">
              <w:rPr>
                <w:rFonts w:cs="Arial"/>
              </w:rPr>
              <w:t xml:space="preserve"> </w:t>
            </w:r>
            <w:r w:rsidRPr="002408C8">
              <w:rPr>
                <w:rFonts w:cs="Arial"/>
              </w:rPr>
              <w:t>in year</w:t>
            </w:r>
            <w:r w:rsidR="00D97A6B" w:rsidRPr="002408C8">
              <w:rPr>
                <w:rFonts w:cs="Arial"/>
              </w:rPr>
              <w:t> </w:t>
            </w:r>
            <w:r w:rsidRPr="002408C8">
              <w:rPr>
                <w:rFonts w:cs="Arial"/>
                <w:i/>
              </w:rPr>
              <w:t>y</w:t>
            </w:r>
            <w:r w:rsidRPr="002408C8">
              <w:rPr>
                <w:rFonts w:cs="Arial"/>
              </w:rPr>
              <w:t xml:space="preserve"> (t</w:t>
            </w:r>
            <w:r w:rsidR="00AE7800" w:rsidRPr="002408C8">
              <w:rPr>
                <w:rFonts w:cs="Arial"/>
              </w:rPr>
              <w:t> </w:t>
            </w:r>
            <w:r w:rsidRPr="002408C8">
              <w:rPr>
                <w:rFonts w:cs="Arial"/>
              </w:rPr>
              <w:t>CO</w:t>
            </w:r>
            <w:r w:rsidRPr="002408C8">
              <w:rPr>
                <w:rFonts w:cs="Arial"/>
                <w:vertAlign w:val="subscript"/>
              </w:rPr>
              <w:t>2</w:t>
            </w:r>
            <w:r w:rsidRPr="002408C8">
              <w:rPr>
                <w:rFonts w:cs="Arial"/>
              </w:rPr>
              <w:t>)</w:t>
            </w:r>
          </w:p>
        </w:tc>
      </w:tr>
      <w:tr w:rsidR="00E00C00" w:rsidRPr="002408C8" w14:paraId="23B7DFC3" w14:textId="77777777" w:rsidTr="00AA7E37">
        <w:tc>
          <w:tcPr>
            <w:tcW w:w="1928" w:type="dxa"/>
            <w:vAlign w:val="top"/>
          </w:tcPr>
          <w:p w14:paraId="6A59BC87" w14:textId="20D396F7" w:rsidR="00E00C00" w:rsidRPr="00A6576D" w:rsidRDefault="003F6646" w:rsidP="002408C8">
            <w:pPr>
              <w:pStyle w:val="SDMTableBoxParaNotNumbered"/>
              <w:rPr>
                <w:rFonts w:cs="Arial"/>
              </w:rPr>
            </w:pPr>
            <m:oMathPara>
              <m:oMathParaPr>
                <m:jc m:val="left"/>
              </m:oMathParaPr>
              <m:oMath>
                <m:sSub>
                  <m:sSubPr>
                    <m:ctrlPr>
                      <w:rPr>
                        <w:rFonts w:ascii="Cambria Math" w:hAnsi="Cambria Math" w:cs="Arial"/>
                        <w:i/>
                      </w:rPr>
                    </m:ctrlPr>
                  </m:sSubPr>
                  <m:e>
                    <m:r>
                      <w:rPr>
                        <w:rFonts w:ascii="Cambria Math" w:eastAsia="MS Mincho" w:hAnsi="Cambria Math" w:cs="Arial"/>
                        <w:lang w:eastAsia="ja-JP"/>
                      </w:rPr>
                      <m:t>AE</m:t>
                    </m:r>
                  </m:e>
                  <m:sub>
                    <m:r>
                      <w:rPr>
                        <w:rFonts w:ascii="Cambria Math" w:hAnsi="Cambria Math" w:cs="Arial"/>
                      </w:rPr>
                      <m:t>EG,y</m:t>
                    </m:r>
                  </m:sub>
                </m:sSub>
              </m:oMath>
            </m:oMathPara>
          </w:p>
        </w:tc>
        <w:tc>
          <w:tcPr>
            <w:tcW w:w="345" w:type="dxa"/>
            <w:vAlign w:val="top"/>
          </w:tcPr>
          <w:p w14:paraId="0FA28646" w14:textId="77777777" w:rsidR="00E00C00" w:rsidRPr="002408C8" w:rsidRDefault="00E00C00" w:rsidP="002408C8">
            <w:pPr>
              <w:pStyle w:val="SDMTableBoxParaNotNumbered"/>
              <w:rPr>
                <w:rFonts w:cs="Arial"/>
              </w:rPr>
            </w:pPr>
            <w:r w:rsidRPr="002408C8">
              <w:rPr>
                <w:rFonts w:cs="Arial"/>
              </w:rPr>
              <w:t>=</w:t>
            </w:r>
          </w:p>
        </w:tc>
        <w:tc>
          <w:tcPr>
            <w:tcW w:w="0" w:type="auto"/>
            <w:vAlign w:val="top"/>
          </w:tcPr>
          <w:p w14:paraId="6905EF3D" w14:textId="49B60978" w:rsidR="00E00C00" w:rsidRPr="00780E96" w:rsidRDefault="002D34D0" w:rsidP="002408C8">
            <w:pPr>
              <w:pStyle w:val="SDMTableBoxParaNotNumbered"/>
              <w:rPr>
                <w:rFonts w:cs="Arial"/>
              </w:rPr>
            </w:pPr>
            <w:r w:rsidRPr="00780E96">
              <w:rPr>
                <w:rFonts w:cs="Arial"/>
              </w:rPr>
              <w:t xml:space="preserve">Activity emissions </w:t>
            </w:r>
            <w:r w:rsidR="00E00C00" w:rsidRPr="00780E96">
              <w:rPr>
                <w:rFonts w:cs="Arial"/>
              </w:rPr>
              <w:t xml:space="preserve">from electricity </w:t>
            </w:r>
            <w:r w:rsidR="009D6A89" w:rsidRPr="00780E96">
              <w:rPr>
                <w:rFonts w:cs="Arial"/>
              </w:rPr>
              <w:t xml:space="preserve">generation </w:t>
            </w:r>
            <w:r w:rsidR="00E00C00" w:rsidRPr="00780E96">
              <w:rPr>
                <w:rFonts w:cs="Arial"/>
              </w:rPr>
              <w:t>in year</w:t>
            </w:r>
            <w:r w:rsidR="00D97A6B" w:rsidRPr="00780E96">
              <w:rPr>
                <w:rFonts w:cs="Arial"/>
              </w:rPr>
              <w:t> </w:t>
            </w:r>
            <w:r w:rsidR="00E00C00" w:rsidRPr="00780E96">
              <w:rPr>
                <w:rFonts w:cs="Arial"/>
                <w:i/>
              </w:rPr>
              <w:t>y</w:t>
            </w:r>
            <w:r w:rsidR="00E00C00" w:rsidRPr="00780E96">
              <w:rPr>
                <w:rFonts w:cs="Arial"/>
              </w:rPr>
              <w:t xml:space="preserve"> (t</w:t>
            </w:r>
            <w:r w:rsidR="00AE7800" w:rsidRPr="00780E96">
              <w:rPr>
                <w:rFonts w:cs="Arial"/>
              </w:rPr>
              <w:t> </w:t>
            </w:r>
            <w:r w:rsidR="00E00C00" w:rsidRPr="00780E96">
              <w:rPr>
                <w:rFonts w:cs="Arial"/>
              </w:rPr>
              <w:t>CO</w:t>
            </w:r>
            <w:r w:rsidR="00E00C00" w:rsidRPr="00780E96">
              <w:rPr>
                <w:rFonts w:cs="Arial"/>
                <w:vertAlign w:val="subscript"/>
              </w:rPr>
              <w:t>2</w:t>
            </w:r>
            <w:r w:rsidR="00E00C00" w:rsidRPr="00780E96">
              <w:rPr>
                <w:rFonts w:cs="Arial"/>
              </w:rPr>
              <w:t>)</w:t>
            </w:r>
          </w:p>
        </w:tc>
      </w:tr>
      <w:tr w:rsidR="00EC7465" w:rsidRPr="002408C8" w14:paraId="7842AB63" w14:textId="77777777" w:rsidTr="00AA7E37">
        <w:tc>
          <w:tcPr>
            <w:tcW w:w="1928" w:type="dxa"/>
            <w:vAlign w:val="top"/>
          </w:tcPr>
          <w:p w14:paraId="60100531" w14:textId="486E4767" w:rsidR="00EC7465" w:rsidRPr="00A6576D" w:rsidRDefault="003F6646" w:rsidP="002408C8">
            <w:pPr>
              <w:pStyle w:val="SDMTableBoxParaNotNumbered"/>
              <w:rPr>
                <w:rFonts w:cs="Arial"/>
              </w:rPr>
            </w:pPr>
            <m:oMathPara>
              <m:oMathParaPr>
                <m:jc m:val="left"/>
              </m:oMathParaPr>
              <m:oMath>
                <m:sSub>
                  <m:sSubPr>
                    <m:ctrlPr>
                      <w:rPr>
                        <w:rFonts w:ascii="Cambria Math" w:hAnsi="Cambria Math" w:cs="Arial"/>
                        <w:i/>
                      </w:rPr>
                    </m:ctrlPr>
                  </m:sSubPr>
                  <m:e>
                    <m:r>
                      <w:rPr>
                        <w:rFonts w:ascii="Cambria Math" w:eastAsia="MS Mincho" w:hAnsi="Cambria Math" w:cs="Arial"/>
                        <w:lang w:eastAsia="ja-JP"/>
                      </w:rPr>
                      <m:t>AE</m:t>
                    </m:r>
                  </m:e>
                  <m:sub>
                    <m:r>
                      <w:rPr>
                        <w:rFonts w:ascii="Cambria Math" w:hAnsi="Cambria Math" w:cs="Arial"/>
                      </w:rPr>
                      <m:t>EC,y</m:t>
                    </m:r>
                  </m:sub>
                </m:sSub>
              </m:oMath>
            </m:oMathPara>
          </w:p>
        </w:tc>
        <w:tc>
          <w:tcPr>
            <w:tcW w:w="345" w:type="dxa"/>
            <w:vAlign w:val="top"/>
          </w:tcPr>
          <w:p w14:paraId="61A42255" w14:textId="77777777" w:rsidR="00EC7465" w:rsidRPr="002408C8" w:rsidRDefault="00EC7465" w:rsidP="002408C8">
            <w:pPr>
              <w:pStyle w:val="SDMTableBoxParaNotNumbered"/>
              <w:rPr>
                <w:rFonts w:cs="Arial"/>
              </w:rPr>
            </w:pPr>
            <w:r w:rsidRPr="002408C8">
              <w:rPr>
                <w:rFonts w:cs="Arial"/>
              </w:rPr>
              <w:t>=</w:t>
            </w:r>
          </w:p>
        </w:tc>
        <w:tc>
          <w:tcPr>
            <w:tcW w:w="0" w:type="auto"/>
            <w:vAlign w:val="top"/>
          </w:tcPr>
          <w:p w14:paraId="70C6088B" w14:textId="67960C45" w:rsidR="00EC7465" w:rsidRPr="00780E96" w:rsidRDefault="002D34D0" w:rsidP="002408C8">
            <w:pPr>
              <w:pStyle w:val="SDMTableBoxParaNotNumbered"/>
              <w:rPr>
                <w:rFonts w:cs="Arial"/>
              </w:rPr>
            </w:pPr>
            <w:r w:rsidRPr="00780E96">
              <w:rPr>
                <w:rFonts w:cs="Arial"/>
              </w:rPr>
              <w:t xml:space="preserve">Activity emissions </w:t>
            </w:r>
            <w:r w:rsidR="00EC7465" w:rsidRPr="00780E96">
              <w:rPr>
                <w:rFonts w:cs="Arial"/>
              </w:rPr>
              <w:t xml:space="preserve">from electricity </w:t>
            </w:r>
            <w:r w:rsidR="009D6A89" w:rsidRPr="00780E96">
              <w:rPr>
                <w:rFonts w:cs="Arial"/>
              </w:rPr>
              <w:t xml:space="preserve">consumption </w:t>
            </w:r>
            <w:r w:rsidR="00EC7465" w:rsidRPr="00780E96">
              <w:rPr>
                <w:rFonts w:cs="Arial"/>
              </w:rPr>
              <w:t>in year</w:t>
            </w:r>
            <w:r w:rsidR="00D97A6B" w:rsidRPr="00780E96">
              <w:rPr>
                <w:rFonts w:cs="Arial"/>
              </w:rPr>
              <w:t> </w:t>
            </w:r>
            <w:r w:rsidR="00EC7465" w:rsidRPr="00780E96">
              <w:rPr>
                <w:rFonts w:cs="Arial"/>
                <w:i/>
              </w:rPr>
              <w:t>y</w:t>
            </w:r>
            <w:r w:rsidR="00EC7465" w:rsidRPr="00780E96">
              <w:rPr>
                <w:rFonts w:cs="Arial"/>
              </w:rPr>
              <w:t xml:space="preserve"> (t</w:t>
            </w:r>
            <w:r w:rsidR="00AE7800" w:rsidRPr="00780E96">
              <w:rPr>
                <w:rFonts w:cs="Arial"/>
              </w:rPr>
              <w:t> </w:t>
            </w:r>
            <w:r w:rsidR="00EC7465" w:rsidRPr="00780E96">
              <w:rPr>
                <w:rFonts w:cs="Arial"/>
              </w:rPr>
              <w:t>CO</w:t>
            </w:r>
            <w:r w:rsidR="00EC7465" w:rsidRPr="00780E96">
              <w:rPr>
                <w:rFonts w:cs="Arial"/>
                <w:vertAlign w:val="subscript"/>
              </w:rPr>
              <w:t>2</w:t>
            </w:r>
            <w:r w:rsidR="00EC7465" w:rsidRPr="00780E96">
              <w:rPr>
                <w:rFonts w:cs="Arial"/>
              </w:rPr>
              <w:t>)</w:t>
            </w:r>
          </w:p>
        </w:tc>
      </w:tr>
      <w:tr w:rsidR="00E00C00" w:rsidRPr="002408C8" w14:paraId="53C0757C" w14:textId="77777777" w:rsidTr="00AA7E37">
        <w:tc>
          <w:tcPr>
            <w:tcW w:w="1928" w:type="dxa"/>
            <w:vAlign w:val="top"/>
          </w:tcPr>
          <w:p w14:paraId="30B5EE93" w14:textId="77777777" w:rsidR="00E00C00" w:rsidRPr="00A6576D" w:rsidRDefault="003F6646" w:rsidP="002408C8">
            <w:pPr>
              <w:pStyle w:val="SDMTableBoxParaNotNumbered"/>
              <w:rPr>
                <w:rFonts w:cs="Arial"/>
              </w:rPr>
            </w:pPr>
            <m:oMathPara>
              <m:oMathParaPr>
                <m:jc m:val="left"/>
              </m:oMathParaPr>
              <m:oMath>
                <m:sSub>
                  <m:sSubPr>
                    <m:ctrlPr>
                      <w:rPr>
                        <w:rFonts w:ascii="Cambria Math" w:hAnsi="Cambria Math" w:cs="Arial"/>
                        <w:i/>
                      </w:rPr>
                    </m:ctrlPr>
                  </m:sSubPr>
                  <m:e>
                    <m:r>
                      <w:rPr>
                        <w:rFonts w:ascii="Cambria Math" w:hAnsi="Cambria Math" w:cs="Arial"/>
                      </w:rPr>
                      <m:t>LE</m:t>
                    </m:r>
                  </m:e>
                  <m:sub>
                    <m:r>
                      <w:rPr>
                        <w:rFonts w:ascii="Cambria Math" w:hAnsi="Cambria Math" w:cs="Arial"/>
                      </w:rPr>
                      <m:t>EG,BL,y</m:t>
                    </m:r>
                  </m:sub>
                </m:sSub>
              </m:oMath>
            </m:oMathPara>
          </w:p>
        </w:tc>
        <w:tc>
          <w:tcPr>
            <w:tcW w:w="345" w:type="dxa"/>
            <w:vAlign w:val="top"/>
          </w:tcPr>
          <w:p w14:paraId="4E8E4FBF" w14:textId="77777777" w:rsidR="00E00C00" w:rsidRPr="002408C8" w:rsidRDefault="00E00C00" w:rsidP="002408C8">
            <w:pPr>
              <w:pStyle w:val="SDMTableBoxParaNotNumbered"/>
              <w:rPr>
                <w:rFonts w:cs="Arial"/>
              </w:rPr>
            </w:pPr>
            <w:r w:rsidRPr="002408C8">
              <w:rPr>
                <w:rFonts w:cs="Arial"/>
              </w:rPr>
              <w:t>=</w:t>
            </w:r>
          </w:p>
        </w:tc>
        <w:tc>
          <w:tcPr>
            <w:tcW w:w="0" w:type="auto"/>
            <w:vAlign w:val="top"/>
          </w:tcPr>
          <w:p w14:paraId="44964421" w14:textId="7C2CD5FD" w:rsidR="00E00C00" w:rsidRPr="00780E96" w:rsidRDefault="00E00C00" w:rsidP="002408C8">
            <w:pPr>
              <w:pStyle w:val="SDMTableBoxParaNotNumbered"/>
              <w:rPr>
                <w:rFonts w:cs="Arial"/>
              </w:rPr>
            </w:pPr>
            <w:r w:rsidRPr="00780E96">
              <w:rPr>
                <w:rFonts w:cs="Arial"/>
              </w:rPr>
              <w:t xml:space="preserve">Leakage emissions from electricity </w:t>
            </w:r>
            <w:r w:rsidR="0061379C" w:rsidRPr="00780E96">
              <w:rPr>
                <w:rFonts w:cs="Arial"/>
              </w:rPr>
              <w:t xml:space="preserve">generation </w:t>
            </w:r>
            <w:r w:rsidRPr="00780E96">
              <w:rPr>
                <w:rFonts w:cs="Arial"/>
              </w:rPr>
              <w:t>in the baseline scenario in year</w:t>
            </w:r>
            <w:r w:rsidR="00D97A6B" w:rsidRPr="00780E96">
              <w:rPr>
                <w:rFonts w:cs="Arial"/>
              </w:rPr>
              <w:t> </w:t>
            </w:r>
            <w:r w:rsidRPr="00780E96">
              <w:rPr>
                <w:rFonts w:cs="Arial"/>
                <w:i/>
              </w:rPr>
              <w:t>y</w:t>
            </w:r>
            <w:r w:rsidRPr="00780E96">
              <w:rPr>
                <w:rFonts w:cs="Arial"/>
              </w:rPr>
              <w:t xml:space="preserve"> (t</w:t>
            </w:r>
            <w:r w:rsidR="00AE7800" w:rsidRPr="00780E96">
              <w:rPr>
                <w:rFonts w:cs="Arial"/>
              </w:rPr>
              <w:t> </w:t>
            </w:r>
            <w:r w:rsidRPr="00780E96">
              <w:rPr>
                <w:rFonts w:cs="Arial"/>
              </w:rPr>
              <w:t>CO</w:t>
            </w:r>
            <w:r w:rsidRPr="00780E96">
              <w:rPr>
                <w:rFonts w:cs="Arial"/>
                <w:vertAlign w:val="subscript"/>
              </w:rPr>
              <w:t>2</w:t>
            </w:r>
            <w:r w:rsidRPr="00780E96">
              <w:rPr>
                <w:rFonts w:cs="Arial"/>
              </w:rPr>
              <w:t>)</w:t>
            </w:r>
          </w:p>
        </w:tc>
      </w:tr>
      <w:tr w:rsidR="00446018" w:rsidRPr="002408C8" w14:paraId="25B6DDDB" w14:textId="77777777" w:rsidTr="00AA7E37">
        <w:tc>
          <w:tcPr>
            <w:tcW w:w="1928" w:type="dxa"/>
            <w:vAlign w:val="top"/>
          </w:tcPr>
          <w:p w14:paraId="19680B8A" w14:textId="77777777" w:rsidR="00446018" w:rsidRPr="00A6576D" w:rsidRDefault="003F6646" w:rsidP="002408C8">
            <w:pPr>
              <w:pStyle w:val="SDMTableBoxParaNotNumbered"/>
              <w:rPr>
                <w:rFonts w:cs="Arial"/>
              </w:rPr>
            </w:pPr>
            <m:oMathPara>
              <m:oMathParaPr>
                <m:jc m:val="left"/>
              </m:oMathParaPr>
              <m:oMath>
                <m:sSub>
                  <m:sSubPr>
                    <m:ctrlPr>
                      <w:rPr>
                        <w:rFonts w:ascii="Cambria Math" w:hAnsi="Cambria Math" w:cs="Arial"/>
                        <w:i/>
                      </w:rPr>
                    </m:ctrlPr>
                  </m:sSubPr>
                  <m:e>
                    <m:r>
                      <w:rPr>
                        <w:rFonts w:ascii="Cambria Math" w:hAnsi="Cambria Math" w:cs="Arial"/>
                      </w:rPr>
                      <m:t>LE</m:t>
                    </m:r>
                  </m:e>
                  <m:sub>
                    <m:r>
                      <w:rPr>
                        <w:rFonts w:ascii="Cambria Math" w:hAnsi="Cambria Math" w:cs="Arial"/>
                      </w:rPr>
                      <m:t>EC,BL,y</m:t>
                    </m:r>
                  </m:sub>
                </m:sSub>
              </m:oMath>
            </m:oMathPara>
          </w:p>
        </w:tc>
        <w:tc>
          <w:tcPr>
            <w:tcW w:w="345" w:type="dxa"/>
            <w:vAlign w:val="top"/>
          </w:tcPr>
          <w:p w14:paraId="478F596A" w14:textId="77777777" w:rsidR="00446018" w:rsidRPr="002408C8" w:rsidRDefault="00446018" w:rsidP="002408C8">
            <w:pPr>
              <w:pStyle w:val="SDMTableBoxParaNotNumbered"/>
              <w:rPr>
                <w:rFonts w:cs="Arial"/>
              </w:rPr>
            </w:pPr>
            <w:r w:rsidRPr="002408C8">
              <w:rPr>
                <w:rFonts w:cs="Arial"/>
              </w:rPr>
              <w:t>=</w:t>
            </w:r>
          </w:p>
        </w:tc>
        <w:tc>
          <w:tcPr>
            <w:tcW w:w="0" w:type="auto"/>
            <w:vAlign w:val="top"/>
          </w:tcPr>
          <w:p w14:paraId="61661EC2" w14:textId="0C8742E4" w:rsidR="00446018" w:rsidRPr="00780E96" w:rsidRDefault="00446018" w:rsidP="002408C8">
            <w:pPr>
              <w:pStyle w:val="SDMTableBoxParaNotNumbered"/>
              <w:rPr>
                <w:rFonts w:cs="Arial"/>
              </w:rPr>
            </w:pPr>
            <w:r w:rsidRPr="00780E96">
              <w:rPr>
                <w:rFonts w:cs="Arial"/>
              </w:rPr>
              <w:t xml:space="preserve">Leakage emissions from electricity </w:t>
            </w:r>
            <w:r w:rsidR="0061379C" w:rsidRPr="00780E96">
              <w:rPr>
                <w:rFonts w:cs="Arial"/>
              </w:rPr>
              <w:t xml:space="preserve">consumption </w:t>
            </w:r>
            <w:r w:rsidRPr="00780E96">
              <w:rPr>
                <w:rFonts w:cs="Arial"/>
              </w:rPr>
              <w:t>in the baseline scenario in year</w:t>
            </w:r>
            <w:r w:rsidR="00D97A6B" w:rsidRPr="00780E96">
              <w:rPr>
                <w:rFonts w:cs="Arial"/>
              </w:rPr>
              <w:t> </w:t>
            </w:r>
            <w:r w:rsidRPr="00780E96">
              <w:rPr>
                <w:rFonts w:cs="Arial"/>
                <w:i/>
              </w:rPr>
              <w:t>y</w:t>
            </w:r>
            <w:r w:rsidRPr="00780E96">
              <w:rPr>
                <w:rFonts w:cs="Arial"/>
              </w:rPr>
              <w:t xml:space="preserve"> (t</w:t>
            </w:r>
            <w:r w:rsidR="00AE7800" w:rsidRPr="00780E96">
              <w:rPr>
                <w:rFonts w:cs="Arial"/>
              </w:rPr>
              <w:t> </w:t>
            </w:r>
            <w:r w:rsidRPr="00780E96">
              <w:rPr>
                <w:rFonts w:cs="Arial"/>
              </w:rPr>
              <w:t>CO</w:t>
            </w:r>
            <w:r w:rsidRPr="00780E96">
              <w:rPr>
                <w:rFonts w:cs="Arial"/>
                <w:vertAlign w:val="subscript"/>
              </w:rPr>
              <w:t>2</w:t>
            </w:r>
            <w:r w:rsidRPr="00780E96">
              <w:rPr>
                <w:rFonts w:cs="Arial"/>
              </w:rPr>
              <w:t>)</w:t>
            </w:r>
          </w:p>
        </w:tc>
      </w:tr>
      <w:tr w:rsidR="00E00C00" w:rsidRPr="002408C8" w14:paraId="00990887" w14:textId="77777777" w:rsidTr="00AA7E37">
        <w:tc>
          <w:tcPr>
            <w:tcW w:w="1928" w:type="dxa"/>
            <w:vAlign w:val="top"/>
          </w:tcPr>
          <w:p w14:paraId="7369EB2E" w14:textId="77777777" w:rsidR="00E00C00" w:rsidRPr="00A6576D" w:rsidRDefault="003F6646" w:rsidP="002408C8">
            <w:pPr>
              <w:pStyle w:val="SDMTableBoxParaNotNumbered"/>
              <w:rPr>
                <w:rFonts w:eastAsia="DengXian" w:cs="Arial"/>
              </w:rPr>
            </w:pPr>
            <m:oMathPara>
              <m:oMathParaPr>
                <m:jc m:val="left"/>
              </m:oMathParaPr>
              <m:oMath>
                <m:sSub>
                  <m:sSubPr>
                    <m:ctrlPr>
                      <w:rPr>
                        <w:rFonts w:ascii="Cambria Math" w:hAnsi="Cambria Math" w:cs="Arial"/>
                        <w:i/>
                      </w:rPr>
                    </m:ctrlPr>
                  </m:sSubPr>
                  <m:e>
                    <m:r>
                      <w:rPr>
                        <w:rFonts w:ascii="Cambria Math" w:hAnsi="Cambria Math" w:cs="Arial"/>
                      </w:rPr>
                      <m:t>LE</m:t>
                    </m:r>
                  </m:e>
                  <m:sub>
                    <m:r>
                      <w:rPr>
                        <w:rFonts w:ascii="Cambria Math" w:hAnsi="Cambria Math" w:cs="Arial"/>
                      </w:rPr>
                      <m:t>EG,PJ,y</m:t>
                    </m:r>
                  </m:sub>
                </m:sSub>
              </m:oMath>
            </m:oMathPara>
          </w:p>
        </w:tc>
        <w:tc>
          <w:tcPr>
            <w:tcW w:w="345" w:type="dxa"/>
            <w:vAlign w:val="top"/>
          </w:tcPr>
          <w:p w14:paraId="41702EA2" w14:textId="77777777" w:rsidR="00E00C00" w:rsidRPr="002408C8" w:rsidRDefault="00E00C00" w:rsidP="002408C8">
            <w:pPr>
              <w:pStyle w:val="SDMTableBoxParaNotNumbered"/>
              <w:rPr>
                <w:rFonts w:cs="Arial"/>
              </w:rPr>
            </w:pPr>
            <w:r w:rsidRPr="002408C8">
              <w:rPr>
                <w:rFonts w:cs="Arial"/>
              </w:rPr>
              <w:t>=</w:t>
            </w:r>
          </w:p>
        </w:tc>
        <w:tc>
          <w:tcPr>
            <w:tcW w:w="0" w:type="auto"/>
            <w:vAlign w:val="top"/>
          </w:tcPr>
          <w:p w14:paraId="07B9DE7D" w14:textId="68BC7069" w:rsidR="00E00C00" w:rsidRPr="00780E96" w:rsidRDefault="00E00C00" w:rsidP="002408C8">
            <w:pPr>
              <w:pStyle w:val="SDMTableBoxParaNotNumbered"/>
              <w:rPr>
                <w:rFonts w:cs="Arial"/>
              </w:rPr>
            </w:pPr>
            <w:r w:rsidRPr="00780E96">
              <w:rPr>
                <w:rFonts w:cs="Arial"/>
              </w:rPr>
              <w:t xml:space="preserve">Leakage emissions from electricity </w:t>
            </w:r>
            <w:r w:rsidR="0061379C" w:rsidRPr="00780E96">
              <w:rPr>
                <w:rFonts w:cs="Arial"/>
              </w:rPr>
              <w:t>generation</w:t>
            </w:r>
            <w:r w:rsidR="00F428E2" w:rsidRPr="00780E96">
              <w:rPr>
                <w:rFonts w:cs="Arial"/>
              </w:rPr>
              <w:t xml:space="preserve"> </w:t>
            </w:r>
            <w:r w:rsidRPr="00780E96">
              <w:rPr>
                <w:rFonts w:cs="Arial"/>
              </w:rPr>
              <w:t xml:space="preserve">in the </w:t>
            </w:r>
            <w:r w:rsidR="006A2647" w:rsidRPr="00780E96">
              <w:rPr>
                <w:rFonts w:cs="Arial"/>
              </w:rPr>
              <w:t xml:space="preserve">activity </w:t>
            </w:r>
            <w:r w:rsidRPr="00780E96">
              <w:rPr>
                <w:rFonts w:cs="Arial"/>
              </w:rPr>
              <w:t>scenario in year</w:t>
            </w:r>
            <w:r w:rsidR="00D97A6B" w:rsidRPr="00780E96">
              <w:rPr>
                <w:rFonts w:cs="Arial"/>
              </w:rPr>
              <w:t> </w:t>
            </w:r>
            <w:r w:rsidRPr="00780E96">
              <w:rPr>
                <w:rFonts w:cs="Arial"/>
                <w:i/>
              </w:rPr>
              <w:t>y</w:t>
            </w:r>
            <w:r w:rsidRPr="00780E96">
              <w:rPr>
                <w:rFonts w:cs="Arial"/>
              </w:rPr>
              <w:t xml:space="preserve"> (t</w:t>
            </w:r>
            <w:r w:rsidR="00AE7800" w:rsidRPr="00780E96">
              <w:rPr>
                <w:rFonts w:cs="Arial"/>
              </w:rPr>
              <w:t> </w:t>
            </w:r>
            <w:r w:rsidRPr="00780E96">
              <w:rPr>
                <w:rFonts w:cs="Arial"/>
              </w:rPr>
              <w:t>CO</w:t>
            </w:r>
            <w:r w:rsidRPr="00780E96">
              <w:rPr>
                <w:rFonts w:cs="Arial"/>
                <w:vertAlign w:val="subscript"/>
              </w:rPr>
              <w:t>2</w:t>
            </w:r>
            <w:r w:rsidRPr="00780E96">
              <w:rPr>
                <w:rFonts w:cs="Arial"/>
              </w:rPr>
              <w:t>)</w:t>
            </w:r>
          </w:p>
        </w:tc>
      </w:tr>
      <w:tr w:rsidR="00446018" w:rsidRPr="002408C8" w14:paraId="46A41D53" w14:textId="77777777" w:rsidTr="00AA7E37">
        <w:tc>
          <w:tcPr>
            <w:tcW w:w="1928" w:type="dxa"/>
            <w:vAlign w:val="top"/>
          </w:tcPr>
          <w:p w14:paraId="09E8CF7B" w14:textId="77777777" w:rsidR="00446018" w:rsidRPr="00A6576D" w:rsidRDefault="003F6646" w:rsidP="002408C8">
            <w:pPr>
              <w:pStyle w:val="SDMTableBoxParaNotNumbered"/>
              <w:rPr>
                <w:rFonts w:cs="Arial"/>
              </w:rPr>
            </w:pPr>
            <m:oMathPara>
              <m:oMathParaPr>
                <m:jc m:val="left"/>
              </m:oMathParaPr>
              <m:oMath>
                <m:sSub>
                  <m:sSubPr>
                    <m:ctrlPr>
                      <w:rPr>
                        <w:rFonts w:ascii="Cambria Math" w:hAnsi="Cambria Math" w:cs="Arial"/>
                        <w:i/>
                      </w:rPr>
                    </m:ctrlPr>
                  </m:sSubPr>
                  <m:e>
                    <m:r>
                      <w:rPr>
                        <w:rFonts w:ascii="Cambria Math" w:hAnsi="Cambria Math" w:cs="Arial"/>
                      </w:rPr>
                      <m:t>LE</m:t>
                    </m:r>
                  </m:e>
                  <m:sub>
                    <m:r>
                      <w:rPr>
                        <w:rFonts w:ascii="Cambria Math" w:hAnsi="Cambria Math" w:cs="Arial"/>
                      </w:rPr>
                      <m:t>EC,PJ,y</m:t>
                    </m:r>
                  </m:sub>
                </m:sSub>
              </m:oMath>
            </m:oMathPara>
          </w:p>
        </w:tc>
        <w:tc>
          <w:tcPr>
            <w:tcW w:w="345" w:type="dxa"/>
            <w:vAlign w:val="top"/>
          </w:tcPr>
          <w:p w14:paraId="436C4A25" w14:textId="77777777" w:rsidR="00446018" w:rsidRPr="002408C8" w:rsidRDefault="00446018" w:rsidP="002408C8">
            <w:pPr>
              <w:pStyle w:val="SDMTableBoxParaNotNumbered"/>
              <w:rPr>
                <w:rFonts w:cs="Arial"/>
              </w:rPr>
            </w:pPr>
            <w:r w:rsidRPr="002408C8">
              <w:rPr>
                <w:rFonts w:cs="Arial"/>
              </w:rPr>
              <w:t>=</w:t>
            </w:r>
          </w:p>
        </w:tc>
        <w:tc>
          <w:tcPr>
            <w:tcW w:w="0" w:type="auto"/>
            <w:vAlign w:val="top"/>
          </w:tcPr>
          <w:p w14:paraId="2C655615" w14:textId="203163F5" w:rsidR="00446018" w:rsidRPr="00780E96" w:rsidRDefault="00446018" w:rsidP="002408C8">
            <w:pPr>
              <w:pStyle w:val="SDMTableBoxParaNotNumbered"/>
              <w:rPr>
                <w:rFonts w:cs="Arial"/>
              </w:rPr>
            </w:pPr>
            <w:r w:rsidRPr="00780E96">
              <w:rPr>
                <w:rFonts w:cs="Arial"/>
              </w:rPr>
              <w:t xml:space="preserve">Leakage emissions from electricity </w:t>
            </w:r>
            <w:r w:rsidR="0061379C" w:rsidRPr="00780E96">
              <w:rPr>
                <w:rFonts w:cs="Arial"/>
              </w:rPr>
              <w:t xml:space="preserve">consumption </w:t>
            </w:r>
            <w:r w:rsidRPr="00780E96">
              <w:rPr>
                <w:rFonts w:cs="Arial"/>
              </w:rPr>
              <w:t xml:space="preserve">in the </w:t>
            </w:r>
            <w:r w:rsidR="006A2647" w:rsidRPr="00780E96">
              <w:rPr>
                <w:rFonts w:cs="Arial"/>
              </w:rPr>
              <w:t xml:space="preserve">activity scenario </w:t>
            </w:r>
            <w:r w:rsidRPr="00780E96">
              <w:rPr>
                <w:rFonts w:cs="Arial"/>
              </w:rPr>
              <w:t>in year</w:t>
            </w:r>
            <w:r w:rsidR="00D97A6B" w:rsidRPr="00780E96">
              <w:rPr>
                <w:rFonts w:cs="Arial"/>
              </w:rPr>
              <w:t> </w:t>
            </w:r>
            <w:r w:rsidRPr="00780E96">
              <w:rPr>
                <w:rFonts w:cs="Arial"/>
                <w:i/>
              </w:rPr>
              <w:t>y</w:t>
            </w:r>
            <w:r w:rsidRPr="00780E96">
              <w:rPr>
                <w:rFonts w:cs="Arial"/>
              </w:rPr>
              <w:t xml:space="preserve"> (t</w:t>
            </w:r>
            <w:r w:rsidR="00AE7800" w:rsidRPr="00780E96">
              <w:rPr>
                <w:rFonts w:cs="Arial"/>
              </w:rPr>
              <w:t> </w:t>
            </w:r>
            <w:r w:rsidRPr="00780E96">
              <w:rPr>
                <w:rFonts w:cs="Arial"/>
              </w:rPr>
              <w:t>CO</w:t>
            </w:r>
            <w:r w:rsidRPr="00780E96">
              <w:rPr>
                <w:rFonts w:cs="Arial"/>
                <w:vertAlign w:val="subscript"/>
              </w:rPr>
              <w:t>2</w:t>
            </w:r>
            <w:r w:rsidRPr="00780E96">
              <w:rPr>
                <w:rFonts w:cs="Arial"/>
              </w:rPr>
              <w:t>)</w:t>
            </w:r>
          </w:p>
        </w:tc>
      </w:tr>
      <w:tr w:rsidR="00E00C00" w:rsidRPr="002408C8" w14:paraId="709CDC71" w14:textId="77777777" w:rsidTr="00AA7E37">
        <w:tc>
          <w:tcPr>
            <w:tcW w:w="1928" w:type="dxa"/>
            <w:vAlign w:val="top"/>
          </w:tcPr>
          <w:p w14:paraId="2105CDC0" w14:textId="77777777" w:rsidR="00E00C00" w:rsidRPr="00A6576D" w:rsidRDefault="003F6646" w:rsidP="002408C8">
            <w:pPr>
              <w:pStyle w:val="SDMTableBoxParaNotNumbered"/>
              <w:rPr>
                <w:rFonts w:eastAsia="DengXian" w:cs="Arial"/>
              </w:rPr>
            </w:pPr>
            <m:oMathPara>
              <m:oMathParaPr>
                <m:jc m:val="left"/>
              </m:oMathParaPr>
              <m:oMath>
                <m:sSub>
                  <m:sSubPr>
                    <m:ctrlPr>
                      <w:rPr>
                        <w:rFonts w:ascii="Cambria Math" w:hAnsi="Cambria Math" w:cs="Arial"/>
                        <w:i/>
                      </w:rPr>
                    </m:ctrlPr>
                  </m:sSubPr>
                  <m:e>
                    <m:r>
                      <w:rPr>
                        <w:rFonts w:ascii="Cambria Math" w:hAnsi="Cambria Math" w:cs="Arial"/>
                      </w:rPr>
                      <m:t>EG</m:t>
                    </m:r>
                  </m:e>
                  <m:sub>
                    <m:r>
                      <w:rPr>
                        <w:rFonts w:ascii="Cambria Math" w:hAnsi="Cambria Math" w:cs="Arial"/>
                      </w:rPr>
                      <m:t>s,h</m:t>
                    </m:r>
                  </m:sub>
                </m:sSub>
              </m:oMath>
            </m:oMathPara>
          </w:p>
        </w:tc>
        <w:tc>
          <w:tcPr>
            <w:tcW w:w="345" w:type="dxa"/>
            <w:vAlign w:val="top"/>
          </w:tcPr>
          <w:p w14:paraId="76B2F4FF" w14:textId="77777777" w:rsidR="00E00C00" w:rsidRPr="002408C8" w:rsidRDefault="00E00C00" w:rsidP="002408C8">
            <w:pPr>
              <w:pStyle w:val="SDMTableBoxParaNotNumbered"/>
              <w:rPr>
                <w:rFonts w:cs="Arial"/>
              </w:rPr>
            </w:pPr>
            <w:r w:rsidRPr="002408C8">
              <w:rPr>
                <w:rFonts w:cs="Arial"/>
              </w:rPr>
              <w:t>=</w:t>
            </w:r>
          </w:p>
        </w:tc>
        <w:tc>
          <w:tcPr>
            <w:tcW w:w="0" w:type="auto"/>
            <w:vAlign w:val="top"/>
          </w:tcPr>
          <w:p w14:paraId="4A6DC7F5" w14:textId="66B5DC74" w:rsidR="00E00C00" w:rsidRPr="002408C8" w:rsidRDefault="00E00C00" w:rsidP="002408C8">
            <w:pPr>
              <w:pStyle w:val="SDMTableBoxParaNotNumbered"/>
              <w:rPr>
                <w:rFonts w:cs="Arial"/>
              </w:rPr>
            </w:pPr>
            <w:r w:rsidRPr="002408C8">
              <w:rPr>
                <w:rFonts w:cs="Arial"/>
              </w:rPr>
              <w:t>Electricity generated by the</w:t>
            </w:r>
            <w:r w:rsidR="00FA6A67" w:rsidRPr="002408C8">
              <w:rPr>
                <w:rFonts w:cs="Arial"/>
              </w:rPr>
              <w:t xml:space="preserve"> electricity generation source</w:t>
            </w:r>
            <w:r w:rsidR="002408C8">
              <w:rPr>
                <w:rFonts w:cs="Arial"/>
              </w:rPr>
              <w:t> </w:t>
            </w:r>
            <w:r w:rsidR="00FA6A67" w:rsidRPr="002408C8">
              <w:rPr>
                <w:rFonts w:cs="Arial"/>
                <w:i/>
                <w:iCs/>
              </w:rPr>
              <w:t>s</w:t>
            </w:r>
            <w:r w:rsidRPr="002408C8">
              <w:rPr>
                <w:rFonts w:cs="Arial"/>
              </w:rPr>
              <w:t xml:space="preserve"> in </w:t>
            </w:r>
            <w:r w:rsidR="00DE7158" w:rsidRPr="002408C8">
              <w:rPr>
                <w:rFonts w:cs="Arial"/>
              </w:rPr>
              <w:t>hour</w:t>
            </w:r>
            <w:r w:rsidR="00D97A6B" w:rsidRPr="002408C8">
              <w:rPr>
                <w:rFonts w:cs="Arial"/>
              </w:rPr>
              <w:t> </w:t>
            </w:r>
            <w:r w:rsidR="00647D27" w:rsidRPr="002408C8">
              <w:rPr>
                <w:rFonts w:cs="Arial"/>
                <w:i/>
                <w:iCs/>
              </w:rPr>
              <w:t>h</w:t>
            </w:r>
            <w:r w:rsidRPr="002408C8">
              <w:rPr>
                <w:rFonts w:cs="Arial"/>
              </w:rPr>
              <w:t xml:space="preserve"> (MWh)</w:t>
            </w:r>
          </w:p>
        </w:tc>
      </w:tr>
      <w:tr w:rsidR="00A459ED" w:rsidRPr="002408C8" w14:paraId="656B40C6" w14:textId="77777777" w:rsidTr="00AA7E37">
        <w:tc>
          <w:tcPr>
            <w:tcW w:w="1928" w:type="dxa"/>
            <w:vAlign w:val="top"/>
          </w:tcPr>
          <w:p w14:paraId="4CC1BE1B" w14:textId="77777777" w:rsidR="00A459ED" w:rsidRPr="00A6576D" w:rsidRDefault="003F6646" w:rsidP="002408C8">
            <w:pPr>
              <w:pStyle w:val="SDMTableBoxParaNotNumbered"/>
              <w:rPr>
                <w:rFonts w:cs="Arial"/>
              </w:rPr>
            </w:pPr>
            <m:oMathPara>
              <m:oMathParaPr>
                <m:jc m:val="left"/>
              </m:oMathParaPr>
              <m:oMath>
                <m:sSub>
                  <m:sSubPr>
                    <m:ctrlPr>
                      <w:rPr>
                        <w:rFonts w:ascii="Cambria Math" w:hAnsi="Cambria Math" w:cs="Arial"/>
                        <w:i/>
                      </w:rPr>
                    </m:ctrlPr>
                  </m:sSubPr>
                  <m:e>
                    <m:r>
                      <w:rPr>
                        <w:rFonts w:ascii="Cambria Math" w:hAnsi="Cambria Math" w:cs="Arial"/>
                      </w:rPr>
                      <m:t>EC</m:t>
                    </m:r>
                  </m:e>
                  <m:sub>
                    <m:r>
                      <w:rPr>
                        <w:rFonts w:ascii="Cambria Math" w:hAnsi="Cambria Math" w:cs="Arial"/>
                      </w:rPr>
                      <m:t>s,h</m:t>
                    </m:r>
                  </m:sub>
                </m:sSub>
              </m:oMath>
            </m:oMathPara>
          </w:p>
        </w:tc>
        <w:tc>
          <w:tcPr>
            <w:tcW w:w="345" w:type="dxa"/>
            <w:vAlign w:val="top"/>
          </w:tcPr>
          <w:p w14:paraId="3FA6F0BE" w14:textId="77777777" w:rsidR="00A459ED" w:rsidRPr="002408C8" w:rsidRDefault="00D0092C" w:rsidP="002408C8">
            <w:pPr>
              <w:pStyle w:val="SDMTableBoxParaNotNumbered"/>
              <w:rPr>
                <w:rFonts w:cs="Arial"/>
              </w:rPr>
            </w:pPr>
            <w:r w:rsidRPr="002408C8">
              <w:rPr>
                <w:rFonts w:cs="Arial"/>
              </w:rPr>
              <w:t>=</w:t>
            </w:r>
          </w:p>
        </w:tc>
        <w:tc>
          <w:tcPr>
            <w:tcW w:w="0" w:type="auto"/>
            <w:vAlign w:val="top"/>
          </w:tcPr>
          <w:p w14:paraId="026E8830" w14:textId="7E8195B7" w:rsidR="00A459ED" w:rsidRPr="002408C8" w:rsidRDefault="00D0092C" w:rsidP="002408C8">
            <w:pPr>
              <w:pStyle w:val="SDMTableBoxParaNotNumbered"/>
              <w:rPr>
                <w:rFonts w:cs="Arial"/>
              </w:rPr>
            </w:pPr>
            <w:r w:rsidRPr="002408C8">
              <w:rPr>
                <w:rFonts w:cs="Arial"/>
              </w:rPr>
              <w:t>Electricity consumed by the electricity consumption source</w:t>
            </w:r>
            <w:r w:rsidR="002408C8">
              <w:rPr>
                <w:rFonts w:cs="Arial"/>
              </w:rPr>
              <w:t> </w:t>
            </w:r>
            <w:r w:rsidRPr="002408C8">
              <w:rPr>
                <w:rFonts w:cs="Arial"/>
                <w:i/>
                <w:iCs/>
              </w:rPr>
              <w:t>s</w:t>
            </w:r>
            <w:r w:rsidRPr="002408C8">
              <w:rPr>
                <w:rFonts w:cs="Arial"/>
              </w:rPr>
              <w:t xml:space="preserve"> in hour</w:t>
            </w:r>
            <w:r w:rsidR="00D97A6B" w:rsidRPr="002408C8">
              <w:rPr>
                <w:rFonts w:cs="Arial"/>
              </w:rPr>
              <w:t> </w:t>
            </w:r>
            <w:r w:rsidRPr="002408C8">
              <w:rPr>
                <w:rFonts w:cs="Arial"/>
                <w:i/>
                <w:iCs/>
              </w:rPr>
              <w:t>h</w:t>
            </w:r>
            <w:r w:rsidRPr="002408C8">
              <w:rPr>
                <w:rFonts w:cs="Arial"/>
              </w:rPr>
              <w:t xml:space="preserve"> (MWh)</w:t>
            </w:r>
          </w:p>
        </w:tc>
      </w:tr>
      <w:tr w:rsidR="00E00C00" w:rsidRPr="002408C8" w14:paraId="27C8F265" w14:textId="77777777" w:rsidTr="00AA7E37">
        <w:tc>
          <w:tcPr>
            <w:tcW w:w="1928" w:type="dxa"/>
            <w:vAlign w:val="top"/>
          </w:tcPr>
          <w:p w14:paraId="5EA0D3A2" w14:textId="77777777" w:rsidR="00E00C00" w:rsidRPr="00A6576D" w:rsidRDefault="003F6646" w:rsidP="002408C8">
            <w:pPr>
              <w:pStyle w:val="SDMTableBoxParaNotNumbered"/>
              <w:rPr>
                <w:rFonts w:eastAsia="DengXian" w:cs="Arial"/>
              </w:rPr>
            </w:pPr>
            <m:oMathPara>
              <m:oMathParaPr>
                <m:jc m:val="left"/>
              </m:oMathParaPr>
              <m:oMath>
                <m:sSub>
                  <m:sSubPr>
                    <m:ctrlPr>
                      <w:rPr>
                        <w:rFonts w:ascii="Cambria Math" w:hAnsi="Cambria Math" w:cs="Arial"/>
                        <w:i/>
                      </w:rPr>
                    </m:ctrlPr>
                  </m:sSubPr>
                  <m:e>
                    <m:r>
                      <w:rPr>
                        <w:rFonts w:ascii="Cambria Math" w:hAnsi="Cambria Math" w:cs="Arial"/>
                      </w:rPr>
                      <m:t>EF</m:t>
                    </m:r>
                  </m:e>
                  <m:sub>
                    <m:r>
                      <w:rPr>
                        <w:rFonts w:ascii="Cambria Math" w:hAnsi="Cambria Math" w:cs="Arial"/>
                      </w:rPr>
                      <m:t>EG,BL,s,h</m:t>
                    </m:r>
                  </m:sub>
                </m:sSub>
              </m:oMath>
            </m:oMathPara>
          </w:p>
        </w:tc>
        <w:tc>
          <w:tcPr>
            <w:tcW w:w="345" w:type="dxa"/>
            <w:vAlign w:val="top"/>
          </w:tcPr>
          <w:p w14:paraId="5AE3C751" w14:textId="77777777" w:rsidR="00E00C00" w:rsidRPr="002408C8" w:rsidRDefault="00E00C00" w:rsidP="002408C8">
            <w:pPr>
              <w:pStyle w:val="SDMTableBoxParaNotNumbered"/>
              <w:rPr>
                <w:rFonts w:cs="Arial"/>
              </w:rPr>
            </w:pPr>
            <w:r w:rsidRPr="002408C8">
              <w:rPr>
                <w:rFonts w:cs="Arial"/>
              </w:rPr>
              <w:t>=</w:t>
            </w:r>
          </w:p>
        </w:tc>
        <w:tc>
          <w:tcPr>
            <w:tcW w:w="0" w:type="auto"/>
            <w:vAlign w:val="top"/>
          </w:tcPr>
          <w:p w14:paraId="6F62439E" w14:textId="697BF480" w:rsidR="00E00C00" w:rsidRPr="002408C8" w:rsidRDefault="00E00C00" w:rsidP="002408C8">
            <w:pPr>
              <w:pStyle w:val="SDMTableBoxParaNotNumbered"/>
              <w:rPr>
                <w:rFonts w:cs="Arial"/>
              </w:rPr>
            </w:pPr>
            <w:r w:rsidRPr="002408C8">
              <w:rPr>
                <w:rFonts w:cs="Arial"/>
              </w:rPr>
              <w:t xml:space="preserve">Emission factor </w:t>
            </w:r>
            <w:r w:rsidR="003A211B" w:rsidRPr="002408C8">
              <w:rPr>
                <w:rFonts w:cs="Arial"/>
              </w:rPr>
              <w:t>for</w:t>
            </w:r>
            <w:r w:rsidRPr="002408C8">
              <w:rPr>
                <w:rFonts w:cs="Arial"/>
              </w:rPr>
              <w:t xml:space="preserve"> electricity generated by the electricity generation source</w:t>
            </w:r>
            <w:r w:rsidR="00D97A6B" w:rsidRPr="002408C8">
              <w:rPr>
                <w:rFonts w:cs="Arial"/>
              </w:rPr>
              <w:t> </w:t>
            </w:r>
            <w:r w:rsidRPr="002408C8">
              <w:rPr>
                <w:rFonts w:cs="Arial"/>
                <w:i/>
              </w:rPr>
              <w:t>s</w:t>
            </w:r>
            <w:r w:rsidRPr="002408C8">
              <w:rPr>
                <w:rFonts w:cs="Arial"/>
              </w:rPr>
              <w:t xml:space="preserve"> in the baseline scenario in </w:t>
            </w:r>
            <w:r w:rsidR="00647D27" w:rsidRPr="002408C8">
              <w:rPr>
                <w:rFonts w:cs="Arial"/>
              </w:rPr>
              <w:t>hour</w:t>
            </w:r>
            <w:r w:rsidR="00D97A6B" w:rsidRPr="002408C8">
              <w:rPr>
                <w:rFonts w:cs="Arial"/>
              </w:rPr>
              <w:t> </w:t>
            </w:r>
            <w:r w:rsidR="00647D27" w:rsidRPr="002408C8">
              <w:rPr>
                <w:rFonts w:cs="Arial"/>
                <w:i/>
                <w:iCs/>
              </w:rPr>
              <w:t>h</w:t>
            </w:r>
            <w:r w:rsidRPr="002408C8">
              <w:rPr>
                <w:rFonts w:cs="Arial"/>
              </w:rPr>
              <w:t xml:space="preserve"> (</w:t>
            </w:r>
            <w:r w:rsidR="00DD74EC" w:rsidRPr="002408C8">
              <w:rPr>
                <w:rFonts w:cs="Arial"/>
              </w:rPr>
              <w:t>t</w:t>
            </w:r>
            <w:r w:rsidR="00D57E54" w:rsidRPr="002408C8">
              <w:rPr>
                <w:rFonts w:cs="Arial"/>
              </w:rPr>
              <w:t> </w:t>
            </w:r>
            <w:r w:rsidR="00DD74EC" w:rsidRPr="002408C8">
              <w:rPr>
                <w:rFonts w:cs="Arial"/>
              </w:rPr>
              <w:t>CO</w:t>
            </w:r>
            <w:r w:rsidR="00DD74EC" w:rsidRPr="002408C8">
              <w:rPr>
                <w:rFonts w:ascii="Cambria Math" w:hAnsi="Cambria Math" w:cs="Cambria Math"/>
              </w:rPr>
              <w:t>₂</w:t>
            </w:r>
            <w:r w:rsidR="006A2647">
              <w:rPr>
                <w:rFonts w:cs="Arial"/>
              </w:rPr>
              <w:t> / </w:t>
            </w:r>
            <w:r w:rsidR="00DD74EC" w:rsidRPr="002408C8">
              <w:rPr>
                <w:rFonts w:cs="Arial"/>
              </w:rPr>
              <w:t>MWh</w:t>
            </w:r>
            <w:r w:rsidRPr="002408C8">
              <w:rPr>
                <w:rFonts w:cs="Arial"/>
              </w:rPr>
              <w:t>)</w:t>
            </w:r>
          </w:p>
        </w:tc>
      </w:tr>
      <w:tr w:rsidR="00B33468" w:rsidRPr="002408C8" w14:paraId="01DE97C3" w14:textId="77777777" w:rsidTr="00AA7E37">
        <w:tc>
          <w:tcPr>
            <w:tcW w:w="1928" w:type="dxa"/>
            <w:vAlign w:val="top"/>
          </w:tcPr>
          <w:p w14:paraId="6307D90B" w14:textId="77777777" w:rsidR="00B33468" w:rsidRPr="00A6576D" w:rsidRDefault="003F6646" w:rsidP="002408C8">
            <w:pPr>
              <w:pStyle w:val="SDMTableBoxParaNotNumbered"/>
              <w:rPr>
                <w:rFonts w:cs="Arial"/>
              </w:rPr>
            </w:pPr>
            <m:oMathPara>
              <m:oMathParaPr>
                <m:jc m:val="left"/>
              </m:oMathParaPr>
              <m:oMath>
                <m:sSub>
                  <m:sSubPr>
                    <m:ctrlPr>
                      <w:rPr>
                        <w:rFonts w:ascii="Cambria Math" w:hAnsi="Cambria Math" w:cs="Arial"/>
                        <w:i/>
                      </w:rPr>
                    </m:ctrlPr>
                  </m:sSubPr>
                  <m:e>
                    <m:r>
                      <w:rPr>
                        <w:rFonts w:ascii="Cambria Math" w:hAnsi="Cambria Math" w:cs="Arial"/>
                      </w:rPr>
                      <m:t>EF</m:t>
                    </m:r>
                  </m:e>
                  <m:sub>
                    <m:r>
                      <w:rPr>
                        <w:rFonts w:ascii="Cambria Math" w:hAnsi="Cambria Math" w:cs="Arial"/>
                      </w:rPr>
                      <m:t>EC,BL,s,h</m:t>
                    </m:r>
                  </m:sub>
                </m:sSub>
              </m:oMath>
            </m:oMathPara>
          </w:p>
        </w:tc>
        <w:tc>
          <w:tcPr>
            <w:tcW w:w="345" w:type="dxa"/>
            <w:vAlign w:val="top"/>
          </w:tcPr>
          <w:p w14:paraId="3F1E585B" w14:textId="77777777" w:rsidR="00B33468" w:rsidRPr="002408C8" w:rsidRDefault="00B33468" w:rsidP="002408C8">
            <w:pPr>
              <w:pStyle w:val="SDMTableBoxParaNotNumbered"/>
              <w:rPr>
                <w:rFonts w:cs="Arial"/>
              </w:rPr>
            </w:pPr>
            <w:r w:rsidRPr="002408C8">
              <w:rPr>
                <w:rFonts w:cs="Arial"/>
              </w:rPr>
              <w:t>=</w:t>
            </w:r>
          </w:p>
        </w:tc>
        <w:tc>
          <w:tcPr>
            <w:tcW w:w="0" w:type="auto"/>
            <w:vAlign w:val="top"/>
          </w:tcPr>
          <w:p w14:paraId="0A308157" w14:textId="23EF5CB6" w:rsidR="00B33468" w:rsidRPr="002408C8" w:rsidRDefault="00B33468" w:rsidP="002408C8">
            <w:pPr>
              <w:pStyle w:val="SDMTableBoxParaNotNumbered"/>
              <w:rPr>
                <w:rFonts w:cs="Arial"/>
              </w:rPr>
            </w:pPr>
            <w:r w:rsidRPr="002408C8">
              <w:rPr>
                <w:rFonts w:cs="Arial"/>
              </w:rPr>
              <w:t xml:space="preserve">Emission factor </w:t>
            </w:r>
            <w:r w:rsidR="003A211B" w:rsidRPr="002408C8">
              <w:rPr>
                <w:rFonts w:cs="Arial"/>
              </w:rPr>
              <w:t>for</w:t>
            </w:r>
            <w:r w:rsidRPr="002408C8">
              <w:rPr>
                <w:rFonts w:cs="Arial"/>
              </w:rPr>
              <w:t xml:space="preserve"> electricity consumed by the electricity consumption source</w:t>
            </w:r>
            <w:r w:rsidR="0033417D">
              <w:rPr>
                <w:rFonts w:cs="Arial"/>
              </w:rPr>
              <w:t> </w:t>
            </w:r>
            <w:r w:rsidRPr="002408C8">
              <w:rPr>
                <w:rFonts w:cs="Arial"/>
                <w:i/>
              </w:rPr>
              <w:t>s</w:t>
            </w:r>
            <w:r w:rsidRPr="002408C8">
              <w:rPr>
                <w:rFonts w:cs="Arial"/>
              </w:rPr>
              <w:t xml:space="preserve"> in the baseline scenario in hour</w:t>
            </w:r>
            <w:r w:rsidR="00D97A6B" w:rsidRPr="002408C8">
              <w:rPr>
                <w:rFonts w:cs="Arial"/>
              </w:rPr>
              <w:t> </w:t>
            </w:r>
            <w:r w:rsidRPr="002408C8">
              <w:rPr>
                <w:rFonts w:cs="Arial"/>
                <w:i/>
                <w:iCs/>
              </w:rPr>
              <w:t>h</w:t>
            </w:r>
            <w:r w:rsidRPr="002408C8">
              <w:rPr>
                <w:rFonts w:cs="Arial"/>
              </w:rPr>
              <w:t xml:space="preserve"> (</w:t>
            </w:r>
            <w:r w:rsidR="00DD74EC" w:rsidRPr="002408C8">
              <w:rPr>
                <w:rFonts w:cs="Arial"/>
              </w:rPr>
              <w:t>t</w:t>
            </w:r>
            <w:r w:rsidR="00D57E54" w:rsidRPr="002408C8">
              <w:rPr>
                <w:rFonts w:cs="Arial"/>
              </w:rPr>
              <w:t> </w:t>
            </w:r>
            <w:r w:rsidR="00DD74EC" w:rsidRPr="002408C8">
              <w:rPr>
                <w:rFonts w:cs="Arial"/>
              </w:rPr>
              <w:t>CO</w:t>
            </w:r>
            <w:r w:rsidR="00DD74EC" w:rsidRPr="002408C8">
              <w:rPr>
                <w:rFonts w:ascii="Cambria Math" w:hAnsi="Cambria Math" w:cs="Cambria Math"/>
              </w:rPr>
              <w:t>₂</w:t>
            </w:r>
            <w:r w:rsidR="006A2647">
              <w:rPr>
                <w:rFonts w:cs="Arial"/>
              </w:rPr>
              <w:t> / </w:t>
            </w:r>
            <w:r w:rsidR="00DD74EC" w:rsidRPr="002408C8">
              <w:rPr>
                <w:rFonts w:cs="Arial"/>
              </w:rPr>
              <w:t>MWh</w:t>
            </w:r>
            <w:r w:rsidRPr="002408C8">
              <w:rPr>
                <w:rFonts w:cs="Arial"/>
              </w:rPr>
              <w:t>)</w:t>
            </w:r>
          </w:p>
        </w:tc>
      </w:tr>
      <w:tr w:rsidR="00E00C00" w:rsidRPr="002408C8" w14:paraId="3226F0B4" w14:textId="77777777" w:rsidTr="00AA7E37">
        <w:tc>
          <w:tcPr>
            <w:tcW w:w="1928" w:type="dxa"/>
            <w:vAlign w:val="top"/>
          </w:tcPr>
          <w:p w14:paraId="5370CD4F" w14:textId="77777777" w:rsidR="00E00C00" w:rsidRPr="00A6576D" w:rsidRDefault="003F6646" w:rsidP="002408C8">
            <w:pPr>
              <w:pStyle w:val="SDMTableBoxParaNotNumbered"/>
              <w:rPr>
                <w:rFonts w:eastAsia="DengXian" w:cs="Arial"/>
              </w:rPr>
            </w:pPr>
            <m:oMathPara>
              <m:oMathParaPr>
                <m:jc m:val="left"/>
              </m:oMathParaPr>
              <m:oMath>
                <m:sSub>
                  <m:sSubPr>
                    <m:ctrlPr>
                      <w:rPr>
                        <w:rFonts w:ascii="Cambria Math" w:hAnsi="Cambria Math" w:cs="Arial"/>
                        <w:i/>
                      </w:rPr>
                    </m:ctrlPr>
                  </m:sSubPr>
                  <m:e>
                    <m:r>
                      <w:rPr>
                        <w:rFonts w:ascii="Cambria Math" w:hAnsi="Cambria Math" w:cs="Arial"/>
                      </w:rPr>
                      <m:t>EF</m:t>
                    </m:r>
                  </m:e>
                  <m:sub>
                    <m:r>
                      <w:rPr>
                        <w:rFonts w:ascii="Cambria Math" w:hAnsi="Cambria Math" w:cs="Arial"/>
                      </w:rPr>
                      <m:t>EG,PJ,s,h</m:t>
                    </m:r>
                  </m:sub>
                </m:sSub>
              </m:oMath>
            </m:oMathPara>
          </w:p>
        </w:tc>
        <w:tc>
          <w:tcPr>
            <w:tcW w:w="345" w:type="dxa"/>
            <w:vAlign w:val="top"/>
          </w:tcPr>
          <w:p w14:paraId="298135C1" w14:textId="77777777" w:rsidR="00E00C00" w:rsidRPr="002408C8" w:rsidRDefault="00E00C00" w:rsidP="002408C8">
            <w:pPr>
              <w:pStyle w:val="SDMTableBoxParaNotNumbered"/>
              <w:rPr>
                <w:rFonts w:cs="Arial"/>
              </w:rPr>
            </w:pPr>
            <w:r w:rsidRPr="002408C8">
              <w:rPr>
                <w:rFonts w:cs="Arial"/>
              </w:rPr>
              <w:t>=</w:t>
            </w:r>
          </w:p>
        </w:tc>
        <w:tc>
          <w:tcPr>
            <w:tcW w:w="0" w:type="auto"/>
            <w:vAlign w:val="top"/>
          </w:tcPr>
          <w:p w14:paraId="5CF806BA" w14:textId="21D4727E" w:rsidR="00E00C00" w:rsidRPr="00780E96" w:rsidRDefault="00E00C00" w:rsidP="002408C8">
            <w:pPr>
              <w:pStyle w:val="SDMTableBoxParaNotNumbered"/>
              <w:rPr>
                <w:rFonts w:cs="Arial"/>
              </w:rPr>
            </w:pPr>
            <w:r w:rsidRPr="00780E96">
              <w:rPr>
                <w:rFonts w:cs="Arial"/>
              </w:rPr>
              <w:t xml:space="preserve">Emission factor </w:t>
            </w:r>
            <w:r w:rsidR="00276147" w:rsidRPr="00780E96">
              <w:rPr>
                <w:rFonts w:cs="Arial"/>
              </w:rPr>
              <w:t>for</w:t>
            </w:r>
            <w:r w:rsidRPr="00780E96">
              <w:rPr>
                <w:rFonts w:cs="Arial"/>
              </w:rPr>
              <w:t xml:space="preserve"> electricity generated by the electricity generation source</w:t>
            </w:r>
            <w:r w:rsidR="0033417D" w:rsidRPr="00780E96">
              <w:rPr>
                <w:rFonts w:cs="Arial"/>
              </w:rPr>
              <w:t> </w:t>
            </w:r>
            <w:r w:rsidRPr="00780E96">
              <w:rPr>
                <w:rFonts w:cs="Arial"/>
              </w:rPr>
              <w:t xml:space="preserve">s in the </w:t>
            </w:r>
            <w:r w:rsidR="0030503C" w:rsidRPr="00780E96">
              <w:rPr>
                <w:rFonts w:cs="Arial"/>
              </w:rPr>
              <w:t xml:space="preserve">activity scenario </w:t>
            </w:r>
            <w:r w:rsidRPr="00780E96">
              <w:rPr>
                <w:rFonts w:cs="Arial"/>
              </w:rPr>
              <w:t xml:space="preserve">in </w:t>
            </w:r>
            <w:r w:rsidR="00647D27" w:rsidRPr="00780E96">
              <w:rPr>
                <w:rFonts w:cs="Arial"/>
              </w:rPr>
              <w:t>hour</w:t>
            </w:r>
            <w:r w:rsidR="00D97A6B" w:rsidRPr="00780E96">
              <w:rPr>
                <w:rFonts w:cs="Arial"/>
              </w:rPr>
              <w:t> </w:t>
            </w:r>
            <w:r w:rsidR="00647D27" w:rsidRPr="00780E96">
              <w:rPr>
                <w:rFonts w:cs="Arial"/>
                <w:i/>
                <w:iCs/>
              </w:rPr>
              <w:t>h</w:t>
            </w:r>
            <w:r w:rsidRPr="00780E96">
              <w:rPr>
                <w:rFonts w:cs="Arial"/>
              </w:rPr>
              <w:t xml:space="preserve"> (</w:t>
            </w:r>
            <w:r w:rsidR="00DD74EC" w:rsidRPr="00780E96">
              <w:rPr>
                <w:rFonts w:cs="Arial"/>
              </w:rPr>
              <w:t>t</w:t>
            </w:r>
            <w:r w:rsidR="00D57E54" w:rsidRPr="00780E96">
              <w:rPr>
                <w:rFonts w:cs="Arial"/>
              </w:rPr>
              <w:t> </w:t>
            </w:r>
            <w:r w:rsidR="00DD74EC" w:rsidRPr="00780E96">
              <w:rPr>
                <w:rFonts w:cs="Arial"/>
              </w:rPr>
              <w:t>CO</w:t>
            </w:r>
            <w:r w:rsidR="00DD74EC" w:rsidRPr="00780E96">
              <w:rPr>
                <w:rFonts w:ascii="Cambria Math" w:hAnsi="Cambria Math" w:cs="Cambria Math"/>
              </w:rPr>
              <w:t>₂</w:t>
            </w:r>
            <w:r w:rsidR="006A2647" w:rsidRPr="00780E96">
              <w:rPr>
                <w:rFonts w:cs="Arial"/>
              </w:rPr>
              <w:t> / </w:t>
            </w:r>
            <w:r w:rsidR="00DD74EC" w:rsidRPr="00780E96">
              <w:rPr>
                <w:rFonts w:cs="Arial"/>
              </w:rPr>
              <w:t>MWh</w:t>
            </w:r>
            <w:r w:rsidRPr="00780E96">
              <w:rPr>
                <w:rFonts w:cs="Arial"/>
              </w:rPr>
              <w:t>)</w:t>
            </w:r>
          </w:p>
        </w:tc>
      </w:tr>
      <w:tr w:rsidR="00B33468" w:rsidRPr="002408C8" w14:paraId="68BACC2C" w14:textId="77777777" w:rsidTr="00AA7E37">
        <w:tc>
          <w:tcPr>
            <w:tcW w:w="1928" w:type="dxa"/>
            <w:vAlign w:val="top"/>
          </w:tcPr>
          <w:p w14:paraId="1AECE8C8" w14:textId="77777777" w:rsidR="00B33468" w:rsidRPr="00A6576D" w:rsidRDefault="003F6646" w:rsidP="002408C8">
            <w:pPr>
              <w:pStyle w:val="SDMTableBoxParaNotNumbered"/>
              <w:rPr>
                <w:rFonts w:cs="Arial"/>
              </w:rPr>
            </w:pPr>
            <m:oMathPara>
              <m:oMathParaPr>
                <m:jc m:val="left"/>
              </m:oMathParaPr>
              <m:oMath>
                <m:sSub>
                  <m:sSubPr>
                    <m:ctrlPr>
                      <w:rPr>
                        <w:rFonts w:ascii="Cambria Math" w:hAnsi="Cambria Math" w:cs="Arial"/>
                        <w:i/>
                      </w:rPr>
                    </m:ctrlPr>
                  </m:sSubPr>
                  <m:e>
                    <m:r>
                      <w:rPr>
                        <w:rFonts w:ascii="Cambria Math" w:hAnsi="Cambria Math" w:cs="Arial"/>
                      </w:rPr>
                      <m:t>EF</m:t>
                    </m:r>
                  </m:e>
                  <m:sub>
                    <m:r>
                      <w:rPr>
                        <w:rFonts w:ascii="Cambria Math" w:hAnsi="Cambria Math" w:cs="Arial"/>
                      </w:rPr>
                      <m:t>EC,PJ,s,h</m:t>
                    </m:r>
                  </m:sub>
                </m:sSub>
              </m:oMath>
            </m:oMathPara>
          </w:p>
        </w:tc>
        <w:tc>
          <w:tcPr>
            <w:tcW w:w="345" w:type="dxa"/>
            <w:vAlign w:val="top"/>
          </w:tcPr>
          <w:p w14:paraId="0DAB0DC3" w14:textId="77777777" w:rsidR="00B33468" w:rsidRPr="002408C8" w:rsidRDefault="00B33468" w:rsidP="002408C8">
            <w:pPr>
              <w:pStyle w:val="SDMTableBoxParaNotNumbered"/>
              <w:rPr>
                <w:rFonts w:cs="Arial"/>
              </w:rPr>
            </w:pPr>
            <w:r w:rsidRPr="002408C8">
              <w:rPr>
                <w:rFonts w:cs="Arial"/>
              </w:rPr>
              <w:t>=</w:t>
            </w:r>
          </w:p>
        </w:tc>
        <w:tc>
          <w:tcPr>
            <w:tcW w:w="0" w:type="auto"/>
            <w:vAlign w:val="top"/>
          </w:tcPr>
          <w:p w14:paraId="763BA1CA" w14:textId="6E38FFFF" w:rsidR="00B33468" w:rsidRPr="00780E96" w:rsidRDefault="00B33468" w:rsidP="002408C8">
            <w:pPr>
              <w:pStyle w:val="SDMTableBoxParaNotNumbered"/>
              <w:rPr>
                <w:rFonts w:cs="Arial"/>
              </w:rPr>
            </w:pPr>
            <w:r w:rsidRPr="00780E96">
              <w:rPr>
                <w:rFonts w:cs="Arial"/>
              </w:rPr>
              <w:t xml:space="preserve">Emission factor </w:t>
            </w:r>
            <w:r w:rsidR="00276147" w:rsidRPr="00780E96">
              <w:rPr>
                <w:rFonts w:cs="Arial"/>
              </w:rPr>
              <w:t>for</w:t>
            </w:r>
            <w:r w:rsidRPr="00780E96">
              <w:rPr>
                <w:rFonts w:cs="Arial"/>
              </w:rPr>
              <w:t xml:space="preserve"> electricity consumed by the electricity consumption source</w:t>
            </w:r>
            <w:r w:rsidR="00D97A6B" w:rsidRPr="00780E96">
              <w:rPr>
                <w:rFonts w:cs="Arial"/>
              </w:rPr>
              <w:t> </w:t>
            </w:r>
            <w:r w:rsidRPr="00780E96">
              <w:rPr>
                <w:rFonts w:cs="Arial"/>
              </w:rPr>
              <w:t xml:space="preserve">s in the </w:t>
            </w:r>
            <w:r w:rsidR="00F30037" w:rsidRPr="00780E96">
              <w:rPr>
                <w:rFonts w:cs="Arial"/>
              </w:rPr>
              <w:t xml:space="preserve">activity scenario </w:t>
            </w:r>
            <w:r w:rsidRPr="00780E96">
              <w:rPr>
                <w:rFonts w:cs="Arial"/>
              </w:rPr>
              <w:t>in hour</w:t>
            </w:r>
            <w:r w:rsidR="00D97A6B" w:rsidRPr="00780E96">
              <w:rPr>
                <w:rFonts w:cs="Arial"/>
              </w:rPr>
              <w:t> </w:t>
            </w:r>
            <w:r w:rsidRPr="00780E96">
              <w:rPr>
                <w:rFonts w:cs="Arial"/>
                <w:i/>
                <w:iCs/>
              </w:rPr>
              <w:t>h</w:t>
            </w:r>
            <w:r w:rsidRPr="00780E96">
              <w:rPr>
                <w:rFonts w:cs="Arial"/>
              </w:rPr>
              <w:t xml:space="preserve"> (</w:t>
            </w:r>
            <w:r w:rsidR="00DD74EC" w:rsidRPr="00780E96">
              <w:rPr>
                <w:rFonts w:cs="Arial"/>
              </w:rPr>
              <w:t>t</w:t>
            </w:r>
            <w:r w:rsidR="00D57E54" w:rsidRPr="00780E96">
              <w:rPr>
                <w:rFonts w:cs="Arial"/>
              </w:rPr>
              <w:t> </w:t>
            </w:r>
            <w:r w:rsidR="00DD74EC" w:rsidRPr="00780E96">
              <w:rPr>
                <w:rFonts w:cs="Arial"/>
              </w:rPr>
              <w:t>CO</w:t>
            </w:r>
            <w:r w:rsidR="00DD74EC" w:rsidRPr="00780E96">
              <w:rPr>
                <w:rFonts w:ascii="Cambria Math" w:hAnsi="Cambria Math" w:cs="Cambria Math"/>
              </w:rPr>
              <w:t>₂</w:t>
            </w:r>
            <w:r w:rsidR="006A2647" w:rsidRPr="00780E96">
              <w:rPr>
                <w:rFonts w:cs="Arial"/>
              </w:rPr>
              <w:t> / </w:t>
            </w:r>
            <w:r w:rsidR="00DD74EC" w:rsidRPr="00780E96">
              <w:rPr>
                <w:rFonts w:cs="Arial"/>
              </w:rPr>
              <w:t>MWh</w:t>
            </w:r>
            <w:r w:rsidRPr="00780E96">
              <w:rPr>
                <w:rFonts w:cs="Arial"/>
              </w:rPr>
              <w:t>)</w:t>
            </w:r>
          </w:p>
        </w:tc>
      </w:tr>
      <w:tr w:rsidR="00E00C00" w:rsidRPr="002408C8" w14:paraId="468F8498" w14:textId="77777777" w:rsidTr="00AA7E37">
        <w:tc>
          <w:tcPr>
            <w:tcW w:w="1928" w:type="dxa"/>
            <w:vAlign w:val="top"/>
          </w:tcPr>
          <w:p w14:paraId="6137B5AF" w14:textId="77777777" w:rsidR="00E00C00" w:rsidRPr="00A6576D" w:rsidRDefault="003F6646" w:rsidP="002408C8">
            <w:pPr>
              <w:pStyle w:val="SDMTableBoxParaNotNumbered"/>
              <w:rPr>
                <w:rFonts w:eastAsia="DengXian" w:cs="Arial"/>
              </w:rPr>
            </w:pPr>
            <m:oMathPara>
              <m:oMathParaPr>
                <m:jc m:val="left"/>
              </m:oMathParaPr>
              <m:oMath>
                <m:sSub>
                  <m:sSubPr>
                    <m:ctrlPr>
                      <w:rPr>
                        <w:rFonts w:ascii="Cambria Math" w:hAnsi="Cambria Math" w:cs="Arial"/>
                        <w:i/>
                      </w:rPr>
                    </m:ctrlPr>
                  </m:sSubPr>
                  <m:e>
                    <m:r>
                      <w:rPr>
                        <w:rFonts w:ascii="Cambria Math" w:hAnsi="Cambria Math" w:cs="Arial"/>
                      </w:rPr>
                      <m:t>F</m:t>
                    </m:r>
                  </m:e>
                  <m:sub>
                    <m:r>
                      <w:rPr>
                        <w:rFonts w:ascii="Cambria Math" w:hAnsi="Cambria Math" w:cs="Arial"/>
                      </w:rPr>
                      <m:t>TDL,s,y</m:t>
                    </m:r>
                  </m:sub>
                </m:sSub>
              </m:oMath>
            </m:oMathPara>
          </w:p>
        </w:tc>
        <w:tc>
          <w:tcPr>
            <w:tcW w:w="345" w:type="dxa"/>
            <w:vAlign w:val="top"/>
          </w:tcPr>
          <w:p w14:paraId="3141E486" w14:textId="77777777" w:rsidR="00E00C00" w:rsidRPr="002408C8" w:rsidRDefault="00E00C00" w:rsidP="002408C8">
            <w:pPr>
              <w:pStyle w:val="SDMTableBoxParaNotNumbered"/>
              <w:rPr>
                <w:rFonts w:cs="Arial"/>
              </w:rPr>
            </w:pPr>
            <w:r w:rsidRPr="002408C8">
              <w:rPr>
                <w:rFonts w:cs="Arial"/>
              </w:rPr>
              <w:t>=</w:t>
            </w:r>
          </w:p>
        </w:tc>
        <w:tc>
          <w:tcPr>
            <w:tcW w:w="0" w:type="auto"/>
            <w:vAlign w:val="top"/>
          </w:tcPr>
          <w:p w14:paraId="47E8BC60" w14:textId="1BC1CAA2" w:rsidR="00E00C00" w:rsidRPr="00780E96" w:rsidRDefault="00E00C00" w:rsidP="002408C8">
            <w:pPr>
              <w:pStyle w:val="SDMTableBoxParaNotNumbered"/>
              <w:rPr>
                <w:rFonts w:eastAsia="MS Mincho" w:cs="Arial"/>
                <w:lang w:eastAsia="ja-JP"/>
              </w:rPr>
            </w:pPr>
            <w:r w:rsidRPr="00780E96">
              <w:rPr>
                <w:rFonts w:cs="Arial"/>
              </w:rPr>
              <w:t xml:space="preserve">Factor </w:t>
            </w:r>
            <w:r w:rsidR="00276147" w:rsidRPr="00780E96">
              <w:rPr>
                <w:rFonts w:cs="Arial"/>
              </w:rPr>
              <w:t>accounting</w:t>
            </w:r>
            <w:r w:rsidRPr="00780E96">
              <w:rPr>
                <w:rFonts w:cs="Arial"/>
              </w:rPr>
              <w:t xml:space="preserve"> for transmission and distribution losses applicable to</w:t>
            </w:r>
            <w:r w:rsidR="002B6F91" w:rsidRPr="00780E96">
              <w:rPr>
                <w:rFonts w:cs="Arial"/>
              </w:rPr>
              <w:t xml:space="preserve"> </w:t>
            </w:r>
            <w:r w:rsidRPr="00780E96">
              <w:rPr>
                <w:rFonts w:cs="Arial"/>
              </w:rPr>
              <w:t>source</w:t>
            </w:r>
            <w:r w:rsidR="00C934E7" w:rsidRPr="00780E96">
              <w:rPr>
                <w:rFonts w:cs="Arial"/>
              </w:rPr>
              <w:t>s</w:t>
            </w:r>
            <w:r w:rsidR="00D97A6B" w:rsidRPr="00780E96">
              <w:rPr>
                <w:rFonts w:cs="Arial"/>
              </w:rPr>
              <w:t> </w:t>
            </w:r>
            <w:r w:rsidRPr="00780E96">
              <w:rPr>
                <w:rFonts w:cs="Arial"/>
              </w:rPr>
              <w:t xml:space="preserve">s in </w:t>
            </w:r>
            <w:r w:rsidR="00F30037" w:rsidRPr="00780E96">
              <w:rPr>
                <w:rFonts w:cs="Arial"/>
              </w:rPr>
              <w:t xml:space="preserve">year </w:t>
            </w:r>
            <w:r w:rsidR="00F30037" w:rsidRPr="00780E96">
              <w:rPr>
                <w:rFonts w:cs="Arial"/>
                <w:i/>
                <w:iCs/>
              </w:rPr>
              <w:t>y</w:t>
            </w:r>
          </w:p>
        </w:tc>
      </w:tr>
      <w:tr w:rsidR="00E00C00" w:rsidRPr="002408C8" w14:paraId="295647CF" w14:textId="77777777" w:rsidTr="00AA7E37">
        <w:tc>
          <w:tcPr>
            <w:tcW w:w="1928" w:type="dxa"/>
            <w:vAlign w:val="top"/>
          </w:tcPr>
          <w:p w14:paraId="0ADE8D45" w14:textId="77777777" w:rsidR="00E00C00" w:rsidRPr="002408C8" w:rsidRDefault="00000DE0" w:rsidP="002408C8">
            <w:pPr>
              <w:pStyle w:val="SDMTableBoxParaNotNumbered"/>
              <w:rPr>
                <w:rFonts w:eastAsia="DengXian" w:cs="Arial"/>
              </w:rPr>
            </w:pPr>
            <m:oMathPara>
              <m:oMathParaPr>
                <m:jc m:val="left"/>
              </m:oMathParaPr>
              <m:oMath>
                <m:r>
                  <w:rPr>
                    <w:rFonts w:ascii="Cambria Math" w:hAnsi="Cambria Math" w:cs="Arial"/>
                  </w:rPr>
                  <m:t>s</m:t>
                </m:r>
              </m:oMath>
            </m:oMathPara>
          </w:p>
        </w:tc>
        <w:tc>
          <w:tcPr>
            <w:tcW w:w="345" w:type="dxa"/>
            <w:vAlign w:val="top"/>
          </w:tcPr>
          <w:p w14:paraId="16DE3F93" w14:textId="77777777" w:rsidR="00E00C00" w:rsidRPr="002408C8" w:rsidRDefault="00E00C00" w:rsidP="002408C8">
            <w:pPr>
              <w:pStyle w:val="SDMTableBoxParaNotNumbered"/>
              <w:rPr>
                <w:rFonts w:cs="Arial"/>
              </w:rPr>
            </w:pPr>
            <w:r w:rsidRPr="002408C8">
              <w:rPr>
                <w:rFonts w:cs="Arial"/>
              </w:rPr>
              <w:t>=</w:t>
            </w:r>
          </w:p>
        </w:tc>
        <w:tc>
          <w:tcPr>
            <w:tcW w:w="0" w:type="auto"/>
            <w:vAlign w:val="top"/>
          </w:tcPr>
          <w:p w14:paraId="6739A405" w14:textId="77777777" w:rsidR="00E00C00" w:rsidRPr="00780E96" w:rsidRDefault="00E00C00" w:rsidP="002408C8">
            <w:pPr>
              <w:pStyle w:val="SDMTableBoxParaNotNumbered"/>
              <w:rPr>
                <w:rFonts w:cs="Arial"/>
              </w:rPr>
            </w:pPr>
            <w:r w:rsidRPr="00780E96">
              <w:rPr>
                <w:rFonts w:cs="Arial"/>
              </w:rPr>
              <w:t>Relevant electricity generation or consumption sources</w:t>
            </w:r>
          </w:p>
        </w:tc>
      </w:tr>
      <w:tr w:rsidR="00E00C00" w:rsidRPr="002408C8" w14:paraId="5E598860" w14:textId="77777777" w:rsidTr="00AA7E37">
        <w:tc>
          <w:tcPr>
            <w:tcW w:w="1928" w:type="dxa"/>
            <w:vAlign w:val="top"/>
          </w:tcPr>
          <w:p w14:paraId="6E0D8A91" w14:textId="4C1F56B8" w:rsidR="00E00C00" w:rsidRPr="002408C8" w:rsidRDefault="00044B6E" w:rsidP="002408C8">
            <w:pPr>
              <w:pStyle w:val="SDMTableBoxParaNotNumbered"/>
              <w:rPr>
                <w:rFonts w:eastAsia="DengXian" w:cs="Arial"/>
              </w:rPr>
            </w:pPr>
            <m:oMathPara>
              <m:oMathParaPr>
                <m:jc m:val="left"/>
              </m:oMathParaPr>
              <m:oMath>
                <m:r>
                  <w:rPr>
                    <w:rFonts w:ascii="Cambria Math" w:eastAsia="DengXian" w:hAnsi="Cambria Math" w:cs="Arial"/>
                  </w:rPr>
                  <m:t>h</m:t>
                </m:r>
              </m:oMath>
            </m:oMathPara>
          </w:p>
        </w:tc>
        <w:tc>
          <w:tcPr>
            <w:tcW w:w="345" w:type="dxa"/>
            <w:vAlign w:val="top"/>
          </w:tcPr>
          <w:p w14:paraId="1889C9A0" w14:textId="77777777" w:rsidR="00E00C00" w:rsidRPr="002408C8" w:rsidRDefault="00E00C00" w:rsidP="002408C8">
            <w:pPr>
              <w:pStyle w:val="SDMTableBoxParaNotNumbered"/>
              <w:rPr>
                <w:rFonts w:cs="Arial"/>
              </w:rPr>
            </w:pPr>
            <w:r w:rsidRPr="002408C8">
              <w:rPr>
                <w:rFonts w:eastAsiaTheme="minorEastAsia" w:cs="Arial"/>
                <w:lang w:eastAsia="zh-CN"/>
              </w:rPr>
              <w:t>=</w:t>
            </w:r>
          </w:p>
        </w:tc>
        <w:tc>
          <w:tcPr>
            <w:tcW w:w="0" w:type="auto"/>
            <w:vAlign w:val="top"/>
          </w:tcPr>
          <w:p w14:paraId="7908B6CB" w14:textId="718792CD" w:rsidR="00E00C00" w:rsidRPr="002408C8" w:rsidRDefault="00D67F2F" w:rsidP="002408C8">
            <w:pPr>
              <w:pStyle w:val="SDMTableBoxParaNotNumbered"/>
              <w:rPr>
                <w:rFonts w:cs="Arial"/>
              </w:rPr>
            </w:pPr>
            <w:r w:rsidRPr="002408C8">
              <w:rPr>
                <w:rFonts w:eastAsiaTheme="minorEastAsia" w:cs="Arial"/>
                <w:lang w:eastAsia="zh-CN"/>
              </w:rPr>
              <w:t xml:space="preserve">All hours </w:t>
            </w:r>
            <w:r w:rsidR="00125CEB" w:rsidRPr="002408C8">
              <w:rPr>
                <w:rFonts w:eastAsiaTheme="minorEastAsia" w:cs="Arial"/>
                <w:lang w:eastAsia="zh-CN"/>
              </w:rPr>
              <w:t xml:space="preserve">within </w:t>
            </w:r>
            <w:r w:rsidR="00647D27" w:rsidRPr="002408C8">
              <w:rPr>
                <w:rFonts w:eastAsiaTheme="minorEastAsia" w:cs="Arial"/>
                <w:lang w:eastAsia="zh-CN"/>
              </w:rPr>
              <w:t xml:space="preserve">the </w:t>
            </w:r>
            <w:r w:rsidR="00C934E7" w:rsidRPr="002408C8">
              <w:rPr>
                <w:rFonts w:eastAsiaTheme="minorEastAsia" w:cs="Arial"/>
                <w:lang w:eastAsia="zh-CN"/>
              </w:rPr>
              <w:t xml:space="preserve">calendar </w:t>
            </w:r>
            <w:r w:rsidR="00647D27" w:rsidRPr="002408C8">
              <w:rPr>
                <w:rFonts w:eastAsiaTheme="minorEastAsia" w:cs="Arial"/>
                <w:lang w:eastAsia="zh-CN"/>
              </w:rPr>
              <w:t>year</w:t>
            </w:r>
            <w:r w:rsidR="00D97A6B" w:rsidRPr="002408C8">
              <w:rPr>
                <w:rFonts w:eastAsiaTheme="minorEastAsia" w:cs="Arial"/>
                <w:lang w:eastAsia="zh-CN"/>
              </w:rPr>
              <w:t> </w:t>
            </w:r>
            <w:r w:rsidR="00647D27" w:rsidRPr="002408C8">
              <w:rPr>
                <w:rFonts w:eastAsiaTheme="minorEastAsia" w:cs="Arial"/>
                <w:i/>
                <w:iCs/>
                <w:lang w:eastAsia="zh-CN"/>
              </w:rPr>
              <w:t>y</w:t>
            </w:r>
          </w:p>
        </w:tc>
      </w:tr>
      <w:tr w:rsidR="00E00C00" w:rsidRPr="002408C8" w14:paraId="2935A8BE" w14:textId="77777777" w:rsidTr="00AA7E37">
        <w:tc>
          <w:tcPr>
            <w:tcW w:w="1928" w:type="dxa"/>
            <w:vAlign w:val="top"/>
          </w:tcPr>
          <w:p w14:paraId="2BD1A3D1" w14:textId="77777777" w:rsidR="00E00C00" w:rsidRPr="002408C8" w:rsidRDefault="00000DE0" w:rsidP="002408C8">
            <w:pPr>
              <w:pStyle w:val="SDMTableBoxParaNotNumbered"/>
              <w:rPr>
                <w:rFonts w:eastAsia="DengXian" w:cs="Arial"/>
              </w:rPr>
            </w:pPr>
            <m:oMathPara>
              <m:oMathParaPr>
                <m:jc m:val="left"/>
              </m:oMathParaPr>
              <m:oMath>
                <m:r>
                  <w:rPr>
                    <w:rFonts w:ascii="Cambria Math" w:hAnsi="Cambria Math" w:cs="Arial"/>
                  </w:rPr>
                  <m:t>y</m:t>
                </m:r>
              </m:oMath>
            </m:oMathPara>
          </w:p>
        </w:tc>
        <w:tc>
          <w:tcPr>
            <w:tcW w:w="345" w:type="dxa"/>
            <w:vAlign w:val="top"/>
          </w:tcPr>
          <w:p w14:paraId="248653B5" w14:textId="77777777" w:rsidR="00E00C00" w:rsidRPr="002408C8" w:rsidRDefault="00E00C00" w:rsidP="002408C8">
            <w:pPr>
              <w:pStyle w:val="SDMTableBoxParaNotNumbered"/>
              <w:rPr>
                <w:rFonts w:cs="Arial"/>
              </w:rPr>
            </w:pPr>
            <w:r w:rsidRPr="002408C8">
              <w:rPr>
                <w:rFonts w:eastAsiaTheme="minorEastAsia" w:cs="Arial"/>
                <w:lang w:eastAsia="zh-CN"/>
              </w:rPr>
              <w:t>=</w:t>
            </w:r>
          </w:p>
        </w:tc>
        <w:tc>
          <w:tcPr>
            <w:tcW w:w="0" w:type="auto"/>
            <w:vAlign w:val="top"/>
          </w:tcPr>
          <w:p w14:paraId="504604DE" w14:textId="77777777" w:rsidR="00E00C00" w:rsidRPr="002408C8" w:rsidRDefault="00E00C00" w:rsidP="002408C8">
            <w:pPr>
              <w:pStyle w:val="SDMTableBoxParaNotNumbered"/>
              <w:rPr>
                <w:rFonts w:cs="Arial"/>
              </w:rPr>
            </w:pPr>
            <w:r w:rsidRPr="002408C8">
              <w:rPr>
                <w:rFonts w:eastAsiaTheme="minorEastAsia" w:cs="Arial"/>
                <w:lang w:eastAsia="zh-CN"/>
              </w:rPr>
              <w:t>Calendar year of the crediting period for which emission reductions are determined</w:t>
            </w:r>
          </w:p>
        </w:tc>
      </w:tr>
    </w:tbl>
    <w:p w14:paraId="0A9750AD" w14:textId="0FA4579A" w:rsidR="0BBB0979" w:rsidRDefault="0BBB0979">
      <w:pPr>
        <w:pStyle w:val="SDMHead2"/>
        <w:rPr>
          <w:rFonts w:eastAsia="Arial"/>
          <w:bCs/>
        </w:rPr>
      </w:pPr>
      <w:bookmarkStart w:id="871" w:name="_Toc215923337"/>
      <w:bookmarkStart w:id="872" w:name="_Toc216093033"/>
      <w:bookmarkStart w:id="873" w:name="_Ref216179302"/>
      <w:bookmarkStart w:id="874" w:name="_Toc216271762"/>
      <w:bookmarkStart w:id="875" w:name="_Toc216279379"/>
      <w:bookmarkStart w:id="876" w:name="_Toc216283417"/>
      <w:bookmarkStart w:id="877" w:name="_Toc216288035"/>
      <w:bookmarkStart w:id="878" w:name="_Toc219666142"/>
      <w:bookmarkStart w:id="879" w:name="_Toc220001402"/>
      <w:bookmarkStart w:id="880" w:name="_Ref221038823"/>
      <w:bookmarkStart w:id="881" w:name="_Toc221096426"/>
      <w:bookmarkStart w:id="882" w:name="_Toc221097978"/>
      <w:bookmarkStart w:id="883" w:name="_Toc221116274"/>
      <w:bookmarkStart w:id="884" w:name="_Toc221117290"/>
      <w:bookmarkStart w:id="885" w:name="_Toc222132128"/>
      <w:bookmarkStart w:id="886" w:name="_Toc222494929"/>
      <w:bookmarkStart w:id="887" w:name="_Toc222512445"/>
      <w:bookmarkStart w:id="888" w:name="_Toc222741765"/>
      <w:bookmarkStart w:id="889" w:name="_Toc234853846"/>
      <w:bookmarkStart w:id="890" w:name="_Toc235002284"/>
      <w:bookmarkStart w:id="891" w:name="_Toc235003443"/>
      <w:bookmarkStart w:id="892" w:name="_Toc236154240"/>
      <w:bookmarkStart w:id="893" w:name="_Toc236216617"/>
      <w:bookmarkStart w:id="894" w:name="_Ref240301548"/>
      <w:bookmarkStart w:id="895" w:name="_Ref240301908"/>
      <w:bookmarkStart w:id="896" w:name="_Toc240545105"/>
      <w:bookmarkStart w:id="897" w:name="_Toc240545321"/>
      <w:bookmarkStart w:id="898" w:name="_Toc240576903"/>
      <w:r w:rsidRPr="65ED4667">
        <w:rPr>
          <w:rFonts w:eastAsia="Arial"/>
          <w:bCs/>
        </w:rPr>
        <w:t>Uncertainty determination</w:t>
      </w:r>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p>
    <w:p w14:paraId="69FEB38B" w14:textId="25FEAF50" w:rsidR="00CA53C1" w:rsidRDefault="00CA53C1">
      <w:pPr>
        <w:pStyle w:val="SDMPara"/>
        <w:rPr>
          <w:rFonts w:eastAsia="Arial"/>
        </w:rPr>
      </w:pPr>
      <w:r>
        <w:rPr>
          <w:rFonts w:eastAsia="Arial"/>
        </w:rPr>
        <w:t xml:space="preserve">Activity participants shall determine the uncertainty </w:t>
      </w:r>
      <w:r w:rsidR="00924ACF">
        <w:rPr>
          <w:rFonts w:eastAsia="Arial"/>
        </w:rPr>
        <w:t>of the emissions</w:t>
      </w:r>
      <w:r w:rsidR="002643BB">
        <w:rPr>
          <w:rFonts w:eastAsia="Arial"/>
        </w:rPr>
        <w:t xml:space="preserve"> or emission factors</w:t>
      </w:r>
      <w:r w:rsidR="00924ACF">
        <w:rPr>
          <w:rFonts w:eastAsia="Arial"/>
        </w:rPr>
        <w:t xml:space="preserve"> </w:t>
      </w:r>
      <w:r w:rsidR="006D47BC">
        <w:rPr>
          <w:rFonts w:eastAsia="Arial"/>
        </w:rPr>
        <w:t>from</w:t>
      </w:r>
      <w:r w:rsidR="00924ACF">
        <w:rPr>
          <w:rFonts w:eastAsia="Arial"/>
        </w:rPr>
        <w:t xml:space="preserve"> electricity generation and/or consumption</w:t>
      </w:r>
      <w:r w:rsidR="00E52ADE">
        <w:rPr>
          <w:rFonts w:eastAsia="Arial"/>
        </w:rPr>
        <w:t>,</w:t>
      </w:r>
      <w:r w:rsidR="00924ACF">
        <w:rPr>
          <w:rFonts w:eastAsia="Arial"/>
        </w:rPr>
        <w:t xml:space="preserve"> unless otherwise specified by the mechanism methodology referring to this tool.</w:t>
      </w:r>
      <w:r w:rsidR="00226627">
        <w:rPr>
          <w:rFonts w:eastAsia="Arial"/>
        </w:rPr>
        <w:t xml:space="preserve"> The </w:t>
      </w:r>
      <w:r w:rsidR="00B95DB3">
        <w:rPr>
          <w:rFonts w:eastAsia="Arial"/>
        </w:rPr>
        <w:t xml:space="preserve">determined </w:t>
      </w:r>
      <w:r w:rsidR="00226627">
        <w:rPr>
          <w:rFonts w:eastAsia="Arial"/>
        </w:rPr>
        <w:t>uncertainty shall then be used in the calculation</w:t>
      </w:r>
      <w:r w:rsidR="00B95DB3">
        <w:rPr>
          <w:rFonts w:eastAsia="Arial"/>
        </w:rPr>
        <w:t>s</w:t>
      </w:r>
      <w:r w:rsidR="00226627">
        <w:rPr>
          <w:rFonts w:eastAsia="Arial"/>
        </w:rPr>
        <w:t>, as specified by the mechanism methodology.</w:t>
      </w:r>
    </w:p>
    <w:p w14:paraId="6B3ACC43" w14:textId="126F4967" w:rsidR="0BBB0979" w:rsidRPr="00C16DC3" w:rsidRDefault="56DC65DE">
      <w:pPr>
        <w:pStyle w:val="SDMPara"/>
        <w:rPr>
          <w:rFonts w:eastAsia="Arial"/>
        </w:rPr>
      </w:pPr>
      <w:r w:rsidRPr="0084485C">
        <w:t>The</w:t>
      </w:r>
      <w:r w:rsidRPr="3C60DA00">
        <w:rPr>
          <w:rFonts w:eastAsia="Arial"/>
        </w:rPr>
        <w:t xml:space="preserve"> uncertainty shall be determined by considering the uncertainty </w:t>
      </w:r>
      <w:r w:rsidR="00046AAA">
        <w:rPr>
          <w:rFonts w:eastAsia="Arial"/>
        </w:rPr>
        <w:t>associated with the</w:t>
      </w:r>
      <w:r w:rsidR="00046AAA" w:rsidRPr="3C60DA00">
        <w:rPr>
          <w:rFonts w:eastAsia="Arial"/>
        </w:rPr>
        <w:t xml:space="preserve"> </w:t>
      </w:r>
      <w:r w:rsidRPr="3C60DA00">
        <w:rPr>
          <w:rFonts w:eastAsia="Arial"/>
        </w:rPr>
        <w:t>method</w:t>
      </w:r>
      <w:r w:rsidR="002706F5">
        <w:rPr>
          <w:rFonts w:eastAsia="Arial"/>
        </w:rPr>
        <w:t>s</w:t>
      </w:r>
      <w:r w:rsidRPr="3C60DA00">
        <w:rPr>
          <w:rFonts w:eastAsia="Arial"/>
        </w:rPr>
        <w:t xml:space="preserve">, </w:t>
      </w:r>
      <w:r w:rsidR="005B0A4F">
        <w:rPr>
          <w:rFonts w:eastAsia="Arial"/>
        </w:rPr>
        <w:t>assumptions,</w:t>
      </w:r>
      <w:r w:rsidR="00A35DA7">
        <w:rPr>
          <w:rFonts w:eastAsia="Arial"/>
        </w:rPr>
        <w:t xml:space="preserve"> </w:t>
      </w:r>
      <w:r w:rsidRPr="3C60DA00">
        <w:rPr>
          <w:rFonts w:eastAsia="Arial"/>
        </w:rPr>
        <w:t>data</w:t>
      </w:r>
      <w:r w:rsidR="006756B2">
        <w:rPr>
          <w:rFonts w:eastAsia="Arial"/>
        </w:rPr>
        <w:t>,</w:t>
      </w:r>
      <w:r w:rsidRPr="3C60DA00">
        <w:rPr>
          <w:rFonts w:eastAsia="Arial"/>
        </w:rPr>
        <w:t xml:space="preserve"> and measurements </w:t>
      </w:r>
      <w:r w:rsidR="00A35DA7" w:rsidRPr="6BC00673">
        <w:rPr>
          <w:rFonts w:eastAsia="Arial"/>
        </w:rPr>
        <w:t>used</w:t>
      </w:r>
      <w:r w:rsidRPr="3C60DA00">
        <w:rPr>
          <w:rFonts w:eastAsia="Arial"/>
        </w:rPr>
        <w:t>, following the guidance of Volume</w:t>
      </w:r>
      <w:r w:rsidR="00B23B70">
        <w:rPr>
          <w:rFonts w:eastAsia="Arial"/>
        </w:rPr>
        <w:t> </w:t>
      </w:r>
      <w:r w:rsidRPr="3C60DA00">
        <w:rPr>
          <w:rFonts w:eastAsia="Arial"/>
        </w:rPr>
        <w:t>1, Chapter</w:t>
      </w:r>
      <w:r w:rsidR="00B23B70">
        <w:rPr>
          <w:rFonts w:eastAsia="Arial"/>
        </w:rPr>
        <w:t> </w:t>
      </w:r>
      <w:r w:rsidRPr="3C60DA00">
        <w:rPr>
          <w:rFonts w:eastAsia="Arial"/>
        </w:rPr>
        <w:t xml:space="preserve">3 of the 2019 </w:t>
      </w:r>
      <w:r w:rsidR="00841EB4">
        <w:rPr>
          <w:rFonts w:eastAsia="Arial"/>
        </w:rPr>
        <w:t>R</w:t>
      </w:r>
      <w:r w:rsidR="00841EB4" w:rsidRPr="3C60DA00">
        <w:rPr>
          <w:rFonts w:eastAsia="Arial"/>
        </w:rPr>
        <w:t>efinement</w:t>
      </w:r>
      <w:r w:rsidR="00AE7385">
        <w:rPr>
          <w:rFonts w:eastAsia="Arial"/>
        </w:rPr>
        <w:t xml:space="preserve"> of the 2006 IPCC Guidelines</w:t>
      </w:r>
      <w:r w:rsidRPr="3C60DA00">
        <w:rPr>
          <w:rFonts w:eastAsia="Arial"/>
        </w:rPr>
        <w:t xml:space="preserve">. The uncertainty shall be expressed as the standard error of the mean </w:t>
      </w:r>
      <w:r w:rsidR="5A10A1D3" w:rsidRPr="00BE10EB">
        <w:rPr>
          <w:rFonts w:eastAsia="Arial"/>
        </w:rPr>
        <w:t>and incorporated into the uncertainty calculations</w:t>
      </w:r>
      <w:r w:rsidR="5A10A1D3" w:rsidRPr="00C865D3">
        <w:rPr>
          <w:rFonts w:eastAsia="Arial"/>
        </w:rPr>
        <w:t xml:space="preserve"> </w:t>
      </w:r>
      <w:r w:rsidR="47C3743A" w:rsidRPr="00C865D3">
        <w:rPr>
          <w:rFonts w:eastAsia="Arial"/>
        </w:rPr>
        <w:t>as specified by</w:t>
      </w:r>
      <w:r w:rsidR="5A10A1D3" w:rsidRPr="00C865D3">
        <w:rPr>
          <w:rFonts w:eastAsia="Arial"/>
        </w:rPr>
        <w:t xml:space="preserve"> the mechanism methodology.</w:t>
      </w:r>
      <w:r w:rsidR="5A10A1D3">
        <w:rPr>
          <w:rFonts w:eastAsia="Arial"/>
        </w:rPr>
        <w:t xml:space="preserve"> </w:t>
      </w:r>
      <w:r w:rsidRPr="3C60DA00">
        <w:rPr>
          <w:rFonts w:eastAsia="Arial"/>
        </w:rPr>
        <w:t xml:space="preserve">For </w:t>
      </w:r>
      <w:r w:rsidR="007F24E2">
        <w:rPr>
          <w:rFonts w:eastAsia="Arial"/>
        </w:rPr>
        <w:t>both</w:t>
      </w:r>
      <w:r w:rsidRPr="3C60DA00" w:rsidDel="000A4A25">
        <w:rPr>
          <w:rFonts w:eastAsia="Arial"/>
        </w:rPr>
        <w:t xml:space="preserve"> </w:t>
      </w:r>
      <w:r w:rsidR="000A4A25" w:rsidRPr="000A4A25">
        <w:rPr>
          <w:rFonts w:eastAsia="Arial"/>
          <w:b/>
          <w:bCs/>
        </w:rPr>
        <w:t>case</w:t>
      </w:r>
      <w:r w:rsidR="00B63033">
        <w:rPr>
          <w:rFonts w:eastAsia="Arial"/>
          <w:b/>
          <w:bCs/>
        </w:rPr>
        <w:t> </w:t>
      </w:r>
      <w:r w:rsidRPr="000A4A25">
        <w:rPr>
          <w:rFonts w:eastAsia="Arial"/>
          <w:b/>
          <w:bCs/>
        </w:rPr>
        <w:t>1</w:t>
      </w:r>
      <w:r w:rsidRPr="3C60DA00">
        <w:rPr>
          <w:rFonts w:eastAsia="Arial"/>
        </w:rPr>
        <w:t xml:space="preserve"> and </w:t>
      </w:r>
      <w:r w:rsidR="000A4A25" w:rsidRPr="000A4A25">
        <w:rPr>
          <w:rFonts w:eastAsia="Arial"/>
          <w:b/>
          <w:bCs/>
        </w:rPr>
        <w:t>case</w:t>
      </w:r>
      <w:r w:rsidR="00B63033">
        <w:rPr>
          <w:rFonts w:eastAsia="Arial"/>
          <w:b/>
          <w:bCs/>
        </w:rPr>
        <w:t> </w:t>
      </w:r>
      <w:r w:rsidRPr="000A4A25">
        <w:rPr>
          <w:rFonts w:eastAsia="Arial"/>
          <w:b/>
          <w:bCs/>
        </w:rPr>
        <w:t>2</w:t>
      </w:r>
      <w:r w:rsidRPr="3C60DA00">
        <w:rPr>
          <w:rFonts w:eastAsia="Arial"/>
        </w:rPr>
        <w:t xml:space="preserve">, the upper and </w:t>
      </w:r>
      <w:r w:rsidR="007F24E2">
        <w:rPr>
          <w:rFonts w:eastAsia="Arial"/>
        </w:rPr>
        <w:t>the</w:t>
      </w:r>
      <w:r w:rsidRPr="3C60DA00">
        <w:rPr>
          <w:rFonts w:eastAsia="Arial"/>
        </w:rPr>
        <w:t xml:space="preserve"> lower bound of the uncertainty </w:t>
      </w:r>
      <w:r w:rsidR="004F0E88" w:rsidRPr="6BC00673">
        <w:rPr>
          <w:rFonts w:eastAsia="Arial"/>
        </w:rPr>
        <w:t>at</w:t>
      </w:r>
      <w:r w:rsidRPr="3C60DA00" w:rsidDel="005856D1">
        <w:rPr>
          <w:rFonts w:eastAsia="Arial"/>
        </w:rPr>
        <w:t xml:space="preserve"> </w:t>
      </w:r>
      <w:r w:rsidR="005856D1">
        <w:rPr>
          <w:rFonts w:eastAsia="Arial"/>
        </w:rPr>
        <w:t>a</w:t>
      </w:r>
      <w:r w:rsidR="005856D1" w:rsidRPr="3C60DA00">
        <w:rPr>
          <w:rFonts w:eastAsia="Arial"/>
        </w:rPr>
        <w:t xml:space="preserve"> </w:t>
      </w:r>
      <w:r w:rsidRPr="3C60DA00">
        <w:rPr>
          <w:rFonts w:eastAsia="Arial"/>
        </w:rPr>
        <w:t>95 per</w:t>
      </w:r>
      <w:r w:rsidR="000A4A25">
        <w:rPr>
          <w:rFonts w:eastAsia="Arial"/>
        </w:rPr>
        <w:t xml:space="preserve"> </w:t>
      </w:r>
      <w:r w:rsidRPr="3C60DA00">
        <w:rPr>
          <w:rFonts w:eastAsia="Arial"/>
        </w:rPr>
        <w:t xml:space="preserve">cent confidence interval shall be </w:t>
      </w:r>
      <w:r w:rsidR="007F24E2">
        <w:rPr>
          <w:rFonts w:eastAsia="Arial"/>
        </w:rPr>
        <w:t>specified</w:t>
      </w:r>
      <w:r w:rsidRPr="3C60DA00">
        <w:rPr>
          <w:rFonts w:eastAsia="Arial"/>
        </w:rPr>
        <w:t>.</w:t>
      </w:r>
    </w:p>
    <w:p w14:paraId="49BB0E57" w14:textId="77777777" w:rsidR="152A3BA4" w:rsidRDefault="0002236A" w:rsidP="00F62D64">
      <w:pPr>
        <w:pStyle w:val="SDMPara"/>
        <w:keepNext/>
        <w:rPr>
          <w:rFonts w:eastAsia="Arial"/>
        </w:rPr>
      </w:pPr>
      <w:r>
        <w:rPr>
          <w:rFonts w:eastAsia="Arial"/>
        </w:rPr>
        <w:t xml:space="preserve">Specifically, </w:t>
      </w:r>
      <w:r w:rsidRPr="6BC00673">
        <w:rPr>
          <w:rFonts w:eastAsia="Arial"/>
        </w:rPr>
        <w:t>t</w:t>
      </w:r>
      <w:r w:rsidR="152A3BA4" w:rsidRPr="6BC00673">
        <w:rPr>
          <w:rFonts w:eastAsia="Arial"/>
        </w:rPr>
        <w:t xml:space="preserve">he </w:t>
      </w:r>
      <w:r w:rsidR="009B5AFC">
        <w:rPr>
          <w:rFonts w:eastAsia="Arial"/>
        </w:rPr>
        <w:t xml:space="preserve">following sources of </w:t>
      </w:r>
      <w:r w:rsidR="152A3BA4" w:rsidRPr="3C60DA00">
        <w:rPr>
          <w:rFonts w:eastAsia="Arial"/>
        </w:rPr>
        <w:t>uncertainty shall be consider</w:t>
      </w:r>
      <w:r w:rsidR="009B5AFC">
        <w:rPr>
          <w:rFonts w:eastAsia="Arial"/>
        </w:rPr>
        <w:t>ed</w:t>
      </w:r>
      <w:r w:rsidR="00E7553E">
        <w:rPr>
          <w:rFonts w:eastAsia="Arial"/>
        </w:rPr>
        <w:t xml:space="preserve"> in the quantification of </w:t>
      </w:r>
      <w:r w:rsidR="00E7553E" w:rsidRPr="6BC00673">
        <w:rPr>
          <w:rFonts w:eastAsia="Arial"/>
        </w:rPr>
        <w:t>uncertainty</w:t>
      </w:r>
      <w:r w:rsidR="152A3BA4" w:rsidRPr="3C60DA00">
        <w:rPr>
          <w:rFonts w:eastAsia="Arial"/>
        </w:rPr>
        <w:t>:</w:t>
      </w:r>
    </w:p>
    <w:p w14:paraId="2821FDF1" w14:textId="0A4BBB15" w:rsidR="152A3BA4" w:rsidRDefault="000A4A25" w:rsidP="00F62D64">
      <w:pPr>
        <w:pStyle w:val="SDMSubPara1"/>
        <w:keepNext/>
        <w:rPr>
          <w:rFonts w:eastAsia="Arial"/>
        </w:rPr>
      </w:pPr>
      <w:r w:rsidRPr="000A4A25">
        <w:rPr>
          <w:rFonts w:eastAsia="Arial"/>
          <w:b/>
          <w:bCs/>
        </w:rPr>
        <w:t>U</w:t>
      </w:r>
      <w:r w:rsidR="152A3BA4" w:rsidRPr="000A4A25">
        <w:rPr>
          <w:rFonts w:eastAsia="Arial"/>
          <w:b/>
          <w:bCs/>
        </w:rPr>
        <w:t>ncertainty of input data</w:t>
      </w:r>
      <w:r w:rsidR="00D02644">
        <w:rPr>
          <w:rFonts w:eastAsia="Arial"/>
        </w:rPr>
        <w:t>,</w:t>
      </w:r>
      <w:r w:rsidR="152A3BA4" w:rsidRPr="3C60DA00" w:rsidDel="00D02644">
        <w:rPr>
          <w:rFonts w:eastAsia="Arial"/>
        </w:rPr>
        <w:t xml:space="preserve"> </w:t>
      </w:r>
      <w:r w:rsidR="00D02644" w:rsidRPr="3C60DA00">
        <w:rPr>
          <w:rFonts w:eastAsia="Arial"/>
        </w:rPr>
        <w:t>includ</w:t>
      </w:r>
      <w:r w:rsidR="00D02644">
        <w:rPr>
          <w:rFonts w:eastAsia="Arial"/>
        </w:rPr>
        <w:t>ing</w:t>
      </w:r>
      <w:r w:rsidR="00D02644" w:rsidRPr="3C60DA00">
        <w:rPr>
          <w:rFonts w:eastAsia="Arial"/>
        </w:rPr>
        <w:t xml:space="preserve"> </w:t>
      </w:r>
      <w:r w:rsidR="152A3BA4" w:rsidRPr="3C60DA00">
        <w:rPr>
          <w:rFonts w:eastAsia="Arial"/>
        </w:rPr>
        <w:t xml:space="preserve">the uncertainty </w:t>
      </w:r>
      <w:r w:rsidR="002F51D8">
        <w:rPr>
          <w:rFonts w:eastAsia="Arial"/>
        </w:rPr>
        <w:t xml:space="preserve">associated with </w:t>
      </w:r>
      <w:r w:rsidR="152A3BA4" w:rsidRPr="3C60DA00">
        <w:rPr>
          <w:rFonts w:eastAsia="Arial"/>
        </w:rPr>
        <w:t>measurement</w:t>
      </w:r>
      <w:r w:rsidR="002F51D8">
        <w:rPr>
          <w:rFonts w:eastAsia="Arial"/>
        </w:rPr>
        <w:t>s</w:t>
      </w:r>
      <w:r w:rsidR="152A3BA4" w:rsidRPr="3C60DA00">
        <w:rPr>
          <w:rFonts w:eastAsia="Arial"/>
        </w:rPr>
        <w:t xml:space="preserve"> </w:t>
      </w:r>
      <w:r w:rsidR="00465163">
        <w:rPr>
          <w:rFonts w:eastAsia="Arial"/>
        </w:rPr>
        <w:t xml:space="preserve">or default values </w:t>
      </w:r>
      <w:r w:rsidR="00E7553E">
        <w:rPr>
          <w:rFonts w:eastAsia="Arial"/>
        </w:rPr>
        <w:t xml:space="preserve">(unless the default values explicitly represent conservative default values) </w:t>
      </w:r>
      <w:r w:rsidR="152A3BA4" w:rsidRPr="6BC00673">
        <w:rPr>
          <w:rFonts w:eastAsia="Arial"/>
        </w:rPr>
        <w:t>used</w:t>
      </w:r>
      <w:r w:rsidR="152A3BA4" w:rsidRPr="3C60DA00" w:rsidDel="00F0214C">
        <w:rPr>
          <w:rFonts w:eastAsia="Arial"/>
        </w:rPr>
        <w:t xml:space="preserve"> </w:t>
      </w:r>
      <w:r w:rsidR="00F0214C">
        <w:rPr>
          <w:rFonts w:eastAsia="Arial"/>
        </w:rPr>
        <w:t>in</w:t>
      </w:r>
      <w:r w:rsidR="00F0214C" w:rsidRPr="3C60DA00">
        <w:rPr>
          <w:rFonts w:eastAsia="Arial"/>
        </w:rPr>
        <w:t xml:space="preserve"> </w:t>
      </w:r>
      <w:r w:rsidR="152A3BA4" w:rsidRPr="3C60DA00">
        <w:rPr>
          <w:rFonts w:eastAsia="Arial"/>
        </w:rPr>
        <w:t>the</w:t>
      </w:r>
      <w:r w:rsidR="00DC7A51">
        <w:rPr>
          <w:rFonts w:eastAsia="Arial"/>
        </w:rPr>
        <w:t xml:space="preserve"> calculation</w:t>
      </w:r>
      <w:r w:rsidR="00D40E58">
        <w:rPr>
          <w:rFonts w:eastAsia="Arial"/>
        </w:rPr>
        <w:t>s</w:t>
      </w:r>
      <w:r w:rsidR="152A3BA4" w:rsidRPr="6BC00673">
        <w:rPr>
          <w:rFonts w:eastAsia="Arial"/>
        </w:rPr>
        <w:t>.</w:t>
      </w:r>
      <w:r w:rsidR="152A3BA4" w:rsidRPr="3C60DA00">
        <w:rPr>
          <w:rFonts w:eastAsia="Arial"/>
        </w:rPr>
        <w:t xml:space="preserve"> Such data include:</w:t>
      </w:r>
    </w:p>
    <w:p w14:paraId="3B17D454" w14:textId="2FB1F5FD" w:rsidR="152A3BA4" w:rsidRPr="00F65332" w:rsidRDefault="00026EDA" w:rsidP="00B15AC9">
      <w:pPr>
        <w:pStyle w:val="SDMSubPara2"/>
      </w:pPr>
      <w:r w:rsidRPr="00A048B4">
        <w:t>D</w:t>
      </w:r>
      <w:r w:rsidR="74BB0366" w:rsidRPr="000F7724">
        <w:t xml:space="preserve">ata </w:t>
      </w:r>
      <w:r w:rsidR="00A92872" w:rsidRPr="000F7724">
        <w:t xml:space="preserve">related to </w:t>
      </w:r>
      <w:r w:rsidR="74BB0366" w:rsidRPr="000F7724">
        <w:t>power unit</w:t>
      </w:r>
      <w:r w:rsidR="008B7E8F" w:rsidRPr="000F7724">
        <w:t>s</w:t>
      </w:r>
      <w:r w:rsidR="00B31969" w:rsidRPr="000F7724">
        <w:t xml:space="preserve"> </w:t>
      </w:r>
      <w:r w:rsidR="00C063BA" w:rsidRPr="000F7724">
        <w:t>in</w:t>
      </w:r>
      <w:r w:rsidR="74BB0366" w:rsidRPr="000F7724">
        <w:t xml:space="preserve"> the electricity system and</w:t>
      </w:r>
      <w:r w:rsidR="00C063BA" w:rsidRPr="000F7724">
        <w:t>/or</w:t>
      </w:r>
      <w:r w:rsidR="74BB0366" w:rsidRPr="000F7724">
        <w:t xml:space="preserve"> </w:t>
      </w:r>
      <w:r w:rsidR="0943509E">
        <w:t xml:space="preserve">fossil-fuel fired </w:t>
      </w:r>
      <w:r w:rsidR="74BB0366" w:rsidRPr="000F7724">
        <w:t>captive power plant</w:t>
      </w:r>
      <w:r w:rsidR="00C063BA" w:rsidRPr="000F7724">
        <w:t>s</w:t>
      </w:r>
      <w:r w:rsidR="74BB0366" w:rsidRPr="000F7724">
        <w:t>, such as the amount</w:t>
      </w:r>
      <w:r w:rsidRPr="000F7724">
        <w:t xml:space="preserve"> of fuel consumed</w:t>
      </w:r>
      <w:r w:rsidR="74BB0366" w:rsidRPr="000F7724">
        <w:t>, net calorific values</w:t>
      </w:r>
      <w:r w:rsidR="008133F8" w:rsidRPr="000F7724">
        <w:t>,</w:t>
      </w:r>
      <w:r w:rsidR="74BB0366" w:rsidRPr="000F7724">
        <w:t xml:space="preserve"> emission factor</w:t>
      </w:r>
      <w:r w:rsidR="00B27417" w:rsidRPr="000F7724">
        <w:t>s</w:t>
      </w:r>
      <w:r w:rsidR="74BB0366" w:rsidRPr="000F7724">
        <w:t xml:space="preserve"> of fuel</w:t>
      </w:r>
      <w:r w:rsidR="008133F8" w:rsidRPr="000F7724">
        <w:t>s</w:t>
      </w:r>
      <w:r w:rsidR="74BB0366" w:rsidRPr="000F7724">
        <w:t>,</w:t>
      </w:r>
      <w:r w:rsidR="00C430F6" w:rsidRPr="000F7724" w:rsidDel="008133F8">
        <w:t xml:space="preserve"> </w:t>
      </w:r>
      <w:r w:rsidR="74BB0366" w:rsidRPr="000F7724">
        <w:t>electricity generation</w:t>
      </w:r>
      <w:r w:rsidR="00E82EF8" w:rsidRPr="000F7724">
        <w:t>,</w:t>
      </w:r>
      <w:r w:rsidR="74BB0366" w:rsidRPr="000F7724">
        <w:t xml:space="preserve"> and </w:t>
      </w:r>
      <w:r w:rsidR="00C430F6" w:rsidRPr="000F7724">
        <w:t xml:space="preserve">conversion </w:t>
      </w:r>
      <w:r w:rsidR="74BB0366" w:rsidRPr="000F7724">
        <w:t>efficiency</w:t>
      </w:r>
      <w:r w:rsidR="00C430F6" w:rsidRPr="000F7724">
        <w:t xml:space="preserve"> of power plant</w:t>
      </w:r>
      <w:r w:rsidR="00E82EF8" w:rsidRPr="000F7724">
        <w:t>s</w:t>
      </w:r>
      <w:r w:rsidR="74BB0366" w:rsidRPr="000F7724">
        <w:t>;</w:t>
      </w:r>
    </w:p>
    <w:p w14:paraId="1C3962D3" w14:textId="5D258543" w:rsidR="00962F84" w:rsidRPr="000F7724" w:rsidRDefault="00E82EF8" w:rsidP="00F65332">
      <w:pPr>
        <w:pStyle w:val="SDMSubPara2"/>
      </w:pPr>
      <w:r w:rsidRPr="000F7724">
        <w:t>D</w:t>
      </w:r>
      <w:r w:rsidR="74BB0366" w:rsidRPr="000F7724">
        <w:t>ata used to determine transmission and distribution loss</w:t>
      </w:r>
      <w:r w:rsidR="00E92521" w:rsidRPr="000F7724">
        <w:t>es</w:t>
      </w:r>
      <w:r w:rsidR="74BB0366" w:rsidRPr="000F7724">
        <w:t>, such as total electricity generation and consumption within the electricity system</w:t>
      </w:r>
      <w:r w:rsidR="00962F84" w:rsidRPr="000F7724">
        <w:t>;</w:t>
      </w:r>
      <w:r w:rsidR="00F905E8" w:rsidRPr="000F7724">
        <w:t xml:space="preserve"> and</w:t>
      </w:r>
    </w:p>
    <w:p w14:paraId="6090F6FE" w14:textId="74875907" w:rsidR="152A3BA4" w:rsidRPr="000F7724" w:rsidRDefault="00F905E8" w:rsidP="00F65332">
      <w:pPr>
        <w:pStyle w:val="SDMSubPara2"/>
      </w:pPr>
      <w:r w:rsidRPr="000F7724">
        <w:t>M</w:t>
      </w:r>
      <w:r w:rsidR="004B473D" w:rsidRPr="000F7724">
        <w:t>easurements</w:t>
      </w:r>
      <w:r w:rsidRPr="000F7724">
        <w:t xml:space="preserve"> of </w:t>
      </w:r>
      <w:r w:rsidRPr="00780E96">
        <w:t>electricity generation and/or consumption</w:t>
      </w:r>
      <w:r w:rsidR="000C63F6" w:rsidRPr="00780E96">
        <w:t xml:space="preserve"> by equipment operated under the activity </w:t>
      </w:r>
      <w:r w:rsidR="0015402F" w:rsidRPr="00780E96">
        <w:t xml:space="preserve">scenario </w:t>
      </w:r>
      <w:r w:rsidR="000C63F6" w:rsidRPr="00780E96">
        <w:t>or</w:t>
      </w:r>
      <w:r w:rsidR="000C63F6" w:rsidRPr="000F7724">
        <w:t xml:space="preserve"> in the baseline scenario</w:t>
      </w:r>
      <w:r w:rsidR="00202D85" w:rsidRPr="000F7724">
        <w:t>;</w:t>
      </w:r>
      <w:r w:rsidR="00B4035F" w:rsidRPr="000F7724">
        <w:t xml:space="preserve"> and</w:t>
      </w:r>
    </w:p>
    <w:p w14:paraId="34604CE9" w14:textId="7A045DF8" w:rsidR="152A3BA4" w:rsidRDefault="00E82EF8" w:rsidP="00F65332">
      <w:pPr>
        <w:pStyle w:val="SDMSubPara1"/>
        <w:rPr>
          <w:rFonts w:eastAsia="Arial"/>
        </w:rPr>
      </w:pPr>
      <w:r w:rsidRPr="00380665">
        <w:rPr>
          <w:rFonts w:eastAsia="Arial"/>
          <w:b/>
          <w:bCs/>
        </w:rPr>
        <w:t>U</w:t>
      </w:r>
      <w:r w:rsidR="152A3BA4" w:rsidRPr="00380665">
        <w:rPr>
          <w:rFonts w:eastAsia="Arial"/>
          <w:b/>
          <w:bCs/>
        </w:rPr>
        <w:t>ncertainty</w:t>
      </w:r>
      <w:r w:rsidR="152A3BA4" w:rsidRPr="00380665">
        <w:rPr>
          <w:rFonts w:eastAsia="Arial"/>
          <w:b/>
        </w:rPr>
        <w:t xml:space="preserve"> </w:t>
      </w:r>
      <w:r w:rsidR="002F4191" w:rsidRPr="00380665">
        <w:rPr>
          <w:rFonts w:eastAsia="Arial"/>
          <w:b/>
        </w:rPr>
        <w:t>associated with method</w:t>
      </w:r>
      <w:r w:rsidR="00202D85" w:rsidRPr="00380665">
        <w:rPr>
          <w:rFonts w:eastAsia="Arial"/>
          <w:b/>
        </w:rPr>
        <w:t>s</w:t>
      </w:r>
      <w:r w:rsidR="002F4191" w:rsidRPr="00380665">
        <w:rPr>
          <w:rFonts w:eastAsia="Arial"/>
          <w:b/>
        </w:rPr>
        <w:t xml:space="preserve"> and assumptions</w:t>
      </w:r>
      <w:r w:rsidR="00B4035F">
        <w:rPr>
          <w:rFonts w:eastAsia="Arial"/>
          <w:b/>
          <w:bCs/>
        </w:rPr>
        <w:t xml:space="preserve">, </w:t>
      </w:r>
      <w:r w:rsidR="00E33444">
        <w:rPr>
          <w:rFonts w:eastAsia="Arial"/>
        </w:rPr>
        <w:t xml:space="preserve">including the </w:t>
      </w:r>
      <w:r w:rsidR="00C120FD">
        <w:rPr>
          <w:rFonts w:eastAsia="Arial"/>
        </w:rPr>
        <w:t>weigh</w:t>
      </w:r>
      <w:r w:rsidR="00BB311C">
        <w:rPr>
          <w:rFonts w:eastAsia="Arial"/>
        </w:rPr>
        <w:t>t</w:t>
      </w:r>
      <w:r w:rsidR="00C120FD">
        <w:rPr>
          <w:rFonts w:eastAsia="Arial"/>
        </w:rPr>
        <w:t xml:space="preserve">ing of the OM and BM </w:t>
      </w:r>
      <w:r w:rsidR="152A3BA4" w:rsidRPr="3C60DA00">
        <w:rPr>
          <w:rFonts w:eastAsia="Arial"/>
        </w:rPr>
        <w:t>in determining the CM emission factor</w:t>
      </w:r>
      <w:r w:rsidR="002E4DAB">
        <w:rPr>
          <w:rFonts w:eastAsia="Arial"/>
        </w:rPr>
        <w:t>, as specified in this methodological tool</w:t>
      </w:r>
      <w:r w:rsidR="152A3BA4" w:rsidRPr="3C60DA00">
        <w:rPr>
          <w:rFonts w:eastAsia="Arial"/>
        </w:rPr>
        <w:t xml:space="preserve">. </w:t>
      </w:r>
      <w:r w:rsidR="00B34D57">
        <w:rPr>
          <w:rFonts w:eastAsia="Arial"/>
        </w:rPr>
        <w:t>This</w:t>
      </w:r>
      <w:r w:rsidR="00B34D57" w:rsidRPr="3C60DA00">
        <w:rPr>
          <w:rFonts w:eastAsia="Arial"/>
        </w:rPr>
        <w:t xml:space="preserve"> </w:t>
      </w:r>
      <w:r w:rsidR="152A3BA4" w:rsidRPr="3C60DA00">
        <w:rPr>
          <w:rFonts w:eastAsia="Arial"/>
        </w:rPr>
        <w:t xml:space="preserve">includes uncertainties associated with the specific methods chosen </w:t>
      </w:r>
      <w:r w:rsidR="00E41CB9">
        <w:rPr>
          <w:rFonts w:eastAsia="Arial"/>
        </w:rPr>
        <w:t>to</w:t>
      </w:r>
      <w:r w:rsidR="152A3BA4" w:rsidRPr="3C60DA00" w:rsidDel="00E41CB9">
        <w:rPr>
          <w:rFonts w:eastAsia="Arial"/>
        </w:rPr>
        <w:t xml:space="preserve"> </w:t>
      </w:r>
      <w:r w:rsidR="00E41CB9" w:rsidRPr="3C60DA00">
        <w:rPr>
          <w:rFonts w:eastAsia="Arial"/>
        </w:rPr>
        <w:t>determ</w:t>
      </w:r>
      <w:r w:rsidR="00E41CB9">
        <w:rPr>
          <w:rFonts w:eastAsia="Arial"/>
        </w:rPr>
        <w:t>ine</w:t>
      </w:r>
      <w:r w:rsidR="00E41CB9" w:rsidRPr="3C60DA00">
        <w:rPr>
          <w:rFonts w:eastAsia="Arial"/>
        </w:rPr>
        <w:t xml:space="preserve"> </w:t>
      </w:r>
      <w:r w:rsidR="152A3BA4" w:rsidRPr="3C60DA00">
        <w:rPr>
          <w:rFonts w:eastAsia="Arial"/>
        </w:rPr>
        <w:t>the OM and BM emission factors</w:t>
      </w:r>
      <w:r w:rsidR="00DC7EDE">
        <w:rPr>
          <w:rFonts w:eastAsia="Arial"/>
        </w:rPr>
        <w:t xml:space="preserve"> (dispatch data OM, simple OM, simple adjusted OM, average OM and BM)</w:t>
      </w:r>
      <w:r w:rsidR="00BE50EA">
        <w:rPr>
          <w:rFonts w:eastAsia="Arial"/>
        </w:rPr>
        <w:t>,</w:t>
      </w:r>
      <w:r w:rsidR="152A3BA4" w:rsidRPr="3C60DA00">
        <w:rPr>
          <w:rFonts w:eastAsia="Arial"/>
        </w:rPr>
        <w:t xml:space="preserve"> as well as the uncertainty </w:t>
      </w:r>
      <w:r w:rsidR="00BE50EA">
        <w:rPr>
          <w:rFonts w:eastAsia="Arial"/>
        </w:rPr>
        <w:t>associated</w:t>
      </w:r>
      <w:r w:rsidR="00BE50EA" w:rsidRPr="3C60DA00">
        <w:rPr>
          <w:rFonts w:eastAsia="Arial"/>
        </w:rPr>
        <w:t xml:space="preserve"> </w:t>
      </w:r>
      <w:r w:rsidR="009F5F48">
        <w:rPr>
          <w:rFonts w:eastAsia="Arial"/>
        </w:rPr>
        <w:t>with</w:t>
      </w:r>
      <w:r w:rsidR="009F5F48" w:rsidRPr="3C60DA00">
        <w:rPr>
          <w:rFonts w:eastAsia="Arial"/>
        </w:rPr>
        <w:t xml:space="preserve"> </w:t>
      </w:r>
      <w:r w:rsidR="152A3BA4" w:rsidRPr="3C60DA00">
        <w:rPr>
          <w:rFonts w:eastAsia="Arial"/>
        </w:rPr>
        <w:t xml:space="preserve">the weighting used to combine them into </w:t>
      </w:r>
      <w:r w:rsidR="009F5F48">
        <w:rPr>
          <w:rFonts w:eastAsia="Arial"/>
        </w:rPr>
        <w:t xml:space="preserve">a </w:t>
      </w:r>
      <w:r w:rsidR="152A3BA4" w:rsidRPr="3C60DA00">
        <w:rPr>
          <w:rFonts w:eastAsia="Arial"/>
        </w:rPr>
        <w:t xml:space="preserve">single CM emission factor, as detailed in </w:t>
      </w:r>
      <w:r w:rsidR="00FC3BB0">
        <w:rPr>
          <w:rFonts w:eastAsia="Arial"/>
        </w:rPr>
        <w:fldChar w:fldCharType="begin"/>
      </w:r>
      <w:r w:rsidR="00FC3BB0">
        <w:rPr>
          <w:rFonts w:eastAsia="Arial"/>
        </w:rPr>
        <w:instrText xml:space="preserve"> REF _Ref219921825 \w \h </w:instrText>
      </w:r>
      <w:r w:rsidR="00FC3BB0">
        <w:rPr>
          <w:rFonts w:eastAsia="Arial"/>
        </w:rPr>
      </w:r>
      <w:r w:rsidR="00FC3BB0">
        <w:rPr>
          <w:rFonts w:eastAsia="Arial"/>
        </w:rPr>
        <w:fldChar w:fldCharType="separate"/>
      </w:r>
      <w:r w:rsidR="003B0135">
        <w:rPr>
          <w:rFonts w:eastAsia="Arial"/>
          <w:cs/>
        </w:rPr>
        <w:t>‎</w:t>
      </w:r>
      <w:r w:rsidR="003B0135">
        <w:rPr>
          <w:rFonts w:eastAsia="Arial"/>
        </w:rPr>
        <w:t>5.7.1.2</w:t>
      </w:r>
      <w:r w:rsidR="00FC3BB0">
        <w:rPr>
          <w:rFonts w:eastAsia="Arial"/>
        </w:rPr>
        <w:fldChar w:fldCharType="end"/>
      </w:r>
      <w:r w:rsidR="00FC3BB0">
        <w:rPr>
          <w:rFonts w:eastAsia="Arial"/>
        </w:rPr>
        <w:t xml:space="preserve">, </w:t>
      </w:r>
      <w:r w:rsidR="004A2CD2">
        <w:rPr>
          <w:rFonts w:eastAsia="Arial"/>
        </w:rPr>
        <w:fldChar w:fldCharType="begin"/>
      </w:r>
      <w:r w:rsidR="004A2CD2">
        <w:rPr>
          <w:rFonts w:eastAsia="Arial"/>
        </w:rPr>
        <w:instrText xml:space="preserve"> REF _Ref221038996 \w \h </w:instrText>
      </w:r>
      <w:r w:rsidR="004A2CD2">
        <w:rPr>
          <w:rFonts w:eastAsia="Arial"/>
        </w:rPr>
      </w:r>
      <w:r w:rsidR="004A2CD2">
        <w:rPr>
          <w:rFonts w:eastAsia="Arial"/>
        </w:rPr>
        <w:fldChar w:fldCharType="separate"/>
      </w:r>
      <w:r w:rsidR="003B0135">
        <w:rPr>
          <w:rFonts w:eastAsia="Arial"/>
          <w:cs/>
        </w:rPr>
        <w:t>‎</w:t>
      </w:r>
      <w:r w:rsidR="003B0135">
        <w:rPr>
          <w:rFonts w:eastAsia="Arial"/>
        </w:rPr>
        <w:t>5.7.1.3</w:t>
      </w:r>
      <w:r w:rsidR="004A2CD2">
        <w:rPr>
          <w:rFonts w:eastAsia="Arial"/>
        </w:rPr>
        <w:fldChar w:fldCharType="end"/>
      </w:r>
      <w:r w:rsidR="00D561CA">
        <w:rPr>
          <w:rFonts w:eastAsia="Arial"/>
        </w:rPr>
        <w:t xml:space="preserve"> and </w:t>
      </w:r>
      <w:r w:rsidR="004A2CD2">
        <w:rPr>
          <w:rFonts w:eastAsia="Arial"/>
        </w:rPr>
        <w:fldChar w:fldCharType="begin"/>
      </w:r>
      <w:r w:rsidR="004A2CD2">
        <w:rPr>
          <w:rFonts w:eastAsia="Arial"/>
        </w:rPr>
        <w:instrText xml:space="preserve"> REF _Ref221038901 \w \h </w:instrText>
      </w:r>
      <w:r w:rsidR="004A2CD2">
        <w:rPr>
          <w:rFonts w:eastAsia="Arial"/>
        </w:rPr>
      </w:r>
      <w:r w:rsidR="004A2CD2">
        <w:rPr>
          <w:rFonts w:eastAsia="Arial"/>
        </w:rPr>
        <w:fldChar w:fldCharType="separate"/>
      </w:r>
      <w:r w:rsidR="003B0135">
        <w:rPr>
          <w:rFonts w:eastAsia="Arial"/>
          <w:cs/>
        </w:rPr>
        <w:t>‎</w:t>
      </w:r>
      <w:r w:rsidR="003B0135">
        <w:rPr>
          <w:rFonts w:eastAsia="Arial"/>
        </w:rPr>
        <w:t>5.7.1.4</w:t>
      </w:r>
      <w:r w:rsidR="004A2CD2">
        <w:rPr>
          <w:rFonts w:eastAsia="Arial"/>
        </w:rPr>
        <w:fldChar w:fldCharType="end"/>
      </w:r>
      <w:r w:rsidR="00D561CA">
        <w:rPr>
          <w:rFonts w:eastAsia="Arial"/>
        </w:rPr>
        <w:t xml:space="preserve"> </w:t>
      </w:r>
      <w:r w:rsidR="00D561CA" w:rsidRPr="004A2CD2">
        <w:rPr>
          <w:rFonts w:eastAsia="Arial"/>
        </w:rPr>
        <w:t>(sub-step</w:t>
      </w:r>
      <w:r w:rsidR="006F7A0B">
        <w:rPr>
          <w:rFonts w:eastAsia="Arial"/>
        </w:rPr>
        <w:t> </w:t>
      </w:r>
      <w:r w:rsidR="00D561CA" w:rsidRPr="004A2CD2">
        <w:rPr>
          <w:rFonts w:eastAsia="Arial"/>
        </w:rPr>
        <w:t>c)</w:t>
      </w:r>
      <w:r w:rsidR="152A3BA4" w:rsidRPr="3C60DA00">
        <w:rPr>
          <w:rFonts w:eastAsia="Arial"/>
        </w:rPr>
        <w:t>.</w:t>
      </w:r>
    </w:p>
    <w:p w14:paraId="6D7349ED" w14:textId="04D3FB7F" w:rsidR="303F59FF" w:rsidRDefault="4BE0F458">
      <w:pPr>
        <w:pStyle w:val="SDMPara"/>
        <w:rPr>
          <w:rFonts w:eastAsia="Arial"/>
          <w:lang w:eastAsia="en-US"/>
        </w:rPr>
      </w:pPr>
      <w:r w:rsidRPr="3FAB49C7">
        <w:rPr>
          <w:rFonts w:eastAsia="Arial"/>
          <w:lang w:eastAsia="en-US"/>
        </w:rPr>
        <w:t xml:space="preserve">When applying conservative </w:t>
      </w:r>
      <w:r w:rsidR="001D6B72">
        <w:rPr>
          <w:rFonts w:eastAsia="Arial"/>
          <w:lang w:eastAsia="en-US"/>
        </w:rPr>
        <w:t xml:space="preserve">default </w:t>
      </w:r>
      <w:r w:rsidRPr="3FAB49C7">
        <w:rPr>
          <w:rFonts w:eastAsia="Arial"/>
          <w:lang w:eastAsia="en-US"/>
        </w:rPr>
        <w:t xml:space="preserve">values provided in </w:t>
      </w:r>
      <w:r w:rsidR="00D561CA" w:rsidRPr="3FAB49C7">
        <w:rPr>
          <w:rFonts w:eastAsia="Arial"/>
          <w:lang w:eastAsia="en-US"/>
        </w:rPr>
        <w:t>th</w:t>
      </w:r>
      <w:r w:rsidR="00D561CA">
        <w:rPr>
          <w:rFonts w:eastAsia="Arial"/>
          <w:lang w:eastAsia="en-US"/>
        </w:rPr>
        <w:t>is</w:t>
      </w:r>
      <w:r w:rsidR="00D561CA" w:rsidRPr="3FAB49C7">
        <w:rPr>
          <w:rFonts w:eastAsia="Arial"/>
          <w:lang w:eastAsia="en-US"/>
        </w:rPr>
        <w:t xml:space="preserve"> </w:t>
      </w:r>
      <w:r w:rsidRPr="3FAB49C7">
        <w:rPr>
          <w:rFonts w:eastAsia="Arial"/>
          <w:lang w:eastAsia="en-US"/>
        </w:rPr>
        <w:t xml:space="preserve">tool (i.e., </w:t>
      </w:r>
      <w:r w:rsidR="00960569">
        <w:rPr>
          <w:rFonts w:eastAsia="Arial"/>
          <w:lang w:eastAsia="en-US"/>
        </w:rPr>
        <w:t xml:space="preserve">values that are </w:t>
      </w:r>
      <w:r w:rsidR="00D90B4D">
        <w:rPr>
          <w:rFonts w:eastAsia="Arial"/>
          <w:lang w:eastAsia="en-US"/>
        </w:rPr>
        <w:t xml:space="preserve">explicitly </w:t>
      </w:r>
      <w:r w:rsidR="00960569">
        <w:rPr>
          <w:rFonts w:eastAsia="Arial"/>
          <w:lang w:eastAsia="en-US"/>
        </w:rPr>
        <w:t xml:space="preserve">specified </w:t>
      </w:r>
      <w:r w:rsidR="00567E7A">
        <w:rPr>
          <w:rFonts w:eastAsia="Arial"/>
          <w:lang w:eastAsia="en-US"/>
        </w:rPr>
        <w:t xml:space="preserve">as </w:t>
      </w:r>
      <w:r w:rsidR="00960569">
        <w:rPr>
          <w:rFonts w:eastAsia="Arial"/>
          <w:lang w:eastAsia="en-US"/>
        </w:rPr>
        <w:t xml:space="preserve">conservative and for which no uncertainty range is </w:t>
      </w:r>
      <w:r w:rsidR="00960569" w:rsidRPr="6BC00673">
        <w:rPr>
          <w:rFonts w:eastAsia="Arial"/>
          <w:lang w:eastAsia="en-US"/>
        </w:rPr>
        <w:t>indicated</w:t>
      </w:r>
      <w:r w:rsidRPr="3FAB49C7">
        <w:rPr>
          <w:rFonts w:eastAsia="Arial"/>
          <w:lang w:eastAsia="en-US"/>
        </w:rPr>
        <w:t xml:space="preserve">, </w:t>
      </w:r>
      <w:r w:rsidR="00E06D7E">
        <w:rPr>
          <w:rFonts w:eastAsia="Arial"/>
          <w:lang w:eastAsia="en-US"/>
        </w:rPr>
        <w:t>including</w:t>
      </w:r>
      <w:r w:rsidR="00E06D7E" w:rsidRPr="3FAB49C7">
        <w:rPr>
          <w:rFonts w:eastAsia="Arial"/>
          <w:lang w:eastAsia="en-US"/>
        </w:rPr>
        <w:t xml:space="preserve"> </w:t>
      </w:r>
      <w:r w:rsidR="008457E2">
        <w:rPr>
          <w:rFonts w:eastAsia="Arial"/>
          <w:lang w:eastAsia="en-US"/>
        </w:rPr>
        <w:t>conservative default values based on</w:t>
      </w:r>
      <w:r w:rsidRPr="3FAB49C7">
        <w:rPr>
          <w:rFonts w:eastAsia="Arial"/>
          <w:lang w:eastAsia="en-US"/>
        </w:rPr>
        <w:t xml:space="preserve"> </w:t>
      </w:r>
      <w:r w:rsidR="00ED02B3">
        <w:rPr>
          <w:rFonts w:eastAsia="Arial"/>
          <w:lang w:eastAsia="en-US"/>
        </w:rPr>
        <w:t xml:space="preserve">IPCC </w:t>
      </w:r>
      <w:r w:rsidR="00625F97">
        <w:rPr>
          <w:rFonts w:eastAsia="Arial"/>
          <w:lang w:eastAsia="en-US"/>
        </w:rPr>
        <w:t>data that are</w:t>
      </w:r>
      <w:r w:rsidRPr="3FAB49C7">
        <w:rPr>
          <w:rFonts w:eastAsia="Arial"/>
          <w:lang w:eastAsia="en-US"/>
        </w:rPr>
        <w:t xml:space="preserve"> </w:t>
      </w:r>
      <w:r w:rsidR="00CD7D67">
        <w:rPr>
          <w:rFonts w:eastAsia="Arial"/>
          <w:lang w:eastAsia="en-US"/>
        </w:rPr>
        <w:t xml:space="preserve">set </w:t>
      </w:r>
      <w:r w:rsidR="00960569">
        <w:rPr>
          <w:rFonts w:eastAsia="Arial"/>
          <w:lang w:eastAsia="en-US"/>
        </w:rPr>
        <w:t>at</w:t>
      </w:r>
      <w:r w:rsidR="00960569" w:rsidRPr="3FAB49C7">
        <w:rPr>
          <w:rFonts w:eastAsia="Arial"/>
          <w:lang w:eastAsia="en-US"/>
        </w:rPr>
        <w:t xml:space="preserve"> </w:t>
      </w:r>
      <w:r w:rsidR="77C8DC11">
        <w:t xml:space="preserve">the upper or lower bound of </w:t>
      </w:r>
      <w:r w:rsidR="00960569">
        <w:t xml:space="preserve">the uncertainty </w:t>
      </w:r>
      <w:r w:rsidR="008457E2">
        <w:t>range</w:t>
      </w:r>
      <w:r w:rsidR="00960569">
        <w:t xml:space="preserve"> at a </w:t>
      </w:r>
      <w:r w:rsidR="77C8DC11">
        <w:t>95 per cent confidence interval</w:t>
      </w:r>
      <w:r w:rsidRPr="3FAB49C7">
        <w:rPr>
          <w:rFonts w:eastAsia="Arial"/>
          <w:lang w:eastAsia="en-US"/>
        </w:rPr>
        <w:t>), no further uncertainty analysis for these specific values is required</w:t>
      </w:r>
      <w:r w:rsidR="00CD7D67">
        <w:rPr>
          <w:rFonts w:eastAsia="Arial"/>
          <w:lang w:eastAsia="en-US"/>
        </w:rPr>
        <w:t>. Accordingly,</w:t>
      </w:r>
      <w:r w:rsidR="00256A88">
        <w:rPr>
          <w:rFonts w:eastAsia="Arial"/>
          <w:lang w:eastAsia="en-US"/>
        </w:rPr>
        <w:t xml:space="preserve"> these values shall not be </w:t>
      </w:r>
      <w:r w:rsidR="00CD7D67">
        <w:rPr>
          <w:rFonts w:eastAsia="Arial"/>
          <w:lang w:eastAsia="en-US"/>
        </w:rPr>
        <w:t xml:space="preserve">considered </w:t>
      </w:r>
      <w:r w:rsidR="00256A88">
        <w:rPr>
          <w:rFonts w:eastAsia="Arial"/>
          <w:lang w:eastAsia="en-US"/>
        </w:rPr>
        <w:t xml:space="preserve">to </w:t>
      </w:r>
      <w:r w:rsidR="001407F9">
        <w:rPr>
          <w:rFonts w:eastAsia="Arial"/>
          <w:lang w:eastAsia="en-US"/>
        </w:rPr>
        <w:t>contribute</w:t>
      </w:r>
      <w:r w:rsidR="00256A88" w:rsidDel="001407F9">
        <w:rPr>
          <w:rFonts w:eastAsia="Arial"/>
          <w:lang w:eastAsia="en-US"/>
        </w:rPr>
        <w:t xml:space="preserve"> </w:t>
      </w:r>
      <w:r w:rsidR="001F1622">
        <w:rPr>
          <w:rFonts w:eastAsia="Arial"/>
          <w:lang w:eastAsia="en-US"/>
        </w:rPr>
        <w:t>to</w:t>
      </w:r>
      <w:r w:rsidR="001407F9">
        <w:rPr>
          <w:rFonts w:eastAsia="Arial"/>
          <w:lang w:eastAsia="en-US"/>
        </w:rPr>
        <w:t xml:space="preserve"> </w:t>
      </w:r>
      <w:r w:rsidR="00256A88">
        <w:rPr>
          <w:rFonts w:eastAsia="Arial"/>
          <w:lang w:eastAsia="en-US"/>
        </w:rPr>
        <w:t>uncertainty in the quantification of overall emission reductions</w:t>
      </w:r>
      <w:r w:rsidR="00256A88" w:rsidRPr="6BC00673">
        <w:rPr>
          <w:rFonts w:eastAsia="Arial"/>
          <w:lang w:eastAsia="en-US"/>
        </w:rPr>
        <w:t>.</w:t>
      </w:r>
    </w:p>
    <w:p w14:paraId="7AE80DA4" w14:textId="77777777" w:rsidR="00FF70B5" w:rsidRDefault="009D0F50">
      <w:pPr>
        <w:pStyle w:val="SDMHead1"/>
      </w:pPr>
      <w:bookmarkStart w:id="899" w:name="_Toc215208613"/>
      <w:bookmarkStart w:id="900" w:name="_Toc215216132"/>
      <w:bookmarkStart w:id="901" w:name="_Toc215222868"/>
      <w:bookmarkStart w:id="902" w:name="_Toc215223056"/>
      <w:bookmarkStart w:id="903" w:name="_Toc215223278"/>
      <w:bookmarkStart w:id="904" w:name="_Toc215574904"/>
      <w:bookmarkStart w:id="905" w:name="_Toc215579118"/>
      <w:bookmarkStart w:id="906" w:name="_Ref212362896"/>
      <w:bookmarkStart w:id="907" w:name="_Toc212389914"/>
      <w:bookmarkStart w:id="908" w:name="_Toc478738167"/>
      <w:bookmarkStart w:id="909" w:name="_Toc202965409"/>
      <w:bookmarkStart w:id="910" w:name="_Ref210036134"/>
      <w:bookmarkStart w:id="911" w:name="_Ref210036137"/>
      <w:bookmarkStart w:id="912" w:name="_Toc215208615"/>
      <w:bookmarkStart w:id="913" w:name="_Toc215216134"/>
      <w:bookmarkStart w:id="914" w:name="_Toc215222870"/>
      <w:bookmarkStart w:id="915" w:name="_Toc215223058"/>
      <w:bookmarkStart w:id="916" w:name="_Toc215223280"/>
      <w:bookmarkStart w:id="917" w:name="_Toc215574906"/>
      <w:bookmarkStart w:id="918" w:name="_Toc215923338"/>
      <w:bookmarkStart w:id="919" w:name="_Toc216093034"/>
      <w:bookmarkStart w:id="920" w:name="_Toc216271763"/>
      <w:bookmarkStart w:id="921" w:name="_Toc216279380"/>
      <w:bookmarkStart w:id="922" w:name="_Toc216283418"/>
      <w:bookmarkStart w:id="923" w:name="_Toc216288036"/>
      <w:bookmarkStart w:id="924" w:name="_Toc219666143"/>
      <w:bookmarkStart w:id="925" w:name="_Toc220001403"/>
      <w:bookmarkStart w:id="926" w:name="_Toc221096427"/>
      <w:bookmarkStart w:id="927" w:name="_Toc221097979"/>
      <w:bookmarkStart w:id="928" w:name="_Toc221116275"/>
      <w:bookmarkStart w:id="929" w:name="_Toc221117291"/>
      <w:bookmarkStart w:id="930" w:name="_Toc222132129"/>
      <w:bookmarkStart w:id="931" w:name="_Toc222494930"/>
      <w:bookmarkStart w:id="932" w:name="_Toc222512446"/>
      <w:bookmarkStart w:id="933" w:name="_Toc222741766"/>
      <w:bookmarkStart w:id="934" w:name="_Toc234853847"/>
      <w:bookmarkStart w:id="935" w:name="_Toc235002285"/>
      <w:bookmarkStart w:id="936" w:name="_Toc235003444"/>
      <w:bookmarkStart w:id="937" w:name="_Toc236154241"/>
      <w:bookmarkStart w:id="938" w:name="_Toc236216618"/>
      <w:bookmarkStart w:id="939" w:name="_Toc240545106"/>
      <w:bookmarkStart w:id="940" w:name="_Toc240545322"/>
      <w:bookmarkStart w:id="941" w:name="_Toc240576904"/>
      <w:bookmarkEnd w:id="899"/>
      <w:bookmarkEnd w:id="900"/>
      <w:bookmarkEnd w:id="901"/>
      <w:bookmarkEnd w:id="902"/>
      <w:bookmarkEnd w:id="903"/>
      <w:bookmarkEnd w:id="904"/>
      <w:bookmarkEnd w:id="905"/>
      <w:r w:rsidRPr="009D0F50">
        <w:t>Monitoring methodology</w:t>
      </w:r>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p>
    <w:p w14:paraId="33605938" w14:textId="39A1FA69" w:rsidR="00A65367" w:rsidRDefault="00A65367">
      <w:pPr>
        <w:pStyle w:val="SDMPara"/>
        <w:rPr>
          <w:rFonts w:eastAsia="Arial"/>
        </w:rPr>
      </w:pPr>
      <w:r w:rsidRPr="001F31E5">
        <w:rPr>
          <w:rFonts w:eastAsia="Arial"/>
        </w:rPr>
        <w:t xml:space="preserve">Some parameters listed </w:t>
      </w:r>
      <w:r w:rsidR="00CF697A">
        <w:rPr>
          <w:rFonts w:eastAsia="Arial"/>
        </w:rPr>
        <w:t>in this section shall</w:t>
      </w:r>
      <w:r w:rsidR="00CF697A" w:rsidRPr="001F31E5">
        <w:rPr>
          <w:rFonts w:eastAsia="Arial"/>
        </w:rPr>
        <w:t xml:space="preserve"> </w:t>
      </w:r>
      <w:r w:rsidRPr="001F31E5">
        <w:rPr>
          <w:rFonts w:eastAsia="Arial"/>
        </w:rPr>
        <w:t xml:space="preserve">either be monitored continuously during the crediting period or calculated only once for the crediting period, depending on the data vintage </w:t>
      </w:r>
      <w:r w:rsidR="001F68FD">
        <w:rPr>
          <w:rFonts w:eastAsia="Arial"/>
        </w:rPr>
        <w:t>selected. This shall be done</w:t>
      </w:r>
      <w:r w:rsidRPr="001F31E5" w:rsidDel="00EA4E41">
        <w:rPr>
          <w:rFonts w:eastAsia="Arial"/>
        </w:rPr>
        <w:t xml:space="preserve"> </w:t>
      </w:r>
      <w:r w:rsidR="00EA4E41">
        <w:rPr>
          <w:rFonts w:eastAsia="Arial"/>
        </w:rPr>
        <w:t>in accordance with</w:t>
      </w:r>
      <w:r w:rsidR="00EA4E41" w:rsidRPr="001F31E5">
        <w:rPr>
          <w:rFonts w:eastAsia="Arial"/>
        </w:rPr>
        <w:t xml:space="preserve"> </w:t>
      </w:r>
      <w:r w:rsidRPr="001F31E5" w:rsidDel="00EA4E41">
        <w:rPr>
          <w:rFonts w:eastAsia="Arial"/>
        </w:rPr>
        <w:t xml:space="preserve">the </w:t>
      </w:r>
      <w:r w:rsidR="4F1BE2C5" w:rsidRPr="48E174E3">
        <w:rPr>
          <w:rFonts w:eastAsia="Arial"/>
        </w:rPr>
        <w:t>methodological approaches</w:t>
      </w:r>
      <w:r w:rsidRPr="001F31E5">
        <w:rPr>
          <w:rFonts w:eastAsia="Arial"/>
        </w:rPr>
        <w:t xml:space="preserve"> </w:t>
      </w:r>
      <w:r w:rsidR="0033159B">
        <w:rPr>
          <w:rFonts w:eastAsia="Arial"/>
        </w:rPr>
        <w:t xml:space="preserve">set out in </w:t>
      </w:r>
      <w:r w:rsidR="0033159B" w:rsidRPr="00F26E36">
        <w:rPr>
          <w:rFonts w:eastAsia="Arial"/>
          <w:b/>
          <w:bCs/>
        </w:rPr>
        <w:t>section</w:t>
      </w:r>
      <w:r w:rsidR="00B23B70">
        <w:rPr>
          <w:rFonts w:eastAsia="Arial"/>
          <w:b/>
          <w:bCs/>
        </w:rPr>
        <w:t> </w:t>
      </w:r>
      <w:r w:rsidR="0033159B" w:rsidRPr="00F26E36">
        <w:rPr>
          <w:rFonts w:eastAsia="Arial"/>
          <w:b/>
          <w:bCs/>
        </w:rPr>
        <w:t>5</w:t>
      </w:r>
      <w:r w:rsidR="0033159B">
        <w:rPr>
          <w:rFonts w:eastAsia="Arial"/>
        </w:rPr>
        <w:t xml:space="preserve">, and with the </w:t>
      </w:r>
      <w:r w:rsidRPr="001F31E5">
        <w:rPr>
          <w:rFonts w:eastAsia="Arial"/>
        </w:rPr>
        <w:t xml:space="preserve">guidance on </w:t>
      </w:r>
      <w:r w:rsidR="2D4A895D" w:rsidRPr="00F26E36">
        <w:rPr>
          <w:rFonts w:eastAsia="Arial"/>
          <w:b/>
          <w:bCs/>
        </w:rPr>
        <w:t xml:space="preserve">measurement </w:t>
      </w:r>
      <w:r w:rsidR="00C02434" w:rsidRPr="00F26E36">
        <w:rPr>
          <w:rFonts w:eastAsia="Arial"/>
          <w:b/>
          <w:bCs/>
        </w:rPr>
        <w:t>and updating frequency</w:t>
      </w:r>
      <w:r w:rsidRPr="001F31E5">
        <w:rPr>
          <w:rFonts w:eastAsia="Arial"/>
        </w:rPr>
        <w:t xml:space="preserve"> </w:t>
      </w:r>
      <w:r w:rsidR="00DA55C3">
        <w:rPr>
          <w:rFonts w:eastAsia="Arial"/>
        </w:rPr>
        <w:t xml:space="preserve">and </w:t>
      </w:r>
      <w:r w:rsidR="00F47B18" w:rsidRPr="00F26E36">
        <w:rPr>
          <w:rFonts w:eastAsia="Arial"/>
          <w:b/>
          <w:bCs/>
        </w:rPr>
        <w:t>additional comments</w:t>
      </w:r>
      <w:r w:rsidR="00F47B18">
        <w:rPr>
          <w:rFonts w:eastAsia="Arial"/>
        </w:rPr>
        <w:t xml:space="preserve"> </w:t>
      </w:r>
      <w:r w:rsidR="00F26E36">
        <w:rPr>
          <w:rFonts w:eastAsia="Arial"/>
        </w:rPr>
        <w:t xml:space="preserve">provided </w:t>
      </w:r>
      <w:r w:rsidR="00F26E36" w:rsidRPr="0002199F">
        <w:rPr>
          <w:rFonts w:eastAsia="Arial"/>
          <w:b/>
          <w:bCs/>
        </w:rPr>
        <w:t>in this section</w:t>
      </w:r>
      <w:r w:rsidR="00F26E36">
        <w:rPr>
          <w:rFonts w:eastAsia="Arial"/>
        </w:rPr>
        <w:t>, including the relevant data/parameter tables, as applicable</w:t>
      </w:r>
      <w:r w:rsidR="0002199F">
        <w:rPr>
          <w:rFonts w:eastAsia="Arial"/>
        </w:rPr>
        <w:t>.</w:t>
      </w:r>
    </w:p>
    <w:p w14:paraId="124B90F0" w14:textId="53B8E318" w:rsidR="00A65367" w:rsidRPr="00780E96" w:rsidRDefault="0B1DE836" w:rsidP="00F62D64">
      <w:pPr>
        <w:pStyle w:val="SDMPara"/>
        <w:keepNext/>
        <w:rPr>
          <w:rFonts w:eastAsia="Arial"/>
        </w:rPr>
      </w:pPr>
      <w:r w:rsidRPr="6BB59D32">
        <w:rPr>
          <w:rFonts w:eastAsia="Arial"/>
        </w:rPr>
        <w:t xml:space="preserve">The calculation of the </w:t>
      </w:r>
      <w:r w:rsidR="0002199F">
        <w:rPr>
          <w:rFonts w:eastAsia="Arial"/>
        </w:rPr>
        <w:t>OM</w:t>
      </w:r>
      <w:r w:rsidRPr="6BB59D32">
        <w:rPr>
          <w:rFonts w:eastAsia="Arial"/>
        </w:rPr>
        <w:t xml:space="preserve"> and </w:t>
      </w:r>
      <w:r w:rsidR="0002199F">
        <w:rPr>
          <w:rFonts w:eastAsia="Arial"/>
        </w:rPr>
        <w:t>BM</w:t>
      </w:r>
      <w:r w:rsidRPr="6BB59D32">
        <w:rPr>
          <w:rFonts w:eastAsia="Arial"/>
        </w:rPr>
        <w:t xml:space="preserve"> emission factors </w:t>
      </w:r>
      <w:r w:rsidR="0002199F">
        <w:rPr>
          <w:rFonts w:eastAsia="Arial"/>
        </w:rPr>
        <w:t>shall</w:t>
      </w:r>
      <w:r w:rsidRPr="6BB59D32">
        <w:rPr>
          <w:rFonts w:eastAsia="Arial"/>
        </w:rPr>
        <w:t xml:space="preserve"> be documented electronically in a spreadsheet that </w:t>
      </w:r>
      <w:r w:rsidR="0002199F">
        <w:rPr>
          <w:rFonts w:eastAsia="Arial"/>
        </w:rPr>
        <w:t>shall</w:t>
      </w:r>
      <w:r w:rsidRPr="6BB59D32">
        <w:rPr>
          <w:rFonts w:eastAsia="Arial"/>
        </w:rPr>
        <w:t xml:space="preserve"> be attached to the </w:t>
      </w:r>
      <w:r w:rsidRPr="00780E96">
        <w:rPr>
          <w:rFonts w:eastAsia="Arial"/>
        </w:rPr>
        <w:t>PDD</w:t>
      </w:r>
      <w:r w:rsidR="004052F7" w:rsidRPr="00780E96">
        <w:rPr>
          <w:rFonts w:eastAsia="Arial"/>
        </w:rPr>
        <w:t xml:space="preserve"> </w:t>
      </w:r>
      <w:r w:rsidR="004052F7" w:rsidRPr="00780E96">
        <w:t>or CP-DD</w:t>
      </w:r>
      <w:r w:rsidR="00A74347" w:rsidRPr="00780E96">
        <w:t xml:space="preserve"> </w:t>
      </w:r>
      <w:r w:rsidR="2EFF306A" w:rsidRPr="00780E96">
        <w:rPr>
          <w:rFonts w:eastAsia="Arial"/>
        </w:rPr>
        <w:t>and</w:t>
      </w:r>
      <w:r w:rsidR="000150BF" w:rsidRPr="00780E96">
        <w:rPr>
          <w:rFonts w:eastAsia="Arial"/>
        </w:rPr>
        <w:t>,</w:t>
      </w:r>
      <w:r w:rsidR="2EFF306A" w:rsidRPr="00780E96">
        <w:rPr>
          <w:rFonts w:eastAsia="Arial"/>
        </w:rPr>
        <w:t xml:space="preserve"> </w:t>
      </w:r>
      <w:r w:rsidR="000150BF" w:rsidRPr="00780E96">
        <w:rPr>
          <w:rFonts w:eastAsia="Arial"/>
        </w:rPr>
        <w:t xml:space="preserve">where applicable, to </w:t>
      </w:r>
      <w:r w:rsidR="2EFF306A" w:rsidRPr="00780E96">
        <w:rPr>
          <w:rFonts w:eastAsia="Arial"/>
        </w:rPr>
        <w:t>monitoring report</w:t>
      </w:r>
      <w:r w:rsidR="000150BF" w:rsidRPr="00780E96">
        <w:rPr>
          <w:rFonts w:eastAsia="Arial"/>
        </w:rPr>
        <w:t>s</w:t>
      </w:r>
      <w:r w:rsidR="1935CD07" w:rsidRPr="00780E96">
        <w:rPr>
          <w:rFonts w:eastAsia="Arial"/>
        </w:rPr>
        <w:t xml:space="preserve">. </w:t>
      </w:r>
      <w:r w:rsidR="47B5364A" w:rsidRPr="00780E96">
        <w:rPr>
          <w:rFonts w:eastAsia="Arial"/>
        </w:rPr>
        <w:t xml:space="preserve">All data shall be presented in a manner that enables </w:t>
      </w:r>
      <w:r w:rsidR="000150BF" w:rsidRPr="00780E96">
        <w:rPr>
          <w:rFonts w:eastAsia="Arial"/>
        </w:rPr>
        <w:t xml:space="preserve">reproduction </w:t>
      </w:r>
      <w:r w:rsidR="47B5364A" w:rsidRPr="00780E96">
        <w:rPr>
          <w:rFonts w:eastAsia="Arial"/>
        </w:rPr>
        <w:t xml:space="preserve">of the calculation of the </w:t>
      </w:r>
      <w:r w:rsidR="002B1CCE" w:rsidRPr="00780E96">
        <w:rPr>
          <w:rFonts w:eastAsia="Arial"/>
        </w:rPr>
        <w:t>OM and BM</w:t>
      </w:r>
      <w:r w:rsidR="47B5364A" w:rsidRPr="00780E96">
        <w:rPr>
          <w:rFonts w:eastAsia="Arial"/>
        </w:rPr>
        <w:t xml:space="preserve"> emission factor</w:t>
      </w:r>
      <w:r w:rsidR="20B9ED7F" w:rsidRPr="00780E96">
        <w:rPr>
          <w:rFonts w:eastAsia="Arial"/>
        </w:rPr>
        <w:t>s</w:t>
      </w:r>
      <w:r w:rsidR="2C2A44BB" w:rsidRPr="00780E96">
        <w:rPr>
          <w:rFonts w:eastAsia="Arial"/>
        </w:rPr>
        <w:t xml:space="preserve">. </w:t>
      </w:r>
      <w:r w:rsidR="1935CD07" w:rsidRPr="00780E96">
        <w:rPr>
          <w:rFonts w:eastAsia="Arial"/>
        </w:rPr>
        <w:t xml:space="preserve">This </w:t>
      </w:r>
      <w:r w:rsidR="002B1CCE" w:rsidRPr="00780E96">
        <w:rPr>
          <w:rFonts w:eastAsia="Arial"/>
        </w:rPr>
        <w:t>shall</w:t>
      </w:r>
      <w:r w:rsidR="1935CD07" w:rsidRPr="00780E96">
        <w:rPr>
          <w:rFonts w:eastAsia="Arial"/>
        </w:rPr>
        <w:t xml:space="preserve"> include all data used to calculate the emission factors, including:</w:t>
      </w:r>
    </w:p>
    <w:p w14:paraId="7804079F" w14:textId="2A66FAF9" w:rsidR="00A65367" w:rsidRPr="00F65332" w:rsidRDefault="00A65367" w:rsidP="00F62D64">
      <w:pPr>
        <w:pStyle w:val="SDMSubPara1"/>
        <w:keepNext/>
      </w:pPr>
      <w:r w:rsidRPr="00780E96">
        <w:rPr>
          <w:rFonts w:eastAsia="Arial"/>
        </w:rPr>
        <w:t xml:space="preserve">The following </w:t>
      </w:r>
      <w:r w:rsidRPr="00780E96">
        <w:t>information</w:t>
      </w:r>
      <w:r w:rsidRPr="00780E96">
        <w:rPr>
          <w:rFonts w:eastAsia="Arial"/>
        </w:rPr>
        <w:t xml:space="preserve"> for each power plant</w:t>
      </w:r>
      <w:r w:rsidR="00913F97" w:rsidRPr="00780E96">
        <w:rPr>
          <w:rFonts w:eastAsia="Arial"/>
        </w:rPr>
        <w:t xml:space="preserve"> or power</w:t>
      </w:r>
      <w:r w:rsidR="00913F97" w:rsidRPr="00B15AC9">
        <w:rPr>
          <w:rFonts w:eastAsia="Arial"/>
        </w:rPr>
        <w:t xml:space="preserve"> </w:t>
      </w:r>
      <w:r w:rsidRPr="00B15AC9">
        <w:rPr>
          <w:rFonts w:eastAsia="Arial"/>
        </w:rPr>
        <w:t>unit:</w:t>
      </w:r>
    </w:p>
    <w:p w14:paraId="4DA5670E" w14:textId="77777777" w:rsidR="00A65367" w:rsidRPr="00307112" w:rsidRDefault="00A65367" w:rsidP="00F65332">
      <w:pPr>
        <w:pStyle w:val="SDMSubPara2"/>
      </w:pPr>
      <w:r w:rsidRPr="00307112">
        <w:t>Information to clearly identify the plant;</w:t>
      </w:r>
    </w:p>
    <w:p w14:paraId="5D6F6D82" w14:textId="77777777" w:rsidR="00A65367" w:rsidRPr="00307112" w:rsidRDefault="00A65367" w:rsidP="00F65332">
      <w:pPr>
        <w:pStyle w:val="SDMSubPara2"/>
      </w:pPr>
      <w:r w:rsidRPr="00307112">
        <w:t>The date of commissioning;</w:t>
      </w:r>
    </w:p>
    <w:p w14:paraId="16C903DF" w14:textId="4BB6E033" w:rsidR="00A65367" w:rsidRPr="00307112" w:rsidRDefault="004435E2" w:rsidP="00F65332">
      <w:pPr>
        <w:pStyle w:val="SDMSubPara2"/>
      </w:pPr>
      <w:r>
        <w:t>Installed</w:t>
      </w:r>
      <w:r w:rsidRPr="00307112">
        <w:t xml:space="preserve"> </w:t>
      </w:r>
      <w:r w:rsidR="00A65367" w:rsidRPr="00307112">
        <w:t>capacity (MW);</w:t>
      </w:r>
    </w:p>
    <w:p w14:paraId="38A64E37" w14:textId="41C3D1C7" w:rsidR="00A65367" w:rsidRPr="00307112" w:rsidRDefault="002B6374" w:rsidP="00F65332">
      <w:pPr>
        <w:pStyle w:val="SDMSubPara2"/>
      </w:pPr>
      <w:r>
        <w:t>F</w:t>
      </w:r>
      <w:r w:rsidR="00A65367" w:rsidRPr="00307112">
        <w:t>uel type(s) used;</w:t>
      </w:r>
    </w:p>
    <w:p w14:paraId="5F136367" w14:textId="77777777" w:rsidR="00FF70B5" w:rsidRDefault="00A65367" w:rsidP="00F65332">
      <w:pPr>
        <w:pStyle w:val="SDMSubPara2"/>
      </w:pPr>
      <w:r w:rsidRPr="00307112">
        <w:t>The quantity of net electricity generation in the relevant year(s);</w:t>
      </w:r>
    </w:p>
    <w:p w14:paraId="05D954F1" w14:textId="44287D9C" w:rsidR="00A65367" w:rsidRPr="00307112" w:rsidRDefault="7684842A" w:rsidP="00F65332">
      <w:pPr>
        <w:pStyle w:val="SDMSubPara2"/>
      </w:pPr>
      <w:r>
        <w:t xml:space="preserve">Where </w:t>
      </w:r>
      <w:r w:rsidR="51413813">
        <w:t>applicable</w:t>
      </w:r>
      <w:r>
        <w:t xml:space="preserve">, </w:t>
      </w:r>
      <w:r w:rsidR="51413813">
        <w:t xml:space="preserve">the fuel consumption of each fuel type in the relevant </w:t>
      </w:r>
      <w:r w:rsidR="43F159BC">
        <w:t>period</w:t>
      </w:r>
      <w:r w:rsidR="51413813">
        <w:t>(s);</w:t>
      </w:r>
    </w:p>
    <w:p w14:paraId="7D9C51F3" w14:textId="33423191" w:rsidR="00A65367" w:rsidRPr="00307112" w:rsidRDefault="7684842A" w:rsidP="00F65332">
      <w:pPr>
        <w:pStyle w:val="SDMSubPara2"/>
      </w:pPr>
      <w:r>
        <w:t>W</w:t>
      </w:r>
      <w:r w:rsidR="51413813">
        <w:t xml:space="preserve">here the simple OM or simple adjusted </w:t>
      </w:r>
      <w:r w:rsidR="76713476">
        <w:t>OM</w:t>
      </w:r>
      <w:r w:rsidR="51413813">
        <w:t xml:space="preserve"> is </w:t>
      </w:r>
      <w:r w:rsidR="4D6F08EB">
        <w:t>applied,</w:t>
      </w:r>
      <w:r w:rsidR="51413813">
        <w:t xml:space="preserve"> </w:t>
      </w:r>
      <w:r w:rsidR="4D6F08EB">
        <w:t xml:space="preserve">an indication of </w:t>
      </w:r>
      <w:r w:rsidR="51413813">
        <w:t>whether the plant</w:t>
      </w:r>
      <w:r w:rsidR="4D6F08EB">
        <w:t xml:space="preserve"> or </w:t>
      </w:r>
      <w:r w:rsidR="51413813">
        <w:t xml:space="preserve">unit is </w:t>
      </w:r>
      <w:r w:rsidR="16434674">
        <w:t xml:space="preserve">designated </w:t>
      </w:r>
      <w:r w:rsidR="51413813">
        <w:t>a</w:t>
      </w:r>
      <w:r w:rsidR="16434674">
        <w:t>s</w:t>
      </w:r>
      <w:r w:rsidR="51413813">
        <w:t xml:space="preserve"> must-run plant</w:t>
      </w:r>
      <w:r w:rsidR="6DF6DC8E">
        <w:t>;</w:t>
      </w:r>
    </w:p>
    <w:p w14:paraId="7100E484" w14:textId="3366FAB9" w:rsidR="00A65367" w:rsidRPr="00C92D67" w:rsidRDefault="00A65367" w:rsidP="00F65332">
      <w:pPr>
        <w:pStyle w:val="SDMSubPara2"/>
        <w:rPr>
          <w:rFonts w:eastAsia="Arial"/>
        </w:rPr>
      </w:pPr>
      <w:r w:rsidRPr="00C92D67">
        <w:rPr>
          <w:rFonts w:eastAsia="Arial"/>
        </w:rPr>
        <w:t>Net calorific values used;</w:t>
      </w:r>
    </w:p>
    <w:p w14:paraId="4A4B84ED" w14:textId="77777777" w:rsidR="00A65367" w:rsidRPr="00C92D67" w:rsidRDefault="00A65367" w:rsidP="00F65332">
      <w:pPr>
        <w:pStyle w:val="SDMSubPara2"/>
        <w:rPr>
          <w:rFonts w:eastAsia="Arial"/>
        </w:rPr>
      </w:pPr>
      <w:r w:rsidRPr="00C92D67">
        <w:rPr>
          <w:rFonts w:eastAsia="Arial"/>
        </w:rPr>
        <w:t>CO</w:t>
      </w:r>
      <w:r w:rsidRPr="00C92D67">
        <w:rPr>
          <w:rFonts w:eastAsia="Arial"/>
          <w:vertAlign w:val="subscript"/>
        </w:rPr>
        <w:t>2</w:t>
      </w:r>
      <w:r w:rsidRPr="00C92D67">
        <w:rPr>
          <w:rFonts w:eastAsia="Arial"/>
        </w:rPr>
        <w:t xml:space="preserve"> emission factors used;</w:t>
      </w:r>
    </w:p>
    <w:p w14:paraId="4E37645E" w14:textId="77777777" w:rsidR="00A65367" w:rsidRPr="00C92D67" w:rsidRDefault="00A65367" w:rsidP="00F65332">
      <w:pPr>
        <w:pStyle w:val="SDMSubPara2"/>
        <w:rPr>
          <w:rFonts w:eastAsia="Arial"/>
        </w:rPr>
      </w:pPr>
      <w:r w:rsidRPr="00C92D67">
        <w:rPr>
          <w:rFonts w:eastAsia="Arial"/>
        </w:rPr>
        <w:t>Plant efficiencies used;</w:t>
      </w:r>
    </w:p>
    <w:p w14:paraId="3E12560C" w14:textId="4EE38355" w:rsidR="00A65367" w:rsidRPr="00C92D67" w:rsidRDefault="0B1DE836" w:rsidP="00F65332">
      <w:pPr>
        <w:pStyle w:val="SDMSubPara2"/>
        <w:rPr>
          <w:rFonts w:eastAsia="Arial"/>
        </w:rPr>
      </w:pPr>
      <w:r w:rsidRPr="6BB59D32">
        <w:rPr>
          <w:rFonts w:eastAsia="Arial"/>
        </w:rPr>
        <w:t xml:space="preserve">Identification of the </w:t>
      </w:r>
      <w:r w:rsidR="0000177D">
        <w:rPr>
          <w:rFonts w:eastAsia="Arial"/>
        </w:rPr>
        <w:t xml:space="preserve">power </w:t>
      </w:r>
      <w:r w:rsidRPr="6BB59D32">
        <w:rPr>
          <w:rFonts w:eastAsia="Arial"/>
        </w:rPr>
        <w:t>plants</w:t>
      </w:r>
      <w:r w:rsidR="0000177D">
        <w:rPr>
          <w:rFonts w:eastAsia="Arial"/>
        </w:rPr>
        <w:t xml:space="preserve"> or units</w:t>
      </w:r>
      <w:r w:rsidRPr="6BB59D32">
        <w:rPr>
          <w:rFonts w:eastAsia="Arial"/>
        </w:rPr>
        <w:t xml:space="preserve"> included in the </w:t>
      </w:r>
      <w:r w:rsidR="0000177D">
        <w:rPr>
          <w:rFonts w:eastAsia="Arial"/>
        </w:rPr>
        <w:t>BM</w:t>
      </w:r>
      <w:r w:rsidRPr="6BB59D32">
        <w:rPr>
          <w:rFonts w:eastAsia="Arial"/>
        </w:rPr>
        <w:t xml:space="preserve"> and </w:t>
      </w:r>
      <w:r w:rsidR="0000177D">
        <w:rPr>
          <w:rFonts w:eastAsia="Arial"/>
        </w:rPr>
        <w:t>OM</w:t>
      </w:r>
      <w:r w:rsidRPr="6BB59D32">
        <w:rPr>
          <w:rFonts w:eastAsia="Arial"/>
        </w:rPr>
        <w:t xml:space="preserve"> during the relevant </w:t>
      </w:r>
      <w:r w:rsidR="43F38CAF" w:rsidRPr="6BB59D32">
        <w:rPr>
          <w:rFonts w:eastAsia="Arial"/>
        </w:rPr>
        <w:t>period</w:t>
      </w:r>
      <w:r w:rsidRPr="6BB59D32">
        <w:rPr>
          <w:rFonts w:eastAsia="Arial"/>
        </w:rPr>
        <w:t>(s)</w:t>
      </w:r>
      <w:r w:rsidR="006120EE">
        <w:rPr>
          <w:rFonts w:eastAsia="Arial"/>
        </w:rPr>
        <w:t>.</w:t>
      </w:r>
    </w:p>
    <w:p w14:paraId="607BD36A" w14:textId="60C1FBAF" w:rsidR="00A65367" w:rsidRPr="00C92D67" w:rsidRDefault="0000177D" w:rsidP="00F65332">
      <w:pPr>
        <w:pStyle w:val="SDMSubPara1"/>
        <w:rPr>
          <w:rFonts w:eastAsia="Arial"/>
        </w:rPr>
      </w:pPr>
      <w:r>
        <w:rPr>
          <w:rFonts w:eastAsia="Arial"/>
        </w:rPr>
        <w:t>Where</w:t>
      </w:r>
      <w:r w:rsidR="0B1DE836" w:rsidRPr="6BB59D32">
        <w:rPr>
          <w:rFonts w:eastAsia="Arial"/>
        </w:rPr>
        <w:t xml:space="preserve"> the </w:t>
      </w:r>
      <w:r w:rsidR="6C3F5312" w:rsidRPr="6BB59D32">
        <w:rPr>
          <w:rFonts w:eastAsia="Arial"/>
        </w:rPr>
        <w:t xml:space="preserve">simple </w:t>
      </w:r>
      <w:r>
        <w:rPr>
          <w:rFonts w:eastAsia="Arial"/>
        </w:rPr>
        <w:t>OM</w:t>
      </w:r>
      <w:r w:rsidR="6C3F5312" w:rsidRPr="6BB59D32">
        <w:rPr>
          <w:rFonts w:eastAsia="Arial"/>
        </w:rPr>
        <w:t xml:space="preserve"> or</w:t>
      </w:r>
      <w:r w:rsidR="0B1DE836" w:rsidRPr="6BB59D32">
        <w:rPr>
          <w:rFonts w:eastAsia="Arial"/>
        </w:rPr>
        <w:t xml:space="preserve"> simple adjusted </w:t>
      </w:r>
      <w:r w:rsidR="00C5576B">
        <w:rPr>
          <w:rFonts w:eastAsia="Arial"/>
        </w:rPr>
        <w:t>OM</w:t>
      </w:r>
      <w:r w:rsidR="0B1DE836" w:rsidRPr="6BB59D32">
        <w:rPr>
          <w:rFonts w:eastAsia="Arial"/>
        </w:rPr>
        <w:t xml:space="preserve"> is </w:t>
      </w:r>
      <w:r>
        <w:rPr>
          <w:rFonts w:eastAsia="Arial"/>
        </w:rPr>
        <w:t>applied,</w:t>
      </w:r>
      <w:r w:rsidR="00F74E46">
        <w:rPr>
          <w:rFonts w:eastAsia="Arial"/>
        </w:rPr>
        <w:t xml:space="preserve"> </w:t>
      </w:r>
      <w:r w:rsidR="00C9705A">
        <w:rPr>
          <w:rFonts w:eastAsia="Arial"/>
        </w:rPr>
        <w:t xml:space="preserve">the </w:t>
      </w:r>
      <w:r w:rsidR="0B1DE836" w:rsidRPr="6BB59D32">
        <w:rPr>
          <w:rFonts w:eastAsia="Arial"/>
        </w:rPr>
        <w:t>hour</w:t>
      </w:r>
      <w:r w:rsidR="4E88A0F4" w:rsidRPr="6BB59D32">
        <w:rPr>
          <w:rFonts w:eastAsia="Arial"/>
        </w:rPr>
        <w:t>s</w:t>
      </w:r>
      <w:r w:rsidR="0B1DE836" w:rsidRPr="6BB59D32">
        <w:rPr>
          <w:rFonts w:eastAsia="Arial"/>
        </w:rPr>
        <w:t xml:space="preserve"> </w:t>
      </w:r>
      <w:r w:rsidR="00C9705A">
        <w:rPr>
          <w:rFonts w:eastAsia="Arial"/>
        </w:rPr>
        <w:t>during which</w:t>
      </w:r>
      <w:r w:rsidR="00C9705A" w:rsidRPr="6BB59D32">
        <w:rPr>
          <w:rFonts w:eastAsia="Arial"/>
        </w:rPr>
        <w:t xml:space="preserve"> </w:t>
      </w:r>
      <w:r w:rsidR="6F694DCF" w:rsidRPr="003B33DD">
        <w:rPr>
          <w:rFonts w:eastAsia="Arial"/>
        </w:rPr>
        <w:t>renewable</w:t>
      </w:r>
      <w:r w:rsidR="6F694DCF">
        <w:t xml:space="preserve"> electricity </w:t>
      </w:r>
      <w:r w:rsidR="6F694DCF" w:rsidRPr="0007060D">
        <w:t xml:space="preserve">generation in the electricity system is curtailed because available output exceeded what the electricity system could absorb and/or </w:t>
      </w:r>
      <w:r w:rsidR="793FF3E1" w:rsidRPr="0007060D">
        <w:rPr>
          <w:rFonts w:eastAsia="Arial"/>
        </w:rPr>
        <w:t>the project electricity system operates solely based on renewable, nuclear, and/or storage power units, as applicable</w:t>
      </w:r>
      <w:r w:rsidR="0B1DE836" w:rsidRPr="6BB59D32">
        <w:rPr>
          <w:rFonts w:eastAsia="Arial"/>
        </w:rPr>
        <w:t>;</w:t>
      </w:r>
      <w:r w:rsidR="00651CC4">
        <w:rPr>
          <w:rFonts w:eastAsia="Arial"/>
        </w:rPr>
        <w:t xml:space="preserve"> and</w:t>
      </w:r>
    </w:p>
    <w:p w14:paraId="096A672C" w14:textId="076F59E2" w:rsidR="00A65367" w:rsidRPr="00780E96" w:rsidRDefault="00C9705A" w:rsidP="00F62D64">
      <w:pPr>
        <w:pStyle w:val="SDMSubPara1"/>
        <w:keepNext/>
        <w:rPr>
          <w:rFonts w:eastAsia="Arial"/>
        </w:rPr>
      </w:pPr>
      <w:r>
        <w:rPr>
          <w:rFonts w:eastAsia="Arial"/>
        </w:rPr>
        <w:t>Where</w:t>
      </w:r>
      <w:r w:rsidR="0B1DE836" w:rsidRPr="6BB59D32">
        <w:rPr>
          <w:rFonts w:eastAsia="Arial"/>
        </w:rPr>
        <w:t xml:space="preserve"> the dispatch data </w:t>
      </w:r>
      <w:r>
        <w:rPr>
          <w:rFonts w:eastAsia="Arial"/>
        </w:rPr>
        <w:t>OM</w:t>
      </w:r>
      <w:r w:rsidR="0B1DE836" w:rsidRPr="6BB59D32">
        <w:rPr>
          <w:rFonts w:eastAsia="Arial"/>
        </w:rPr>
        <w:t xml:space="preserve"> is </w:t>
      </w:r>
      <w:r>
        <w:rPr>
          <w:rFonts w:eastAsia="Arial"/>
        </w:rPr>
        <w:t>applied</w:t>
      </w:r>
      <w:r w:rsidR="003220DB">
        <w:rPr>
          <w:rFonts w:eastAsia="Arial"/>
        </w:rPr>
        <w:t>,</w:t>
      </w:r>
      <w:r w:rsidR="0B1DE836" w:rsidRPr="6BB59D32">
        <w:rPr>
          <w:rFonts w:eastAsia="Arial"/>
        </w:rPr>
        <w:t xml:space="preserve"> for each hour</w:t>
      </w:r>
      <w:r w:rsidR="00321E72">
        <w:rPr>
          <w:rFonts w:eastAsia="Arial"/>
        </w:rPr>
        <w:t> </w:t>
      </w:r>
      <w:r w:rsidR="0B1DE836" w:rsidRPr="003220DB">
        <w:rPr>
          <w:rFonts w:eastAsia="Arial"/>
          <w:i/>
          <w:iCs/>
        </w:rPr>
        <w:t>h</w:t>
      </w:r>
      <w:r w:rsidR="0B1DE836" w:rsidRPr="6BB59D32">
        <w:rPr>
          <w:rFonts w:eastAsia="Arial"/>
        </w:rPr>
        <w:t xml:space="preserve"> </w:t>
      </w:r>
      <w:r w:rsidR="003220DB">
        <w:rPr>
          <w:rFonts w:eastAsia="Arial"/>
        </w:rPr>
        <w:t>in which</w:t>
      </w:r>
      <w:r w:rsidR="003220DB" w:rsidRPr="6BB59D32">
        <w:rPr>
          <w:rFonts w:eastAsia="Arial"/>
        </w:rPr>
        <w:t xml:space="preserve"> </w:t>
      </w:r>
      <w:r w:rsidR="0B1DE836" w:rsidRPr="6BB59D32">
        <w:rPr>
          <w:rFonts w:eastAsia="Arial"/>
        </w:rPr>
        <w:t xml:space="preserve">the </w:t>
      </w:r>
      <w:r w:rsidR="003220DB">
        <w:rPr>
          <w:rFonts w:eastAsia="Arial"/>
        </w:rPr>
        <w:t xml:space="preserve">Article 6.4 </w:t>
      </w:r>
      <w:r w:rsidR="001114BA" w:rsidRPr="00780E96">
        <w:rPr>
          <w:rFonts w:eastAsia="Arial"/>
        </w:rPr>
        <w:t xml:space="preserve">project or CP </w:t>
      </w:r>
      <w:r w:rsidR="00CF79BB" w:rsidRPr="00780E96">
        <w:rPr>
          <w:rFonts w:eastAsia="Arial"/>
        </w:rPr>
        <w:t>displaces</w:t>
      </w:r>
      <w:r w:rsidR="3F7BBDFE" w:rsidRPr="00780E96">
        <w:rPr>
          <w:rFonts w:eastAsia="Arial"/>
        </w:rPr>
        <w:t xml:space="preserve"> electricity</w:t>
      </w:r>
      <w:r w:rsidR="0B1DE836" w:rsidRPr="00780E96">
        <w:rPr>
          <w:rFonts w:eastAsia="Arial"/>
        </w:rPr>
        <w:t xml:space="preserve"> </w:t>
      </w:r>
      <w:r w:rsidR="4D81BDF5" w:rsidRPr="00780E96">
        <w:rPr>
          <w:rFonts w:eastAsia="Arial"/>
        </w:rPr>
        <w:t xml:space="preserve">in, or </w:t>
      </w:r>
      <w:r w:rsidR="00CF79BB" w:rsidRPr="00780E96">
        <w:rPr>
          <w:rFonts w:eastAsia="Arial"/>
        </w:rPr>
        <w:t xml:space="preserve">consumes </w:t>
      </w:r>
      <w:r w:rsidR="481C9E7E" w:rsidRPr="00780E96">
        <w:rPr>
          <w:rFonts w:eastAsia="Arial"/>
        </w:rPr>
        <w:t>electricity</w:t>
      </w:r>
      <w:r w:rsidR="4D81BDF5" w:rsidRPr="00780E96">
        <w:rPr>
          <w:rFonts w:eastAsia="Arial"/>
        </w:rPr>
        <w:t xml:space="preserve"> </w:t>
      </w:r>
      <w:r w:rsidR="01449AF9" w:rsidRPr="00780E96">
        <w:rPr>
          <w:rFonts w:eastAsia="Arial"/>
        </w:rPr>
        <w:t>from</w:t>
      </w:r>
      <w:r w:rsidR="00CF79BB" w:rsidRPr="00780E96">
        <w:rPr>
          <w:rFonts w:eastAsia="Arial"/>
        </w:rPr>
        <w:t>,</w:t>
      </w:r>
      <w:r w:rsidR="01449AF9" w:rsidRPr="00780E96">
        <w:rPr>
          <w:rFonts w:eastAsia="Arial"/>
        </w:rPr>
        <w:t xml:space="preserve"> the </w:t>
      </w:r>
      <w:r w:rsidR="01449AF9" w:rsidRPr="00780E96">
        <w:t>electricity system</w:t>
      </w:r>
      <w:r w:rsidR="0B1DE836" w:rsidRPr="00780E96">
        <w:rPr>
          <w:rFonts w:eastAsia="Arial"/>
        </w:rPr>
        <w:t>:</w:t>
      </w:r>
    </w:p>
    <w:p w14:paraId="5204B868" w14:textId="77777777" w:rsidR="00A65367" w:rsidRPr="00780E96" w:rsidRDefault="0B1DE836" w:rsidP="00B15AC9">
      <w:pPr>
        <w:pStyle w:val="SDMSubPara2"/>
      </w:pPr>
      <w:r w:rsidRPr="00780E96">
        <w:t>The dispatch order of all power plants</w:t>
      </w:r>
      <w:r w:rsidR="01449AF9" w:rsidRPr="00780E96">
        <w:t xml:space="preserve"> connected to the electricity system</w:t>
      </w:r>
      <w:r w:rsidRPr="00780E96">
        <w:t>;</w:t>
      </w:r>
    </w:p>
    <w:p w14:paraId="1A235B2E" w14:textId="77777777" w:rsidR="00A65367" w:rsidRPr="00780E96" w:rsidRDefault="0B1DE836" w:rsidP="00F65332">
      <w:pPr>
        <w:pStyle w:val="SDMSubPara2"/>
      </w:pPr>
      <w:r w:rsidRPr="00780E96">
        <w:t xml:space="preserve">The total electricity </w:t>
      </w:r>
      <w:r w:rsidR="21066050" w:rsidRPr="00780E96">
        <w:t>generation of the electricity system</w:t>
      </w:r>
      <w:r w:rsidRPr="00780E96">
        <w:t>;</w:t>
      </w:r>
    </w:p>
    <w:p w14:paraId="596DAEAE" w14:textId="06644AD3" w:rsidR="00A65367" w:rsidRPr="00780E96" w:rsidRDefault="51413813" w:rsidP="00F65332">
      <w:pPr>
        <w:pStyle w:val="SDMSubPara2"/>
      </w:pPr>
      <w:r w:rsidRPr="00780E96">
        <w:t xml:space="preserve">The quantity of electricity displaced </w:t>
      </w:r>
      <w:r w:rsidR="4D322397" w:rsidRPr="00780E96">
        <w:t xml:space="preserve">or consumed </w:t>
      </w:r>
      <w:r w:rsidRPr="00780E96">
        <w:t xml:space="preserve">by the </w:t>
      </w:r>
      <w:r w:rsidR="0508092B" w:rsidRPr="00780E96">
        <w:t>Article 6.4</w:t>
      </w:r>
      <w:r w:rsidR="0025117C" w:rsidRPr="00780E96">
        <w:t xml:space="preserve"> </w:t>
      </w:r>
      <w:r w:rsidR="001114BA" w:rsidRPr="00780E96">
        <w:rPr>
          <w:rFonts w:eastAsia="Arial"/>
        </w:rPr>
        <w:t>project or CP</w:t>
      </w:r>
      <w:r w:rsidR="006120EE" w:rsidRPr="00780E96">
        <w:t>.</w:t>
      </w:r>
    </w:p>
    <w:p w14:paraId="5FD3212D" w14:textId="1F340B1A" w:rsidR="00A65367" w:rsidRPr="00780E96" w:rsidRDefault="00A65367" w:rsidP="00F65332">
      <w:pPr>
        <w:pStyle w:val="SDMSubPara1"/>
      </w:pPr>
      <w:r w:rsidRPr="00780E96">
        <w:t xml:space="preserve">Identification of the </w:t>
      </w:r>
      <w:r w:rsidR="00651CC4" w:rsidRPr="00780E96">
        <w:t xml:space="preserve">power </w:t>
      </w:r>
      <w:r w:rsidRPr="00780E96">
        <w:t xml:space="preserve">plants </w:t>
      </w:r>
      <w:r w:rsidR="00651CC4" w:rsidRPr="00780E96">
        <w:t xml:space="preserve">operating at the margin and, </w:t>
      </w:r>
      <w:r w:rsidRPr="00780E96">
        <w:t>for each</w:t>
      </w:r>
      <w:r w:rsidR="00EC6E7E" w:rsidRPr="00780E96">
        <w:t xml:space="preserve"> such</w:t>
      </w:r>
      <w:r w:rsidRPr="00780E96">
        <w:t xml:space="preserve"> plant</w:t>
      </w:r>
      <w:r w:rsidR="00EC6E7E" w:rsidRPr="00780E96">
        <w:t>,</w:t>
      </w:r>
      <w:r w:rsidRPr="00780E96">
        <w:t xml:space="preserve"> information on electricity generation and, where hourly fuel consumption data </w:t>
      </w:r>
      <w:r w:rsidR="00EC6E7E" w:rsidRPr="00780E96">
        <w:t xml:space="preserve">are </w:t>
      </w:r>
      <w:r w:rsidRPr="00780E96">
        <w:t>available, the types and quantities of fuels consumed during that hour.</w:t>
      </w:r>
    </w:p>
    <w:p w14:paraId="297C6A69" w14:textId="70CD3FE2" w:rsidR="004073D9" w:rsidRPr="00780E96" w:rsidRDefault="00813842">
      <w:pPr>
        <w:pStyle w:val="SDMPara"/>
      </w:pPr>
      <w:r w:rsidRPr="00780E96">
        <w:t>The period for aggregating the amount of electricity generation or consumption shall align with the period used to determine the emission factor</w:t>
      </w:r>
      <w:r w:rsidR="00C17C61" w:rsidRPr="00780E96">
        <w:t>.</w:t>
      </w:r>
    </w:p>
    <w:p w14:paraId="41AC9EA1" w14:textId="6A8003BB" w:rsidR="00A65367" w:rsidRPr="00780E96" w:rsidRDefault="12865A3D" w:rsidP="003B33DD">
      <w:pPr>
        <w:pStyle w:val="Caption"/>
      </w:pPr>
      <w:bookmarkStart w:id="942" w:name="_Ref220958398"/>
      <w:r w:rsidRPr="00780E96">
        <w:t>Data / Parameter table</w:t>
      </w:r>
      <w:r w:rsidR="00D47AFF" w:rsidRPr="00780E96">
        <w:t> </w:t>
      </w:r>
      <w:fldSimple w:instr=" SEQ Data_/_Parameter_table \* ARABIC ">
        <w:r w:rsidR="003B0135" w:rsidRPr="00780E96">
          <w:rPr>
            <w:noProof/>
          </w:rPr>
          <w:t>1</w:t>
        </w:r>
      </w:fldSimple>
      <w:bookmarkEnd w:id="942"/>
      <w:r w:rsidR="00321E72" w:rsidRPr="00780E96">
        <w:t>.</w:t>
      </w:r>
    </w:p>
    <w:tbl>
      <w:tblPr>
        <w:tblStyle w:val="TableGrid"/>
        <w:tblW w:w="8529" w:type="dxa"/>
        <w:tblInd w:w="8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7"/>
        <w:gridCol w:w="1784"/>
        <w:gridCol w:w="358"/>
        <w:gridCol w:w="1957"/>
        <w:gridCol w:w="2013"/>
      </w:tblGrid>
      <w:tr w:rsidR="00631269" w:rsidRPr="00780E96" w14:paraId="49391F16" w14:textId="77777777" w:rsidTr="00CC0FD5">
        <w:trPr>
          <w:trHeight w:val="300"/>
        </w:trPr>
        <w:tc>
          <w:tcPr>
            <w:tcW w:w="2417" w:type="dxa"/>
            <w:shd w:val="clear" w:color="auto" w:fill="D9D9D9" w:themeFill="background1" w:themeFillShade="D9"/>
          </w:tcPr>
          <w:bookmarkEnd w:id="46"/>
          <w:bookmarkEnd w:id="47"/>
          <w:bookmarkEnd w:id="48"/>
          <w:bookmarkEnd w:id="49"/>
          <w:bookmarkEnd w:id="50"/>
          <w:bookmarkEnd w:id="51"/>
          <w:p w14:paraId="164E53D1" w14:textId="77777777" w:rsidR="00925217" w:rsidRPr="00780E96" w:rsidRDefault="00925217" w:rsidP="00F36908">
            <w:pPr>
              <w:pStyle w:val="SDMTableBoxParaNotNumbered"/>
              <w:keepNext/>
              <w:spacing w:before="60" w:after="60"/>
            </w:pPr>
            <w:r w:rsidRPr="00780E96">
              <w:t>Data/parameter</w:t>
            </w:r>
          </w:p>
        </w:tc>
        <w:tc>
          <w:tcPr>
            <w:tcW w:w="6112" w:type="dxa"/>
            <w:gridSpan w:val="4"/>
          </w:tcPr>
          <w:p w14:paraId="55F23DC9" w14:textId="77777777" w:rsidR="00925217" w:rsidRPr="00780E96" w:rsidRDefault="003F6646" w:rsidP="00F36908">
            <w:pPr>
              <w:pStyle w:val="SDMTableBoxParaNotNumbered"/>
              <w:keepNext/>
              <w:spacing w:before="60" w:after="60"/>
            </w:pPr>
            <m:oMath>
              <m:sSub>
                <m:sSubPr>
                  <m:ctrlPr>
                    <w:rPr>
                      <w:rFonts w:ascii="Cambria Math" w:hAnsi="Cambria Math"/>
                      <w:i/>
                    </w:rPr>
                  </m:ctrlPr>
                </m:sSubPr>
                <m:e>
                  <m:r>
                    <m:rPr>
                      <m:sty m:val="bi"/>
                    </m:rPr>
                    <w:rPr>
                      <w:rFonts w:ascii="Cambria Math" w:hAnsi="Cambria Math"/>
                    </w:rPr>
                    <m:t>EG</m:t>
                  </m:r>
                </m:e>
                <m:sub>
                  <m:r>
                    <m:rPr>
                      <m:sty m:val="bi"/>
                    </m:rPr>
                    <w:rPr>
                      <w:rFonts w:ascii="Cambria Math" w:hAnsi="Cambria Math"/>
                    </w:rPr>
                    <m:t>s</m:t>
                  </m:r>
                  <m:r>
                    <w:rPr>
                      <w:rFonts w:ascii="Cambria Math" w:hAnsi="Cambria Math"/>
                    </w:rPr>
                    <m:t>,</m:t>
                  </m:r>
                  <m:r>
                    <m:rPr>
                      <m:sty m:val="bi"/>
                    </m:rPr>
                    <w:rPr>
                      <w:rFonts w:ascii="Cambria Math" w:hAnsi="Cambria Math"/>
                    </w:rPr>
                    <m:t>y</m:t>
                  </m:r>
                </m:sub>
              </m:sSub>
            </m:oMath>
            <w:r w:rsidR="00925217" w:rsidRPr="00780E96">
              <w:rPr>
                <w:i/>
              </w:rPr>
              <w:t xml:space="preserve"> </w:t>
            </w:r>
            <w:r w:rsidR="00180031" w:rsidRPr="00780E96">
              <w:rPr>
                <w:iCs/>
              </w:rPr>
              <w:t xml:space="preserve">; </w:t>
            </w:r>
            <m:oMath>
              <m:sSub>
                <m:sSubPr>
                  <m:ctrlPr>
                    <w:rPr>
                      <w:rFonts w:ascii="Cambria Math" w:hAnsi="Cambria Math"/>
                      <w:i/>
                    </w:rPr>
                  </m:ctrlPr>
                </m:sSubPr>
                <m:e>
                  <m:r>
                    <m:rPr>
                      <m:sty m:val="bi"/>
                    </m:rPr>
                    <w:rPr>
                      <w:rFonts w:ascii="Cambria Math" w:hAnsi="Cambria Math"/>
                    </w:rPr>
                    <m:t>EG</m:t>
                  </m:r>
                </m:e>
                <m:sub>
                  <m:r>
                    <m:rPr>
                      <m:sty m:val="bi"/>
                    </m:rPr>
                    <w:rPr>
                      <w:rFonts w:ascii="Cambria Math" w:hAnsi="Cambria Math"/>
                    </w:rPr>
                    <m:t>s</m:t>
                  </m:r>
                  <m:r>
                    <w:rPr>
                      <w:rFonts w:ascii="Cambria Math" w:hAnsi="Cambria Math"/>
                    </w:rPr>
                    <m:t>,</m:t>
                  </m:r>
                  <m:r>
                    <m:rPr>
                      <m:sty m:val="bi"/>
                    </m:rPr>
                    <w:rPr>
                      <w:rFonts w:ascii="Cambria Math" w:hAnsi="Cambria Math"/>
                    </w:rPr>
                    <m:t>h</m:t>
                  </m:r>
                </m:sub>
              </m:sSub>
            </m:oMath>
          </w:p>
        </w:tc>
      </w:tr>
      <w:tr w:rsidR="00631269" w:rsidRPr="00780E96" w14:paraId="38D956A8" w14:textId="77777777" w:rsidTr="00CC0FD5">
        <w:trPr>
          <w:trHeight w:val="300"/>
        </w:trPr>
        <w:tc>
          <w:tcPr>
            <w:tcW w:w="2417" w:type="dxa"/>
            <w:shd w:val="clear" w:color="auto" w:fill="D9D9D9" w:themeFill="background1" w:themeFillShade="D9"/>
          </w:tcPr>
          <w:p w14:paraId="2F6A6B61" w14:textId="77777777" w:rsidR="00925217" w:rsidRPr="00780E96" w:rsidRDefault="00925217" w:rsidP="005C5484">
            <w:pPr>
              <w:pStyle w:val="SDMTableBoxParaNotNumbered"/>
              <w:keepNext/>
              <w:spacing w:before="60" w:after="60"/>
            </w:pPr>
            <w:r w:rsidRPr="00780E96">
              <w:t>Description</w:t>
            </w:r>
          </w:p>
        </w:tc>
        <w:tc>
          <w:tcPr>
            <w:tcW w:w="6112" w:type="dxa"/>
            <w:gridSpan w:val="4"/>
          </w:tcPr>
          <w:p w14:paraId="13B474FD" w14:textId="77777777" w:rsidR="00F74E46" w:rsidRPr="00780E96" w:rsidRDefault="003F6646" w:rsidP="005C5484">
            <w:pPr>
              <w:pStyle w:val="SDMTableBoxParaNotNumbered"/>
              <w:keepNext/>
              <w:spacing w:before="60" w:after="60"/>
              <w:rPr>
                <w:i/>
                <w:iCs/>
                <w:lang w:eastAsia="en-US"/>
              </w:rPr>
            </w:pPr>
            <m:oMath>
              <m:sSub>
                <m:sSubPr>
                  <m:ctrlPr>
                    <w:rPr>
                      <w:rFonts w:ascii="Cambria Math" w:hAnsi="Cambria Math"/>
                      <w:i/>
                    </w:rPr>
                  </m:ctrlPr>
                </m:sSubPr>
                <m:e>
                  <m:r>
                    <m:rPr>
                      <m:sty m:val="bi"/>
                    </m:rPr>
                    <w:rPr>
                      <w:rFonts w:ascii="Cambria Math" w:hAnsi="Cambria Math"/>
                    </w:rPr>
                    <m:t>EG</m:t>
                  </m:r>
                </m:e>
                <m:sub>
                  <m:r>
                    <m:rPr>
                      <m:sty m:val="bi"/>
                    </m:rPr>
                    <w:rPr>
                      <w:rFonts w:ascii="Cambria Math" w:hAnsi="Cambria Math"/>
                    </w:rPr>
                    <m:t>s</m:t>
                  </m:r>
                  <m:r>
                    <w:rPr>
                      <w:rFonts w:ascii="Cambria Math" w:hAnsi="Cambria Math"/>
                    </w:rPr>
                    <m:t>,</m:t>
                  </m:r>
                  <m:r>
                    <m:rPr>
                      <m:sty m:val="bi"/>
                    </m:rPr>
                    <w:rPr>
                      <w:rFonts w:ascii="Cambria Math" w:hAnsi="Cambria Math"/>
                    </w:rPr>
                    <m:t>y</m:t>
                  </m:r>
                </m:sub>
              </m:sSub>
            </m:oMath>
            <w:r w:rsidR="00855332" w:rsidRPr="00780E96">
              <w:rPr>
                <w:b/>
                <w:bCs/>
                <w:i/>
                <w:iCs/>
              </w:rPr>
              <w:t>:</w:t>
            </w:r>
            <w:r w:rsidR="00855332" w:rsidRPr="00780E96">
              <w:t xml:space="preserve"> </w:t>
            </w:r>
            <w:r w:rsidR="00925217" w:rsidRPr="00780E96">
              <w:rPr>
                <w:lang w:eastAsia="en-US"/>
              </w:rPr>
              <w:t xml:space="preserve">Electricity generated by </w:t>
            </w:r>
            <w:r w:rsidR="002B360A" w:rsidRPr="00780E96">
              <w:rPr>
                <w:lang w:eastAsia="en-US"/>
              </w:rPr>
              <w:t xml:space="preserve">the </w:t>
            </w:r>
            <w:r w:rsidR="004B38DB" w:rsidRPr="00780E96">
              <w:t xml:space="preserve">electricity generation </w:t>
            </w:r>
            <w:r w:rsidR="00925217" w:rsidRPr="00780E96" w:rsidDel="002673E6">
              <w:rPr>
                <w:lang w:eastAsia="en-US"/>
              </w:rPr>
              <w:t>source</w:t>
            </w:r>
            <w:r w:rsidR="004B38DB" w:rsidRPr="00780E96">
              <w:t> </w:t>
            </w:r>
            <w:r w:rsidR="004B38DB" w:rsidRPr="00780E96">
              <w:rPr>
                <w:i/>
                <w:iCs/>
              </w:rPr>
              <w:t>s</w:t>
            </w:r>
            <w:r w:rsidR="00925217" w:rsidRPr="00780E96">
              <w:rPr>
                <w:lang w:eastAsia="en-US"/>
              </w:rPr>
              <w:t xml:space="preserve"> in year</w:t>
            </w:r>
            <w:r w:rsidR="00B141B0" w:rsidRPr="00780E96">
              <w:rPr>
                <w:lang w:eastAsia="en-US"/>
              </w:rPr>
              <w:t> </w:t>
            </w:r>
            <w:r w:rsidR="00925217" w:rsidRPr="00780E96">
              <w:rPr>
                <w:i/>
                <w:iCs/>
                <w:lang w:eastAsia="en-US"/>
              </w:rPr>
              <w:t>y</w:t>
            </w:r>
          </w:p>
          <w:p w14:paraId="250B2D66" w14:textId="799B508F" w:rsidR="00925217" w:rsidRPr="00780E96" w:rsidRDefault="003F6646" w:rsidP="005C5484">
            <w:pPr>
              <w:pStyle w:val="SDMTableBoxParaNotNumbered"/>
              <w:keepNext/>
              <w:spacing w:before="60" w:after="60"/>
              <w:rPr>
                <w:b/>
                <w:lang w:eastAsia="en-US"/>
              </w:rPr>
            </w:pPr>
            <m:oMath>
              <m:sSub>
                <m:sSubPr>
                  <m:ctrlPr>
                    <w:rPr>
                      <w:rFonts w:ascii="Cambria Math" w:hAnsi="Cambria Math"/>
                      <w:i/>
                    </w:rPr>
                  </m:ctrlPr>
                </m:sSubPr>
                <m:e>
                  <m:r>
                    <m:rPr>
                      <m:sty m:val="bi"/>
                    </m:rPr>
                    <w:rPr>
                      <w:rFonts w:ascii="Cambria Math" w:hAnsi="Cambria Math"/>
                    </w:rPr>
                    <m:t>EG</m:t>
                  </m:r>
                </m:e>
                <m:sub>
                  <m:r>
                    <m:rPr>
                      <m:sty m:val="bi"/>
                    </m:rPr>
                    <w:rPr>
                      <w:rFonts w:ascii="Cambria Math" w:hAnsi="Cambria Math"/>
                    </w:rPr>
                    <m:t>s</m:t>
                  </m:r>
                  <m:r>
                    <w:rPr>
                      <w:rFonts w:ascii="Cambria Math" w:hAnsi="Cambria Math"/>
                    </w:rPr>
                    <m:t>,</m:t>
                  </m:r>
                  <m:r>
                    <m:rPr>
                      <m:sty m:val="bi"/>
                    </m:rPr>
                    <w:rPr>
                      <w:rFonts w:ascii="Cambria Math" w:hAnsi="Cambria Math"/>
                    </w:rPr>
                    <m:t>h</m:t>
                  </m:r>
                </m:sub>
              </m:sSub>
            </m:oMath>
            <w:r w:rsidR="00855332" w:rsidRPr="00780E96">
              <w:rPr>
                <w:b/>
                <w:bCs/>
                <w:i/>
              </w:rPr>
              <w:t>:</w:t>
            </w:r>
            <w:r w:rsidR="00855332" w:rsidRPr="00780E96">
              <w:rPr>
                <w:i/>
              </w:rPr>
              <w:t xml:space="preserve"> </w:t>
            </w:r>
            <w:r w:rsidR="00855332" w:rsidRPr="00780E96">
              <w:rPr>
                <w:lang w:eastAsia="en-US"/>
              </w:rPr>
              <w:t xml:space="preserve">Electricity generated by </w:t>
            </w:r>
            <w:r w:rsidR="002B360A" w:rsidRPr="00780E96">
              <w:rPr>
                <w:lang w:eastAsia="en-US"/>
              </w:rPr>
              <w:t xml:space="preserve">the </w:t>
            </w:r>
            <w:r w:rsidR="00855332" w:rsidRPr="00780E96">
              <w:t>electricity generation</w:t>
            </w:r>
            <w:r w:rsidR="004B38DB" w:rsidRPr="00780E96">
              <w:t xml:space="preserve"> </w:t>
            </w:r>
            <w:r w:rsidR="004B38DB" w:rsidRPr="00780E96">
              <w:rPr>
                <w:lang w:eastAsia="en-US"/>
              </w:rPr>
              <w:t>source</w:t>
            </w:r>
            <w:r w:rsidR="004B38DB" w:rsidRPr="00780E96">
              <w:t> </w:t>
            </w:r>
            <w:r w:rsidR="004B38DB" w:rsidRPr="00780E96">
              <w:rPr>
                <w:i/>
                <w:iCs/>
              </w:rPr>
              <w:t>s</w:t>
            </w:r>
            <w:r w:rsidR="00925217" w:rsidRPr="00780E96">
              <w:rPr>
                <w:lang w:eastAsia="en-US"/>
              </w:rPr>
              <w:t xml:space="preserve"> in </w:t>
            </w:r>
            <w:r w:rsidR="440B7D91" w:rsidRPr="00780E96">
              <w:rPr>
                <w:lang w:eastAsia="en-US"/>
              </w:rPr>
              <w:t>hour</w:t>
            </w:r>
            <w:r w:rsidR="00D97A6B" w:rsidRPr="00780E96">
              <w:rPr>
                <w:lang w:eastAsia="en-US"/>
              </w:rPr>
              <w:t> </w:t>
            </w:r>
            <w:r w:rsidR="440B7D91" w:rsidRPr="00780E96">
              <w:rPr>
                <w:i/>
                <w:iCs/>
                <w:lang w:eastAsia="en-US"/>
              </w:rPr>
              <w:t>h</w:t>
            </w:r>
          </w:p>
        </w:tc>
      </w:tr>
      <w:tr w:rsidR="00631269" w:rsidRPr="00780E96" w14:paraId="13997944" w14:textId="77777777" w:rsidTr="00CC0FD5">
        <w:trPr>
          <w:trHeight w:val="300"/>
        </w:trPr>
        <w:tc>
          <w:tcPr>
            <w:tcW w:w="2417" w:type="dxa"/>
            <w:shd w:val="clear" w:color="auto" w:fill="D9D9D9" w:themeFill="background1" w:themeFillShade="D9"/>
          </w:tcPr>
          <w:p w14:paraId="04DE3224" w14:textId="77777777" w:rsidR="00925217" w:rsidRPr="00780E96" w:rsidRDefault="00925217" w:rsidP="00F36908">
            <w:pPr>
              <w:pStyle w:val="SDMTableBoxParaNotNumbered"/>
              <w:spacing w:before="60" w:after="60"/>
            </w:pPr>
            <w:r w:rsidRPr="00780E96">
              <w:t>Data unit</w:t>
            </w:r>
          </w:p>
        </w:tc>
        <w:tc>
          <w:tcPr>
            <w:tcW w:w="6112" w:type="dxa"/>
            <w:gridSpan w:val="4"/>
          </w:tcPr>
          <w:p w14:paraId="5B365104" w14:textId="068E3E1C" w:rsidR="00C114D2" w:rsidRPr="00780E96" w:rsidRDefault="003F6646" w:rsidP="00F36908">
            <w:pPr>
              <w:pStyle w:val="SDMTableBoxParaNotNumbered"/>
              <w:spacing w:before="60" w:after="60"/>
            </w:pPr>
            <m:oMath>
              <m:sSub>
                <m:sSubPr>
                  <m:ctrlPr>
                    <w:rPr>
                      <w:rFonts w:ascii="Cambria Math" w:hAnsi="Cambria Math"/>
                      <w:i/>
                    </w:rPr>
                  </m:ctrlPr>
                </m:sSubPr>
                <m:e>
                  <m:r>
                    <m:rPr>
                      <m:sty m:val="bi"/>
                    </m:rPr>
                    <w:rPr>
                      <w:rFonts w:ascii="Cambria Math" w:hAnsi="Cambria Math"/>
                    </w:rPr>
                    <m:t>EG</m:t>
                  </m:r>
                </m:e>
                <m:sub>
                  <m:r>
                    <m:rPr>
                      <m:sty m:val="bi"/>
                    </m:rPr>
                    <w:rPr>
                      <w:rFonts w:ascii="Cambria Math" w:hAnsi="Cambria Math"/>
                    </w:rPr>
                    <m:t>s</m:t>
                  </m:r>
                  <m:r>
                    <w:rPr>
                      <w:rFonts w:ascii="Cambria Math" w:hAnsi="Cambria Math"/>
                    </w:rPr>
                    <m:t>,</m:t>
                  </m:r>
                  <m:r>
                    <m:rPr>
                      <m:sty m:val="bi"/>
                    </m:rPr>
                    <w:rPr>
                      <w:rFonts w:ascii="Cambria Math" w:hAnsi="Cambria Math"/>
                    </w:rPr>
                    <m:t>y</m:t>
                  </m:r>
                </m:sub>
              </m:sSub>
            </m:oMath>
            <w:r w:rsidR="00855332" w:rsidRPr="00780E96">
              <w:rPr>
                <w:b/>
                <w:bCs/>
                <w:i/>
                <w:iCs/>
              </w:rPr>
              <w:t>:</w:t>
            </w:r>
            <w:r w:rsidR="1D1B050D" w:rsidRPr="00780E96">
              <w:t xml:space="preserve"> </w:t>
            </w:r>
            <w:r w:rsidR="00925217" w:rsidRPr="00780E96">
              <w:t>MWh</w:t>
            </w:r>
            <w:r w:rsidR="00044CB8" w:rsidRPr="00780E96">
              <w:t xml:space="preserve"> in </w:t>
            </w:r>
            <w:r w:rsidR="00925217" w:rsidRPr="00780E96">
              <w:t>year</w:t>
            </w:r>
            <w:r w:rsidR="006F7A0B" w:rsidRPr="00780E96">
              <w:t> </w:t>
            </w:r>
            <w:r w:rsidR="00044CB8" w:rsidRPr="00780E96">
              <w:rPr>
                <w:i/>
                <w:iCs/>
              </w:rPr>
              <w:t>y</w:t>
            </w:r>
          </w:p>
          <w:p w14:paraId="4DCEDA4C" w14:textId="5EA186A1" w:rsidR="00925217" w:rsidRPr="00780E96" w:rsidRDefault="003F6646" w:rsidP="00F36908">
            <w:pPr>
              <w:pStyle w:val="SDMTableBoxParaNotNumbered"/>
              <w:spacing w:before="60" w:after="60"/>
            </w:pPr>
            <m:oMath>
              <m:sSub>
                <m:sSubPr>
                  <m:ctrlPr>
                    <w:rPr>
                      <w:rFonts w:ascii="Cambria Math" w:hAnsi="Cambria Math"/>
                      <w:i/>
                    </w:rPr>
                  </m:ctrlPr>
                </m:sSubPr>
                <m:e>
                  <m:r>
                    <m:rPr>
                      <m:sty m:val="bi"/>
                    </m:rPr>
                    <w:rPr>
                      <w:rFonts w:ascii="Cambria Math" w:hAnsi="Cambria Math"/>
                    </w:rPr>
                    <m:t>EG</m:t>
                  </m:r>
                </m:e>
                <m:sub>
                  <m:r>
                    <m:rPr>
                      <m:sty m:val="bi"/>
                    </m:rPr>
                    <w:rPr>
                      <w:rFonts w:ascii="Cambria Math" w:hAnsi="Cambria Math"/>
                    </w:rPr>
                    <m:t>s</m:t>
                  </m:r>
                  <m:r>
                    <w:rPr>
                      <w:rFonts w:ascii="Cambria Math" w:hAnsi="Cambria Math"/>
                    </w:rPr>
                    <m:t>,</m:t>
                  </m:r>
                  <m:r>
                    <m:rPr>
                      <m:sty m:val="bi"/>
                    </m:rPr>
                    <w:rPr>
                      <w:rFonts w:ascii="Cambria Math" w:hAnsi="Cambria Math"/>
                    </w:rPr>
                    <m:t>h</m:t>
                  </m:r>
                </m:sub>
              </m:sSub>
            </m:oMath>
            <w:r w:rsidR="00C114D2" w:rsidRPr="00780E96">
              <w:rPr>
                <w:b/>
                <w:bCs/>
                <w:i/>
                <w:iCs/>
              </w:rPr>
              <w:t>:</w:t>
            </w:r>
            <w:r w:rsidR="00C114D2" w:rsidRPr="00780E96">
              <w:t xml:space="preserve"> </w:t>
            </w:r>
            <w:r w:rsidR="1D1B050D" w:rsidRPr="00780E96">
              <w:t>MWh</w:t>
            </w:r>
            <w:r w:rsidR="00044CB8" w:rsidRPr="00780E96">
              <w:t xml:space="preserve"> in hour</w:t>
            </w:r>
            <w:r w:rsidR="006F7A0B" w:rsidRPr="00780E96">
              <w:t> </w:t>
            </w:r>
            <w:r w:rsidR="00C114D2" w:rsidRPr="00780E96">
              <w:rPr>
                <w:i/>
                <w:iCs/>
              </w:rPr>
              <w:t>h</w:t>
            </w:r>
          </w:p>
        </w:tc>
      </w:tr>
      <w:tr w:rsidR="00631269" w:rsidRPr="00780E96" w14:paraId="07144B6A" w14:textId="77777777" w:rsidTr="00CC0FD5">
        <w:trPr>
          <w:trHeight w:val="300"/>
        </w:trPr>
        <w:tc>
          <w:tcPr>
            <w:tcW w:w="2417" w:type="dxa"/>
            <w:shd w:val="clear" w:color="auto" w:fill="D9D9D9" w:themeFill="background1" w:themeFillShade="D9"/>
          </w:tcPr>
          <w:p w14:paraId="01CDEF83" w14:textId="77777777" w:rsidR="00925217" w:rsidRPr="00780E96" w:rsidRDefault="00925217" w:rsidP="00F36908">
            <w:pPr>
              <w:pStyle w:val="SDMTableBoxParaNotNumbered"/>
              <w:spacing w:before="60" w:after="60"/>
            </w:pPr>
            <w:r w:rsidRPr="00780E96">
              <w:t>Equations referred</w:t>
            </w:r>
          </w:p>
        </w:tc>
        <w:tc>
          <w:tcPr>
            <w:tcW w:w="6112" w:type="dxa"/>
            <w:gridSpan w:val="4"/>
            <w:tcBorders>
              <w:bottom w:val="single" w:sz="4" w:space="0" w:color="auto"/>
            </w:tcBorders>
          </w:tcPr>
          <w:p w14:paraId="546A24D8" w14:textId="77777777" w:rsidR="00925217" w:rsidRPr="00780E96" w:rsidRDefault="00925217" w:rsidP="00F36908">
            <w:pPr>
              <w:pStyle w:val="SDMTableBoxParaNotNumbered"/>
              <w:spacing w:before="60" w:after="60"/>
            </w:pPr>
          </w:p>
        </w:tc>
      </w:tr>
      <w:tr w:rsidR="00565212" w:rsidRPr="00131981" w14:paraId="4DF9C18C" w14:textId="77777777" w:rsidTr="00CC0FD5">
        <w:trPr>
          <w:trHeight w:val="300"/>
        </w:trPr>
        <w:tc>
          <w:tcPr>
            <w:tcW w:w="2417" w:type="dxa"/>
            <w:shd w:val="clear" w:color="auto" w:fill="D9D9D9" w:themeFill="background1" w:themeFillShade="D9"/>
          </w:tcPr>
          <w:p w14:paraId="309DDCED" w14:textId="77777777" w:rsidR="00925217" w:rsidRPr="00780E96" w:rsidRDefault="00925217" w:rsidP="00F36908">
            <w:pPr>
              <w:pStyle w:val="SDMTableBoxParaNotNumbered"/>
              <w:spacing w:before="60" w:after="60"/>
            </w:pPr>
            <w:r w:rsidRPr="00780E96">
              <w:t>Purpose of data</w:t>
            </w:r>
          </w:p>
        </w:tc>
        <w:tc>
          <w:tcPr>
            <w:tcW w:w="2142" w:type="dxa"/>
            <w:gridSpan w:val="2"/>
            <w:tcBorders>
              <w:right w:val="nil"/>
            </w:tcBorders>
          </w:tcPr>
          <w:p w14:paraId="33314B83" w14:textId="0AD4B3AF" w:rsidR="00925217" w:rsidRPr="00780E96" w:rsidRDefault="00105EE4" w:rsidP="00F36908">
            <w:pPr>
              <w:pStyle w:val="SDMTableBoxParaNotNumbered"/>
              <w:spacing w:before="60" w:after="60"/>
              <w:rPr>
                <w:rFonts w:eastAsia="MS Mincho"/>
                <w:lang w:eastAsia="ja-JP"/>
              </w:rPr>
            </w:pPr>
            <w:r w:rsidRPr="00780E96">
              <w:rPr>
                <w:rFonts w:asciiTheme="minorBidi" w:hAnsiTheme="minorBidi" w:cstheme="minorBidi"/>
                <w:shd w:val="clear" w:color="auto" w:fill="E6E6E6"/>
              </w:rPr>
              <w:fldChar w:fldCharType="begin">
                <w:ffData>
                  <w:name w:val=""/>
                  <w:enabled/>
                  <w:calcOnExit w:val="0"/>
                  <w:checkBox>
                    <w:size w:val="20"/>
                    <w:default w:val="1"/>
                  </w:checkBox>
                </w:ffData>
              </w:fldChar>
            </w:r>
            <w:r w:rsidRPr="00780E96">
              <w:rPr>
                <w:rFonts w:asciiTheme="minorBidi" w:hAnsiTheme="minorBidi" w:cstheme="minorBidi"/>
                <w:shd w:val="clear" w:color="auto" w:fill="E6E6E6"/>
              </w:rPr>
              <w:instrText xml:space="preserve"> FORMCHECKBOX </w:instrText>
            </w:r>
            <w:r w:rsidRPr="00780E96">
              <w:rPr>
                <w:rFonts w:asciiTheme="minorBidi" w:hAnsiTheme="minorBidi" w:cstheme="minorBidi"/>
                <w:shd w:val="clear" w:color="auto" w:fill="E6E6E6"/>
              </w:rPr>
            </w:r>
            <w:r w:rsidRPr="00780E96">
              <w:rPr>
                <w:rFonts w:asciiTheme="minorBidi" w:hAnsiTheme="minorBidi" w:cstheme="minorBidi"/>
                <w:shd w:val="clear" w:color="auto" w:fill="E6E6E6"/>
              </w:rPr>
              <w:fldChar w:fldCharType="separate"/>
            </w:r>
            <w:r w:rsidRPr="00780E96">
              <w:rPr>
                <w:rFonts w:asciiTheme="minorBidi" w:hAnsiTheme="minorBidi" w:cstheme="minorBidi"/>
                <w:shd w:val="clear" w:color="auto" w:fill="E6E6E6"/>
              </w:rPr>
              <w:fldChar w:fldCharType="end"/>
            </w:r>
            <w:r w:rsidRPr="00780E96">
              <w:rPr>
                <w:rFonts w:asciiTheme="minorBidi" w:hAnsiTheme="minorBidi" w:cstheme="minorBidi"/>
                <w:shd w:val="clear" w:color="auto" w:fill="E6E6E6"/>
              </w:rPr>
              <w:t xml:space="preserve"> </w:t>
            </w:r>
            <w:r w:rsidR="00925217" w:rsidRPr="00780E96">
              <w:rPr>
                <w:rFonts w:asciiTheme="minorBidi" w:hAnsiTheme="minorBidi" w:cstheme="minorBidi"/>
              </w:rPr>
              <w:t xml:space="preserve">Baseline </w:t>
            </w:r>
            <w:r w:rsidR="00907A99" w:rsidRPr="00780E96">
              <w:rPr>
                <w:rFonts w:asciiTheme="minorBidi" w:eastAsia="MS Mincho" w:hAnsiTheme="minorBidi" w:cstheme="minorBidi" w:hint="eastAsia"/>
                <w:lang w:eastAsia="ja-JP"/>
              </w:rPr>
              <w:t>Scenario</w:t>
            </w:r>
          </w:p>
        </w:tc>
        <w:tc>
          <w:tcPr>
            <w:tcW w:w="1957" w:type="dxa"/>
            <w:tcBorders>
              <w:left w:val="nil"/>
              <w:right w:val="nil"/>
            </w:tcBorders>
          </w:tcPr>
          <w:p w14:paraId="052AAB26" w14:textId="76A3797D" w:rsidR="00925217" w:rsidRPr="00780E96" w:rsidRDefault="00105EE4" w:rsidP="00F36908">
            <w:pPr>
              <w:pStyle w:val="SDMTableBoxParaNotNumbered"/>
              <w:spacing w:before="60" w:after="60"/>
              <w:rPr>
                <w:rFonts w:eastAsia="MS Mincho"/>
                <w:lang w:eastAsia="ja-JP"/>
              </w:rPr>
            </w:pPr>
            <w:r w:rsidRPr="00780E96">
              <w:rPr>
                <w:rFonts w:asciiTheme="minorBidi" w:hAnsiTheme="minorBidi" w:cstheme="minorBidi"/>
                <w:shd w:val="clear" w:color="auto" w:fill="E6E6E6"/>
              </w:rPr>
              <w:fldChar w:fldCharType="begin">
                <w:ffData>
                  <w:name w:val=""/>
                  <w:enabled/>
                  <w:calcOnExit w:val="0"/>
                  <w:checkBox>
                    <w:size w:val="20"/>
                    <w:default w:val="1"/>
                  </w:checkBox>
                </w:ffData>
              </w:fldChar>
            </w:r>
            <w:r w:rsidRPr="00780E96">
              <w:rPr>
                <w:rFonts w:asciiTheme="minorBidi" w:hAnsiTheme="minorBidi" w:cstheme="minorBidi"/>
                <w:shd w:val="clear" w:color="auto" w:fill="E6E6E6"/>
              </w:rPr>
              <w:instrText xml:space="preserve"> FORMCHECKBOX </w:instrText>
            </w:r>
            <w:r w:rsidRPr="00780E96">
              <w:rPr>
                <w:rFonts w:asciiTheme="minorBidi" w:hAnsiTheme="minorBidi" w:cstheme="minorBidi"/>
                <w:shd w:val="clear" w:color="auto" w:fill="E6E6E6"/>
              </w:rPr>
            </w:r>
            <w:r w:rsidRPr="00780E96">
              <w:rPr>
                <w:rFonts w:asciiTheme="minorBidi" w:hAnsiTheme="minorBidi" w:cstheme="minorBidi"/>
                <w:shd w:val="clear" w:color="auto" w:fill="E6E6E6"/>
              </w:rPr>
              <w:fldChar w:fldCharType="separate"/>
            </w:r>
            <w:r w:rsidRPr="00780E96">
              <w:rPr>
                <w:rFonts w:asciiTheme="minorBidi" w:hAnsiTheme="minorBidi" w:cstheme="minorBidi"/>
                <w:shd w:val="clear" w:color="auto" w:fill="E6E6E6"/>
              </w:rPr>
              <w:fldChar w:fldCharType="end"/>
            </w:r>
            <w:r w:rsidR="00925217" w:rsidRPr="00780E96">
              <w:rPr>
                <w:rFonts w:asciiTheme="minorBidi" w:hAnsiTheme="minorBidi" w:cstheme="minorBidi"/>
              </w:rPr>
              <w:fldChar w:fldCharType="begin"/>
            </w:r>
            <w:r w:rsidR="00925217" w:rsidRPr="00780E96">
              <w:rPr>
                <w:rFonts w:asciiTheme="minorBidi" w:hAnsiTheme="minorBidi" w:cstheme="minorBidi"/>
              </w:rPr>
              <w:instrText xml:space="preserve"> FORMCHECKBOX </w:instrText>
            </w:r>
            <w:r w:rsidR="00925217" w:rsidRPr="00780E96">
              <w:rPr>
                <w:rFonts w:asciiTheme="minorBidi" w:hAnsiTheme="minorBidi" w:cstheme="minorBidi"/>
              </w:rPr>
              <w:fldChar w:fldCharType="separate"/>
            </w:r>
            <w:r w:rsidR="00925217" w:rsidRPr="00780E96">
              <w:rPr>
                <w:rFonts w:asciiTheme="minorBidi" w:hAnsiTheme="minorBidi" w:cstheme="minorBidi"/>
              </w:rPr>
              <w:fldChar w:fldCharType="end"/>
            </w:r>
            <w:r w:rsidR="0025117C" w:rsidRPr="00780E96">
              <w:rPr>
                <w:rFonts w:asciiTheme="minorBidi" w:hAnsiTheme="minorBidi" w:cstheme="minorBidi"/>
              </w:rPr>
              <w:t xml:space="preserve"> </w:t>
            </w:r>
            <w:r w:rsidR="007C4726" w:rsidRPr="00780E96">
              <w:rPr>
                <w:rFonts w:asciiTheme="minorBidi" w:hAnsiTheme="minorBidi" w:cstheme="minorBidi"/>
              </w:rPr>
              <w:t>Activity</w:t>
            </w:r>
            <w:r w:rsidR="007C4726" w:rsidRPr="00780E96" w:rsidDel="007C4726">
              <w:rPr>
                <w:rFonts w:asciiTheme="minorBidi" w:hAnsiTheme="minorBidi" w:cstheme="minorBidi"/>
              </w:rPr>
              <w:t xml:space="preserve"> </w:t>
            </w:r>
            <w:r w:rsidR="00907A99" w:rsidRPr="00780E96">
              <w:rPr>
                <w:rFonts w:asciiTheme="minorBidi" w:eastAsia="MS Mincho" w:hAnsiTheme="minorBidi" w:cstheme="minorBidi" w:hint="eastAsia"/>
                <w:lang w:eastAsia="ja-JP"/>
              </w:rPr>
              <w:t>Scenario</w:t>
            </w:r>
          </w:p>
        </w:tc>
        <w:tc>
          <w:tcPr>
            <w:tcW w:w="2013" w:type="dxa"/>
            <w:tcBorders>
              <w:left w:val="nil"/>
            </w:tcBorders>
          </w:tcPr>
          <w:p w14:paraId="50F47A04" w14:textId="1CFDE7C4" w:rsidR="00925217" w:rsidRPr="007C4726" w:rsidRDefault="00105EE4" w:rsidP="00F36908">
            <w:pPr>
              <w:pStyle w:val="SDMTableBoxParaNotNumbered"/>
              <w:spacing w:before="60" w:after="60"/>
              <w:rPr>
                <w:rFonts w:eastAsia="MS Mincho"/>
                <w:lang w:eastAsia="ja-JP"/>
              </w:rPr>
            </w:pPr>
            <w:r w:rsidRPr="00780E96">
              <w:rPr>
                <w:rFonts w:asciiTheme="minorBidi" w:hAnsiTheme="minorBidi" w:cstheme="minorBidi"/>
                <w:shd w:val="clear" w:color="auto" w:fill="E6E6E6"/>
              </w:rPr>
              <w:fldChar w:fldCharType="begin">
                <w:ffData>
                  <w:name w:val=""/>
                  <w:enabled/>
                  <w:calcOnExit w:val="0"/>
                  <w:checkBox>
                    <w:size w:val="20"/>
                    <w:default w:val="1"/>
                  </w:checkBox>
                </w:ffData>
              </w:fldChar>
            </w:r>
            <w:r w:rsidRPr="00780E96">
              <w:rPr>
                <w:rFonts w:asciiTheme="minorBidi" w:hAnsiTheme="minorBidi" w:cstheme="minorBidi"/>
                <w:shd w:val="clear" w:color="auto" w:fill="E6E6E6"/>
              </w:rPr>
              <w:instrText xml:space="preserve"> FORMCHECKBOX </w:instrText>
            </w:r>
            <w:r w:rsidRPr="00780E96">
              <w:rPr>
                <w:rFonts w:asciiTheme="minorBidi" w:hAnsiTheme="minorBidi" w:cstheme="minorBidi"/>
                <w:shd w:val="clear" w:color="auto" w:fill="E6E6E6"/>
              </w:rPr>
            </w:r>
            <w:r w:rsidRPr="00780E96">
              <w:rPr>
                <w:rFonts w:asciiTheme="minorBidi" w:hAnsiTheme="minorBidi" w:cstheme="minorBidi"/>
                <w:shd w:val="clear" w:color="auto" w:fill="E6E6E6"/>
              </w:rPr>
              <w:fldChar w:fldCharType="separate"/>
            </w:r>
            <w:r w:rsidRPr="00780E96">
              <w:rPr>
                <w:rFonts w:asciiTheme="minorBidi" w:hAnsiTheme="minorBidi" w:cstheme="minorBidi"/>
                <w:shd w:val="clear" w:color="auto" w:fill="E6E6E6"/>
              </w:rPr>
              <w:fldChar w:fldCharType="end"/>
            </w:r>
            <w:r w:rsidR="00925217" w:rsidRPr="00780E96">
              <w:rPr>
                <w:rFonts w:asciiTheme="minorBidi" w:hAnsiTheme="minorBidi" w:cstheme="minorBidi"/>
              </w:rPr>
              <w:fldChar w:fldCharType="begin"/>
            </w:r>
            <w:r w:rsidR="00925217" w:rsidRPr="00780E96">
              <w:rPr>
                <w:rFonts w:asciiTheme="minorBidi" w:hAnsiTheme="minorBidi" w:cstheme="minorBidi"/>
              </w:rPr>
              <w:instrText xml:space="preserve"> FORMCHECKBOX </w:instrText>
            </w:r>
            <w:r w:rsidR="00925217" w:rsidRPr="00780E96">
              <w:rPr>
                <w:rFonts w:asciiTheme="minorBidi" w:hAnsiTheme="minorBidi" w:cstheme="minorBidi"/>
              </w:rPr>
              <w:fldChar w:fldCharType="separate"/>
            </w:r>
            <w:r w:rsidR="00925217" w:rsidRPr="00780E96">
              <w:rPr>
                <w:rFonts w:asciiTheme="minorBidi" w:hAnsiTheme="minorBidi" w:cstheme="minorBidi"/>
              </w:rPr>
              <w:fldChar w:fldCharType="end"/>
            </w:r>
            <w:r w:rsidR="00925217" w:rsidRPr="00780E96">
              <w:rPr>
                <w:rFonts w:asciiTheme="minorBidi" w:hAnsiTheme="minorBidi" w:cstheme="minorBidi"/>
              </w:rPr>
              <w:t xml:space="preserve"> Leakage</w:t>
            </w:r>
            <w:r w:rsidR="00925217" w:rsidRPr="005D7E1B">
              <w:rPr>
                <w:rFonts w:asciiTheme="minorBidi" w:hAnsiTheme="minorBidi" w:cstheme="minorBidi"/>
              </w:rPr>
              <w:t xml:space="preserve"> </w:t>
            </w:r>
          </w:p>
        </w:tc>
      </w:tr>
      <w:tr w:rsidR="00631269" w:rsidRPr="00131981" w14:paraId="531588FB" w14:textId="77777777" w:rsidTr="00CC0FD5">
        <w:trPr>
          <w:trHeight w:val="300"/>
        </w:trPr>
        <w:tc>
          <w:tcPr>
            <w:tcW w:w="2417" w:type="dxa"/>
            <w:shd w:val="clear" w:color="auto" w:fill="D9D9D9" w:themeFill="background1" w:themeFillShade="D9"/>
          </w:tcPr>
          <w:p w14:paraId="0182E663" w14:textId="77777777" w:rsidR="00925217" w:rsidRPr="00131981" w:rsidRDefault="00EE08C1" w:rsidP="00F36908">
            <w:pPr>
              <w:pStyle w:val="SDMTableBoxParaNotNumbered"/>
              <w:spacing w:before="60" w:after="60"/>
            </w:pPr>
            <w:r>
              <w:t>Measurement and updating frequency</w:t>
            </w:r>
          </w:p>
        </w:tc>
        <w:tc>
          <w:tcPr>
            <w:tcW w:w="6112" w:type="dxa"/>
            <w:gridSpan w:val="4"/>
          </w:tcPr>
          <w:p w14:paraId="1646D416" w14:textId="77777777" w:rsidR="00F74E46" w:rsidRPr="009B3F6C" w:rsidRDefault="003F6646" w:rsidP="00F36908">
            <w:pPr>
              <w:pStyle w:val="SDMTableBoxParaNotNumbered"/>
              <w:spacing w:before="60" w:after="60"/>
              <w:rPr>
                <w:i/>
                <w:iCs/>
                <w:lang w:eastAsia="en-US"/>
              </w:rPr>
            </w:pPr>
            <m:oMath>
              <m:sSub>
                <m:sSubPr>
                  <m:ctrlPr>
                    <w:rPr>
                      <w:rFonts w:ascii="Cambria Math" w:hAnsi="Cambria Math"/>
                      <w:i/>
                    </w:rPr>
                  </m:ctrlPr>
                </m:sSubPr>
                <m:e>
                  <m:r>
                    <m:rPr>
                      <m:sty m:val="bi"/>
                    </m:rPr>
                    <w:rPr>
                      <w:rFonts w:ascii="Cambria Math" w:hAnsi="Cambria Math"/>
                    </w:rPr>
                    <m:t>EG</m:t>
                  </m:r>
                </m:e>
                <m:sub>
                  <m:r>
                    <m:rPr>
                      <m:sty m:val="bi"/>
                    </m:rPr>
                    <w:rPr>
                      <w:rFonts w:ascii="Cambria Math" w:hAnsi="Cambria Math"/>
                    </w:rPr>
                    <m:t>s</m:t>
                  </m:r>
                  <m:r>
                    <w:rPr>
                      <w:rFonts w:ascii="Cambria Math" w:hAnsi="Cambria Math"/>
                    </w:rPr>
                    <m:t>,</m:t>
                  </m:r>
                  <m:r>
                    <m:rPr>
                      <m:sty m:val="bi"/>
                    </m:rPr>
                    <w:rPr>
                      <w:rFonts w:ascii="Cambria Math" w:hAnsi="Cambria Math"/>
                    </w:rPr>
                    <m:t>y</m:t>
                  </m:r>
                </m:sub>
              </m:sSub>
            </m:oMath>
            <w:r w:rsidR="6CFDA688" w:rsidRPr="009B3F6C">
              <w:rPr>
                <w:b/>
                <w:bCs/>
                <w:i/>
                <w:iCs/>
              </w:rPr>
              <w:t>:</w:t>
            </w:r>
            <w:r w:rsidR="6CFDA688" w:rsidRPr="009B3F6C">
              <w:t xml:space="preserve"> </w:t>
            </w:r>
            <w:r w:rsidR="12865A3D" w:rsidRPr="009B3F6C">
              <w:t>Continuous measurement and at least monthly recording</w:t>
            </w:r>
          </w:p>
          <w:p w14:paraId="7A1A03ED" w14:textId="2A6F98D4" w:rsidR="00925217" w:rsidRPr="008C2BFB" w:rsidRDefault="003F6646" w:rsidP="00F36908">
            <w:pPr>
              <w:pStyle w:val="SDMTableBoxParaNotNumbered"/>
              <w:spacing w:before="60" w:after="60"/>
            </w:pPr>
            <m:oMath>
              <m:sSub>
                <m:sSubPr>
                  <m:ctrlPr>
                    <w:rPr>
                      <w:rFonts w:ascii="Cambria Math" w:hAnsi="Cambria Math"/>
                      <w:i/>
                    </w:rPr>
                  </m:ctrlPr>
                </m:sSubPr>
                <m:e>
                  <m:r>
                    <m:rPr>
                      <m:sty m:val="bi"/>
                    </m:rPr>
                    <w:rPr>
                      <w:rFonts w:ascii="Cambria Math" w:hAnsi="Cambria Math"/>
                    </w:rPr>
                    <m:t>EG</m:t>
                  </m:r>
                </m:e>
                <m:sub>
                  <m:r>
                    <m:rPr>
                      <m:sty m:val="bi"/>
                    </m:rPr>
                    <w:rPr>
                      <w:rFonts w:ascii="Cambria Math" w:hAnsi="Cambria Math"/>
                    </w:rPr>
                    <m:t>s</m:t>
                  </m:r>
                  <m:r>
                    <w:rPr>
                      <w:rFonts w:ascii="Cambria Math" w:hAnsi="Cambria Math"/>
                    </w:rPr>
                    <m:t>,</m:t>
                  </m:r>
                  <m:r>
                    <m:rPr>
                      <m:sty m:val="bi"/>
                    </m:rPr>
                    <w:rPr>
                      <w:rFonts w:ascii="Cambria Math" w:hAnsi="Cambria Math"/>
                    </w:rPr>
                    <m:t>h</m:t>
                  </m:r>
                </m:sub>
              </m:sSub>
            </m:oMath>
            <w:r w:rsidR="00B813D5" w:rsidRPr="009B3F6C">
              <w:rPr>
                <w:b/>
                <w:bCs/>
                <w:i/>
              </w:rPr>
              <w:t>:</w:t>
            </w:r>
            <w:r w:rsidR="00B813D5" w:rsidRPr="009B3F6C">
              <w:rPr>
                <w:i/>
              </w:rPr>
              <w:t xml:space="preserve"> </w:t>
            </w:r>
            <w:r w:rsidR="00B813D5" w:rsidRPr="009B3F6C">
              <w:t>Continuous measurement and at least hourly recording</w:t>
            </w:r>
          </w:p>
        </w:tc>
      </w:tr>
      <w:tr w:rsidR="00631269" w:rsidRPr="00131981" w14:paraId="326B715D" w14:textId="77777777" w:rsidTr="00CC0FD5">
        <w:trPr>
          <w:trHeight w:val="300"/>
        </w:trPr>
        <w:tc>
          <w:tcPr>
            <w:tcW w:w="2417" w:type="dxa"/>
            <w:shd w:val="clear" w:color="auto" w:fill="D9D9D9" w:themeFill="background1" w:themeFillShade="D9"/>
          </w:tcPr>
          <w:p w14:paraId="7C34DA60" w14:textId="77777777" w:rsidR="00925217" w:rsidRPr="00131981" w:rsidRDefault="00925217" w:rsidP="00F36908">
            <w:pPr>
              <w:pStyle w:val="SDMTableBoxParaNotNumbered"/>
              <w:spacing w:before="60" w:after="60"/>
            </w:pPr>
            <w:r w:rsidRPr="00131981">
              <w:t>Measurement methods and procedures</w:t>
            </w:r>
          </w:p>
        </w:tc>
        <w:tc>
          <w:tcPr>
            <w:tcW w:w="6112" w:type="dxa"/>
            <w:gridSpan w:val="4"/>
          </w:tcPr>
          <w:p w14:paraId="12AA82DF" w14:textId="7B0FB7C8" w:rsidR="00925217" w:rsidRPr="008C2BFB" w:rsidRDefault="12865A3D" w:rsidP="00F36908">
            <w:pPr>
              <w:pStyle w:val="SDMTableBoxParaNotNumbered"/>
              <w:spacing w:before="60" w:after="60"/>
            </w:pPr>
            <w:r>
              <w:t xml:space="preserve">Direct measurement or </w:t>
            </w:r>
            <w:r w:rsidR="003540C9">
              <w:t xml:space="preserve">calculation </w:t>
            </w:r>
            <w:r>
              <w:t>based on measurements from more than one electricity meter</w:t>
            </w:r>
          </w:p>
        </w:tc>
      </w:tr>
      <w:tr w:rsidR="00631269" w:rsidRPr="00131981" w14:paraId="4166A15C" w14:textId="77777777" w:rsidTr="00CC0FD5">
        <w:trPr>
          <w:trHeight w:val="107"/>
        </w:trPr>
        <w:tc>
          <w:tcPr>
            <w:tcW w:w="2417" w:type="dxa"/>
            <w:shd w:val="clear" w:color="auto" w:fill="D9D9D9" w:themeFill="background1" w:themeFillShade="D9"/>
          </w:tcPr>
          <w:p w14:paraId="5EE8DA25" w14:textId="77777777" w:rsidR="00925217" w:rsidRPr="00131981" w:rsidRDefault="00925217" w:rsidP="00F36908">
            <w:pPr>
              <w:pStyle w:val="SDMTableBoxParaNotNumbered"/>
              <w:spacing w:before="60" w:after="60"/>
            </w:pPr>
            <w:r w:rsidRPr="00131981">
              <w:t>Entity/person responsible for the measurement</w:t>
            </w:r>
          </w:p>
        </w:tc>
        <w:tc>
          <w:tcPr>
            <w:tcW w:w="6112" w:type="dxa"/>
            <w:gridSpan w:val="4"/>
          </w:tcPr>
          <w:p w14:paraId="2605A3B8" w14:textId="77777777" w:rsidR="00925217" w:rsidRPr="008C2BFB" w:rsidRDefault="00925217" w:rsidP="00F36908">
            <w:pPr>
              <w:pStyle w:val="SDMTableBoxParaNotNumbered"/>
              <w:spacing w:before="60" w:after="60"/>
            </w:pPr>
            <w:r>
              <w:t>Activity participants</w:t>
            </w:r>
          </w:p>
        </w:tc>
      </w:tr>
      <w:tr w:rsidR="00F412BF" w:rsidRPr="00131981" w14:paraId="38E14521" w14:textId="77777777" w:rsidTr="00CC0FD5">
        <w:trPr>
          <w:trHeight w:val="107"/>
        </w:trPr>
        <w:tc>
          <w:tcPr>
            <w:tcW w:w="2417" w:type="dxa"/>
            <w:vMerge w:val="restart"/>
            <w:shd w:val="clear" w:color="auto" w:fill="D9D9D9" w:themeFill="background1" w:themeFillShade="D9"/>
          </w:tcPr>
          <w:p w14:paraId="19492642" w14:textId="77777777" w:rsidR="00925217" w:rsidRPr="00131981" w:rsidRDefault="00925217" w:rsidP="00F36908">
            <w:pPr>
              <w:pStyle w:val="SDMTableBoxParaNotNumbered"/>
              <w:spacing w:before="60" w:after="60"/>
            </w:pPr>
            <w:r w:rsidRPr="00131981">
              <w:t>Measuring instrument(s)</w:t>
            </w:r>
          </w:p>
        </w:tc>
        <w:tc>
          <w:tcPr>
            <w:tcW w:w="1784" w:type="dxa"/>
          </w:tcPr>
          <w:p w14:paraId="264D71AB" w14:textId="77777777" w:rsidR="00925217" w:rsidRPr="008C2BFB" w:rsidRDefault="00925217" w:rsidP="00F36908">
            <w:pPr>
              <w:pStyle w:val="SDMTableBoxParaNotNumbered"/>
              <w:spacing w:before="60" w:after="60"/>
              <w:rPr>
                <w:i/>
                <w:iCs/>
              </w:rPr>
            </w:pPr>
            <w:r w:rsidRPr="008C2BFB">
              <w:rPr>
                <w:i/>
                <w:iCs/>
              </w:rPr>
              <w:t>Type of instrument</w:t>
            </w:r>
          </w:p>
        </w:tc>
        <w:tc>
          <w:tcPr>
            <w:tcW w:w="4328" w:type="dxa"/>
            <w:gridSpan w:val="3"/>
          </w:tcPr>
          <w:p w14:paraId="040E6FBD" w14:textId="6C8B279F" w:rsidR="00925217" w:rsidRPr="008C2BFB" w:rsidRDefault="00300355" w:rsidP="00F36908">
            <w:pPr>
              <w:pStyle w:val="SDMTableBoxParaNotNumbered"/>
              <w:spacing w:before="60" w:after="60"/>
            </w:pPr>
            <w:r w:rsidRPr="00B32E2B">
              <w:t>Electricity-meter(s)</w:t>
            </w:r>
          </w:p>
        </w:tc>
      </w:tr>
      <w:tr w:rsidR="00F412BF" w:rsidRPr="00131981" w14:paraId="79936662" w14:textId="77777777" w:rsidTr="00CC0FD5">
        <w:trPr>
          <w:trHeight w:val="104"/>
        </w:trPr>
        <w:tc>
          <w:tcPr>
            <w:tcW w:w="2417" w:type="dxa"/>
            <w:vMerge/>
            <w:shd w:val="clear" w:color="auto" w:fill="D9D9D9" w:themeFill="background1" w:themeFillShade="D9"/>
          </w:tcPr>
          <w:p w14:paraId="3525E7EB" w14:textId="77777777" w:rsidR="00925217" w:rsidRPr="00131981" w:rsidRDefault="00925217" w:rsidP="00F36908">
            <w:pPr>
              <w:pStyle w:val="SDMTableBoxParaNotNumbered"/>
              <w:spacing w:before="60" w:after="60"/>
            </w:pPr>
          </w:p>
        </w:tc>
        <w:tc>
          <w:tcPr>
            <w:tcW w:w="1784" w:type="dxa"/>
          </w:tcPr>
          <w:p w14:paraId="0A3EEF8D" w14:textId="77777777" w:rsidR="00925217" w:rsidRPr="008C2BFB" w:rsidRDefault="00925217" w:rsidP="00F36908">
            <w:pPr>
              <w:pStyle w:val="SDMTableBoxParaNotNumbered"/>
              <w:spacing w:before="60" w:after="60"/>
              <w:rPr>
                <w:i/>
                <w:iCs/>
              </w:rPr>
            </w:pPr>
            <w:r w:rsidRPr="008C2BFB">
              <w:rPr>
                <w:i/>
                <w:iCs/>
              </w:rPr>
              <w:t>Accuracy class</w:t>
            </w:r>
          </w:p>
        </w:tc>
        <w:tc>
          <w:tcPr>
            <w:tcW w:w="4328" w:type="dxa"/>
            <w:gridSpan w:val="3"/>
          </w:tcPr>
          <w:p w14:paraId="2B78AB26" w14:textId="5F0C84B3" w:rsidR="00925217" w:rsidRDefault="12865A3D" w:rsidP="00F36908">
            <w:pPr>
              <w:pStyle w:val="SDMTableBoxParaNotNumbered"/>
              <w:spacing w:before="60" w:after="60"/>
            </w:pPr>
            <w:r>
              <w:t>If electricity</w:t>
            </w:r>
            <w:r w:rsidR="00CA1ABB">
              <w:t xml:space="preserve"> </w:t>
            </w:r>
            <w:r>
              <w:t xml:space="preserve">meters are regulated: in accordance with the </w:t>
            </w:r>
            <w:r w:rsidR="003540C9">
              <w:t xml:space="preserve">specifications </w:t>
            </w:r>
            <w:r>
              <w:t xml:space="preserve">of the meter supplier and/or </w:t>
            </w:r>
            <w:r w:rsidR="006F524E">
              <w:t>with</w:t>
            </w:r>
            <w:r>
              <w:t xml:space="preserve"> the requirements set by the operators </w:t>
            </w:r>
            <w:r w:rsidR="01449AF9">
              <w:t>of the electricity system</w:t>
            </w:r>
            <w:r>
              <w:t xml:space="preserve"> or national requirements</w:t>
            </w:r>
            <w:r w:rsidR="09E6EF36">
              <w:t>.</w:t>
            </w:r>
          </w:p>
          <w:p w14:paraId="4F4A89C0" w14:textId="3B711D00" w:rsidR="00925217" w:rsidRPr="008C2BFB" w:rsidRDefault="12865A3D" w:rsidP="00F36908">
            <w:pPr>
              <w:pStyle w:val="SDMTableBoxParaNotNumbered"/>
              <w:spacing w:before="60" w:after="60"/>
            </w:pPr>
            <w:r>
              <w:t>If electricity</w:t>
            </w:r>
            <w:r w:rsidR="006F524E">
              <w:t xml:space="preserve"> </w:t>
            </w:r>
            <w:r>
              <w:t xml:space="preserve">meters are not regulated: at least </w:t>
            </w:r>
            <w:r w:rsidR="006F524E">
              <w:t xml:space="preserve">accuracy class </w:t>
            </w:r>
            <w:r>
              <w:t xml:space="preserve">0.5, or in accordance with the </w:t>
            </w:r>
            <w:r w:rsidR="0069677F">
              <w:t xml:space="preserve">specifications </w:t>
            </w:r>
            <w:r>
              <w:t>of the meter supplier or national requirements</w:t>
            </w:r>
          </w:p>
        </w:tc>
      </w:tr>
      <w:tr w:rsidR="00F412BF" w:rsidRPr="00131981" w14:paraId="2E859EB3" w14:textId="77777777" w:rsidTr="00CC0FD5">
        <w:trPr>
          <w:trHeight w:val="104"/>
        </w:trPr>
        <w:tc>
          <w:tcPr>
            <w:tcW w:w="2417" w:type="dxa"/>
            <w:vMerge/>
            <w:shd w:val="clear" w:color="auto" w:fill="D9D9D9" w:themeFill="background1" w:themeFillShade="D9"/>
          </w:tcPr>
          <w:p w14:paraId="26CBC36D" w14:textId="77777777" w:rsidR="00925217" w:rsidRPr="00131981" w:rsidRDefault="00925217" w:rsidP="00F36908">
            <w:pPr>
              <w:pStyle w:val="SDMTableBoxParaNotNumbered"/>
              <w:spacing w:before="60" w:after="60"/>
            </w:pPr>
          </w:p>
        </w:tc>
        <w:tc>
          <w:tcPr>
            <w:tcW w:w="1784" w:type="dxa"/>
          </w:tcPr>
          <w:p w14:paraId="7214EFF5" w14:textId="77777777" w:rsidR="00925217" w:rsidRPr="008C2BFB" w:rsidRDefault="00925217" w:rsidP="00F36908">
            <w:pPr>
              <w:pStyle w:val="SDMTableBoxParaNotNumbered"/>
              <w:spacing w:before="60" w:after="60"/>
              <w:rPr>
                <w:i/>
                <w:iCs/>
              </w:rPr>
            </w:pPr>
            <w:r w:rsidRPr="008C2BFB">
              <w:rPr>
                <w:i/>
                <w:iCs/>
              </w:rPr>
              <w:t>Calibration requirements</w:t>
            </w:r>
          </w:p>
        </w:tc>
        <w:tc>
          <w:tcPr>
            <w:tcW w:w="4328" w:type="dxa"/>
            <w:gridSpan w:val="3"/>
          </w:tcPr>
          <w:p w14:paraId="28466F29" w14:textId="17D6B4D8" w:rsidR="00925217" w:rsidRDefault="00925217" w:rsidP="00F36908">
            <w:pPr>
              <w:pStyle w:val="SDMTableBoxParaNotNumbered"/>
              <w:spacing w:before="60" w:after="60"/>
            </w:pPr>
            <w:r>
              <w:t>If electricity</w:t>
            </w:r>
            <w:r w:rsidR="0069677F">
              <w:t xml:space="preserve"> </w:t>
            </w:r>
            <w:r>
              <w:t>meters are regulated: i</w:t>
            </w:r>
            <w:r w:rsidRPr="00C702E2">
              <w:t xml:space="preserve">n accordance with national standards or requirements set by the meter supplier or </w:t>
            </w:r>
            <w:r w:rsidR="00D82EED">
              <w:t xml:space="preserve">by the operators </w:t>
            </w:r>
            <w:r w:rsidR="00F2576C">
              <w:t>of the electricity system</w:t>
            </w:r>
            <w:r>
              <w:t xml:space="preserve">, including </w:t>
            </w:r>
            <w:r w:rsidRPr="00C702E2">
              <w:t>the frequency of calibration</w:t>
            </w:r>
            <w:r>
              <w:t>.</w:t>
            </w:r>
          </w:p>
          <w:p w14:paraId="312333C3" w14:textId="7D726921" w:rsidR="00925217" w:rsidRPr="00812736" w:rsidRDefault="12865A3D" w:rsidP="00F36908">
            <w:pPr>
              <w:pStyle w:val="SDMTableBoxParaNotNumbered"/>
              <w:spacing w:before="60" w:after="60"/>
              <w:rPr>
                <w:rFonts w:ascii="Calibri" w:hAnsi="Calibri" w:cs="Calibri"/>
              </w:rPr>
            </w:pPr>
            <w:r>
              <w:t>If electricity</w:t>
            </w:r>
            <w:r w:rsidR="003106A6">
              <w:t xml:space="preserve"> </w:t>
            </w:r>
            <w:r>
              <w:t xml:space="preserve">meters are not regulated: every </w:t>
            </w:r>
            <w:r w:rsidR="003106A6">
              <w:t xml:space="preserve">three </w:t>
            </w:r>
            <w:r>
              <w:t>years or in accordance with national standards or requirements set by the meter supplier, including the frequency of calibration</w:t>
            </w:r>
          </w:p>
        </w:tc>
      </w:tr>
      <w:tr w:rsidR="00F412BF" w:rsidRPr="00131981" w14:paraId="20EE85D3" w14:textId="77777777" w:rsidTr="00CC0FD5">
        <w:trPr>
          <w:trHeight w:val="104"/>
        </w:trPr>
        <w:tc>
          <w:tcPr>
            <w:tcW w:w="2417" w:type="dxa"/>
            <w:vMerge/>
            <w:shd w:val="clear" w:color="auto" w:fill="D9D9D9" w:themeFill="background1" w:themeFillShade="D9"/>
          </w:tcPr>
          <w:p w14:paraId="57261138" w14:textId="77777777" w:rsidR="00925217" w:rsidRPr="00131981" w:rsidRDefault="00925217" w:rsidP="00F36908">
            <w:pPr>
              <w:pStyle w:val="SDMTableBoxParaNotNumbered"/>
              <w:spacing w:before="60" w:after="60"/>
            </w:pPr>
          </w:p>
        </w:tc>
        <w:tc>
          <w:tcPr>
            <w:tcW w:w="1784" w:type="dxa"/>
          </w:tcPr>
          <w:p w14:paraId="6A6F632A" w14:textId="77777777" w:rsidR="00925217" w:rsidRPr="008C2BFB" w:rsidRDefault="00925217" w:rsidP="00F36908">
            <w:pPr>
              <w:pStyle w:val="SDMTableBoxParaNotNumbered"/>
              <w:spacing w:before="60" w:after="60"/>
              <w:rPr>
                <w:i/>
                <w:iCs/>
              </w:rPr>
            </w:pPr>
            <w:r w:rsidRPr="008C2BFB">
              <w:rPr>
                <w:i/>
                <w:iCs/>
              </w:rPr>
              <w:t>Location</w:t>
            </w:r>
          </w:p>
        </w:tc>
        <w:tc>
          <w:tcPr>
            <w:tcW w:w="4328" w:type="dxa"/>
            <w:gridSpan w:val="3"/>
          </w:tcPr>
          <w:p w14:paraId="4E3C2995" w14:textId="77777777" w:rsidR="00925217" w:rsidRDefault="7DAAF085" w:rsidP="00F36908">
            <w:pPr>
              <w:pStyle w:val="SDMTableBoxParaNotNumbered"/>
              <w:spacing w:before="60" w:after="60"/>
            </w:pPr>
            <w:r>
              <w:t>Scenario A</w:t>
            </w:r>
            <w:r w:rsidR="12865A3D">
              <w:t xml:space="preserve"> and C:</w:t>
            </w:r>
            <w:r w:rsidR="6161FC7C">
              <w:t xml:space="preserve"> electricity system</w:t>
            </w:r>
            <w:r w:rsidR="12865A3D">
              <w:t xml:space="preserve"> interface</w:t>
            </w:r>
            <w:r w:rsidR="7DEAB660">
              <w:t>, where applicable</w:t>
            </w:r>
            <w:r w:rsidR="76BDC5E6">
              <w:t>,</w:t>
            </w:r>
          </w:p>
          <w:p w14:paraId="75142579" w14:textId="293818EA" w:rsidR="00925217" w:rsidRPr="008C2BFB" w:rsidRDefault="5CF8A04A" w:rsidP="00F36908">
            <w:pPr>
              <w:pStyle w:val="SDMTableBoxParaNotNumbered"/>
              <w:spacing w:before="60" w:after="60"/>
            </w:pPr>
            <w:r>
              <w:t>Scenario B and C</w:t>
            </w:r>
            <w:r w:rsidR="12865A3D">
              <w:t xml:space="preserve">: entrance </w:t>
            </w:r>
            <w:r w:rsidR="00AC7532">
              <w:t xml:space="preserve">to </w:t>
            </w:r>
            <w:r w:rsidR="12865A3D">
              <w:t>the electricity consuming facility</w:t>
            </w:r>
            <w:r w:rsidR="0263E2C0">
              <w:t>, where applicable</w:t>
            </w:r>
          </w:p>
        </w:tc>
      </w:tr>
      <w:tr w:rsidR="00AA0E25" w:rsidRPr="00131981" w14:paraId="2CB09FFC" w14:textId="77777777" w:rsidTr="00CC0FD5">
        <w:trPr>
          <w:trHeight w:val="300"/>
        </w:trPr>
        <w:tc>
          <w:tcPr>
            <w:tcW w:w="2417" w:type="dxa"/>
            <w:shd w:val="clear" w:color="auto" w:fill="D9D9D9" w:themeFill="background1" w:themeFillShade="D9"/>
          </w:tcPr>
          <w:p w14:paraId="7990B4A8" w14:textId="77777777" w:rsidR="00925217" w:rsidRPr="00131981" w:rsidRDefault="00925217" w:rsidP="00F36908">
            <w:pPr>
              <w:pStyle w:val="SDMTableBoxParaNotNumbered"/>
              <w:spacing w:before="60" w:after="60"/>
            </w:pPr>
            <w:r w:rsidRPr="00131981">
              <w:t>QA/QC procedures</w:t>
            </w:r>
          </w:p>
        </w:tc>
        <w:tc>
          <w:tcPr>
            <w:tcW w:w="6112" w:type="dxa"/>
            <w:gridSpan w:val="4"/>
          </w:tcPr>
          <w:p w14:paraId="3F6F9C66" w14:textId="7DA9160F" w:rsidR="00925217" w:rsidRDefault="12865A3D" w:rsidP="00F36908">
            <w:pPr>
              <w:pStyle w:val="SDMTableBoxParaNotNumbered"/>
              <w:spacing w:before="60" w:after="60"/>
            </w:pPr>
            <w:r>
              <w:t>In cases where electricity meters are regulated (e.g.</w:t>
            </w:r>
            <w:r w:rsidR="5E5B18C2">
              <w:t>,</w:t>
            </w:r>
            <w:r>
              <w:t xml:space="preserve"> the electricity is supplied by the </w:t>
            </w:r>
            <w:r w:rsidR="2437493D">
              <w:t>electricity sys</w:t>
            </w:r>
            <w:r w:rsidR="63873823">
              <w:t>t</w:t>
            </w:r>
            <w:r w:rsidR="2437493D">
              <w:t>em</w:t>
            </w:r>
            <w:r>
              <w:t xml:space="preserve"> – </w:t>
            </w:r>
            <w:r w:rsidR="00B4424C">
              <w:t>scenario</w:t>
            </w:r>
            <w:r w:rsidR="006F7A0B">
              <w:t> </w:t>
            </w:r>
            <w:r>
              <w:t xml:space="preserve">A), the electricity meter </w:t>
            </w:r>
            <w:r w:rsidR="00AC7532">
              <w:t xml:space="preserve">shall </w:t>
            </w:r>
            <w:r>
              <w:t xml:space="preserve">be subject to regular maintenance and testing in accordance with the stipulation of the meter supplier and/or </w:t>
            </w:r>
            <w:r w:rsidR="00A655DB">
              <w:t xml:space="preserve">with </w:t>
            </w:r>
            <w:r>
              <w:t xml:space="preserve">the requirements set by the operators </w:t>
            </w:r>
            <w:r w:rsidR="01449AF9">
              <w:t>of the electricity system</w:t>
            </w:r>
            <w:r>
              <w:t xml:space="preserve"> or national requirements.</w:t>
            </w:r>
          </w:p>
          <w:p w14:paraId="37CFC933" w14:textId="1DB36E47" w:rsidR="00925217" w:rsidRDefault="12865A3D" w:rsidP="00F36908">
            <w:pPr>
              <w:pStyle w:val="SDMTableBoxParaNotNumbered"/>
              <w:spacing w:before="60" w:after="60"/>
            </w:pPr>
            <w:r>
              <w:t>In cases where electricity meters are not regulated (e.g.</w:t>
            </w:r>
            <w:r w:rsidR="525E5291">
              <w:t>,</w:t>
            </w:r>
            <w:r>
              <w:t xml:space="preserve"> electricity is supplied by </w:t>
            </w:r>
            <w:r w:rsidR="0510C514">
              <w:t>fossil-fuel fired</w:t>
            </w:r>
            <w:r>
              <w:t xml:space="preserve"> captive power plants – </w:t>
            </w:r>
            <w:r w:rsidR="00B4424C">
              <w:t>scenario</w:t>
            </w:r>
            <w:r w:rsidR="006F7A0B">
              <w:t> </w:t>
            </w:r>
            <w:r>
              <w:t xml:space="preserve">B), the electricity meter </w:t>
            </w:r>
            <w:r w:rsidR="00B4424C">
              <w:t xml:space="preserve">shall </w:t>
            </w:r>
            <w:r>
              <w:t>be subject to regular maintenance and testing in accordance with the stipulation of the meter supplier or national requirements.</w:t>
            </w:r>
          </w:p>
          <w:p w14:paraId="396682B1" w14:textId="6820A1A5" w:rsidR="00925217" w:rsidRPr="008C2BFB" w:rsidRDefault="12865A3D" w:rsidP="00F36908">
            <w:pPr>
              <w:pStyle w:val="SDMTableBoxParaNotNumbered"/>
              <w:spacing w:before="60" w:after="60"/>
            </w:pPr>
            <w:r>
              <w:t>The electricity generation (gross or net) shall be cross-checked with records of electricity sale (e.g.</w:t>
            </w:r>
            <w:r w:rsidR="055A917C">
              <w:t>,</w:t>
            </w:r>
            <w:r>
              <w:t xml:space="preserve"> sales receipt</w:t>
            </w:r>
            <w:r w:rsidR="002E49C2">
              <w:t>s</w:t>
            </w:r>
            <w:r>
              <w:t>)</w:t>
            </w:r>
          </w:p>
        </w:tc>
      </w:tr>
      <w:tr w:rsidR="00AA0E25" w:rsidRPr="00131981" w14:paraId="6AF8CE1E" w14:textId="77777777" w:rsidTr="00CC0FD5">
        <w:trPr>
          <w:trHeight w:val="300"/>
        </w:trPr>
        <w:tc>
          <w:tcPr>
            <w:tcW w:w="2417" w:type="dxa"/>
            <w:shd w:val="clear" w:color="auto" w:fill="D9D9D9" w:themeFill="background1" w:themeFillShade="D9"/>
          </w:tcPr>
          <w:p w14:paraId="0EF65EAA" w14:textId="77777777" w:rsidR="00925217" w:rsidRPr="00131981" w:rsidRDefault="00925217" w:rsidP="0038031D">
            <w:pPr>
              <w:pStyle w:val="SDMTableBoxParaNotNumbered"/>
              <w:keepNext/>
              <w:spacing w:before="60" w:after="60"/>
            </w:pPr>
            <w:r>
              <w:t>Treatment of uncertain</w:t>
            </w:r>
            <w:r w:rsidR="008C439E">
              <w:t>ties</w:t>
            </w:r>
          </w:p>
        </w:tc>
        <w:tc>
          <w:tcPr>
            <w:tcW w:w="6112" w:type="dxa"/>
            <w:gridSpan w:val="4"/>
          </w:tcPr>
          <w:p w14:paraId="1C9A6A9D" w14:textId="3A800401" w:rsidR="00925217" w:rsidRPr="009D3FB1" w:rsidRDefault="12865A3D" w:rsidP="00F36908">
            <w:pPr>
              <w:pStyle w:val="SDMTableBoxParaNotNumbered"/>
              <w:spacing w:before="60" w:after="60"/>
            </w:pPr>
            <w:r>
              <w:t>Uncertainties are determined based on the measuring instruments</w:t>
            </w:r>
          </w:p>
        </w:tc>
      </w:tr>
      <w:tr w:rsidR="00AA0E25" w:rsidRPr="00780E96" w14:paraId="4B58C1AE" w14:textId="77777777" w:rsidTr="00CC0FD5">
        <w:trPr>
          <w:trHeight w:val="300"/>
        </w:trPr>
        <w:tc>
          <w:tcPr>
            <w:tcW w:w="2417" w:type="dxa"/>
            <w:shd w:val="clear" w:color="auto" w:fill="D9D9D9" w:themeFill="background1" w:themeFillShade="D9"/>
          </w:tcPr>
          <w:p w14:paraId="660840DE" w14:textId="77777777" w:rsidR="00925217" w:rsidRPr="00780E96" w:rsidRDefault="00925217" w:rsidP="00F36908">
            <w:pPr>
              <w:pStyle w:val="SDMTableBoxParaNotNumbered"/>
              <w:spacing w:before="60" w:after="60"/>
            </w:pPr>
            <w:r w:rsidRPr="00780E96">
              <w:t>Additional comment</w:t>
            </w:r>
          </w:p>
        </w:tc>
        <w:tc>
          <w:tcPr>
            <w:tcW w:w="6112" w:type="dxa"/>
            <w:gridSpan w:val="4"/>
          </w:tcPr>
          <w:p w14:paraId="65AD7B1C" w14:textId="55CD2F6C" w:rsidR="00925217" w:rsidRPr="00780E96" w:rsidRDefault="12865A3D" w:rsidP="00F36908">
            <w:pPr>
              <w:pStyle w:val="SDMTableBoxParaNotNumbered"/>
              <w:spacing w:before="60" w:after="60"/>
            </w:pPr>
            <w:r w:rsidRPr="00780E96">
              <w:t xml:space="preserve">If the electricity is exported to the </w:t>
            </w:r>
            <w:r w:rsidR="6161FC7C" w:rsidRPr="00780E96">
              <w:t>electricity system</w:t>
            </w:r>
            <w:r w:rsidRPr="00780E96">
              <w:t xml:space="preserve"> using a one-way electricity</w:t>
            </w:r>
            <w:r w:rsidR="002E49C2" w:rsidRPr="00780E96">
              <w:t xml:space="preserve"> </w:t>
            </w:r>
            <w:r w:rsidRPr="00780E96">
              <w:t xml:space="preserve">meter, </w:t>
            </w:r>
            <w:r w:rsidRPr="00780E96">
              <w:rPr>
                <w:i/>
                <w:iCs/>
              </w:rPr>
              <w:t>EG</w:t>
            </w:r>
            <w:r w:rsidR="46777379" w:rsidRPr="00780E96">
              <w:rPr>
                <w:i/>
                <w:iCs/>
                <w:vertAlign w:val="subscript"/>
              </w:rPr>
              <w:t>s</w:t>
            </w:r>
            <w:r w:rsidRPr="00780E96">
              <w:rPr>
                <w:i/>
                <w:iCs/>
                <w:vertAlign w:val="subscript"/>
              </w:rPr>
              <w:t>,y</w:t>
            </w:r>
            <w:r w:rsidRPr="00780E96">
              <w:t xml:space="preserve"> </w:t>
            </w:r>
            <w:r w:rsidR="46777379" w:rsidRPr="00780E96">
              <w:t xml:space="preserve">and </w:t>
            </w:r>
            <w:r w:rsidR="1376C8BD" w:rsidRPr="00780E96">
              <w:rPr>
                <w:i/>
                <w:iCs/>
              </w:rPr>
              <w:t>EG</w:t>
            </w:r>
            <w:r w:rsidR="1376C8BD" w:rsidRPr="00780E96">
              <w:rPr>
                <w:i/>
                <w:iCs/>
                <w:vertAlign w:val="subscript"/>
              </w:rPr>
              <w:t>s,</w:t>
            </w:r>
            <w:r w:rsidR="46777379" w:rsidRPr="00780E96">
              <w:rPr>
                <w:i/>
                <w:iCs/>
                <w:vertAlign w:val="subscript"/>
              </w:rPr>
              <w:t>h</w:t>
            </w:r>
            <w:r w:rsidRPr="00780E96">
              <w:t xml:space="preserve"> </w:t>
            </w:r>
            <w:r w:rsidR="46777379" w:rsidRPr="00780E96">
              <w:t>are</w:t>
            </w:r>
            <w:r w:rsidRPr="00780E96">
              <w:t xml:space="preserve"> calculated as </w:t>
            </w:r>
            <w:r w:rsidR="2E7D32EC" w:rsidRPr="00780E96">
              <w:t>the</w:t>
            </w:r>
            <w:r w:rsidRPr="00780E96">
              <w:t xml:space="preserve"> difference between (a) the quantity of electricity supplied by the </w:t>
            </w:r>
            <w:r w:rsidR="003A584C" w:rsidRPr="00780E96">
              <w:t xml:space="preserve">activity </w:t>
            </w:r>
            <w:r w:rsidR="008E705B" w:rsidRPr="00780E96">
              <w:rPr>
                <w:rFonts w:eastAsia="MS Mincho"/>
                <w:lang w:eastAsia="ja-JP"/>
              </w:rPr>
              <w:t xml:space="preserve">power </w:t>
            </w:r>
            <w:r w:rsidRPr="00780E96">
              <w:t xml:space="preserve">plant/unit to the </w:t>
            </w:r>
            <w:r w:rsidR="71BEB722" w:rsidRPr="00780E96">
              <w:t>electricity system</w:t>
            </w:r>
            <w:r w:rsidRPr="00780E96">
              <w:t xml:space="preserve"> and (b) the quantity of electricity </w:t>
            </w:r>
            <w:r w:rsidR="45529DA9" w:rsidRPr="00780E96">
              <w:t xml:space="preserve">consumed </w:t>
            </w:r>
            <w:r w:rsidR="1E1F2A36" w:rsidRPr="00780E96">
              <w:t>by</w:t>
            </w:r>
            <w:r w:rsidR="183C5B70" w:rsidRPr="00780E96">
              <w:t xml:space="preserve"> </w:t>
            </w:r>
            <w:r w:rsidRPr="00780E96">
              <w:t>the</w:t>
            </w:r>
            <w:r w:rsidR="00780E96" w:rsidRPr="00780E96">
              <w:t xml:space="preserve"> </w:t>
            </w:r>
            <w:r w:rsidR="003A584C" w:rsidRPr="00780E96">
              <w:t xml:space="preserve">activity </w:t>
            </w:r>
            <w:r w:rsidR="003A584C" w:rsidRPr="00780E96">
              <w:rPr>
                <w:rFonts w:eastAsia="MS Mincho"/>
                <w:lang w:eastAsia="ja-JP"/>
              </w:rPr>
              <w:t xml:space="preserve">power </w:t>
            </w:r>
            <w:r w:rsidRPr="00780E96">
              <w:t xml:space="preserve">plant/unit from the </w:t>
            </w:r>
            <w:r w:rsidR="7ECD36F8" w:rsidRPr="00780E96">
              <w:t>electricity system</w:t>
            </w:r>
          </w:p>
        </w:tc>
      </w:tr>
    </w:tbl>
    <w:p w14:paraId="270B0841" w14:textId="2EF97D3F" w:rsidR="00925217" w:rsidRPr="00780E96" w:rsidRDefault="00925217" w:rsidP="00F32C6C">
      <w:pPr>
        <w:pStyle w:val="Caption"/>
      </w:pPr>
      <w:bookmarkStart w:id="943" w:name="_Ref220958406"/>
      <w:r w:rsidRPr="00780E96">
        <w:t>Data / Parameter table</w:t>
      </w:r>
      <w:r w:rsidR="00D47AFF" w:rsidRPr="00780E96">
        <w:t> </w:t>
      </w:r>
      <w:r w:rsidRPr="00780E96">
        <w:fldChar w:fldCharType="begin"/>
      </w:r>
      <w:r w:rsidRPr="00780E96">
        <w:instrText>SEQ Data_/_Parameter_table \* ARABIC</w:instrText>
      </w:r>
      <w:r w:rsidRPr="00780E96">
        <w:fldChar w:fldCharType="separate"/>
      </w:r>
      <w:r w:rsidR="003B0135" w:rsidRPr="00780E96">
        <w:rPr>
          <w:noProof/>
        </w:rPr>
        <w:t>2</w:t>
      </w:r>
      <w:r w:rsidRPr="00780E96">
        <w:fldChar w:fldCharType="end"/>
      </w:r>
      <w:bookmarkEnd w:id="943"/>
      <w:r w:rsidRPr="00780E96">
        <w:t>.</w:t>
      </w:r>
    </w:p>
    <w:tbl>
      <w:tblPr>
        <w:tblStyle w:val="TableGrid"/>
        <w:tblW w:w="8529" w:type="dxa"/>
        <w:tblInd w:w="8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5"/>
        <w:gridCol w:w="1561"/>
        <w:gridCol w:w="662"/>
        <w:gridCol w:w="1977"/>
        <w:gridCol w:w="1884"/>
      </w:tblGrid>
      <w:tr w:rsidR="00EB6812" w:rsidRPr="00780E96" w14:paraId="4ECE1110" w14:textId="77777777" w:rsidTr="00CC0FD5">
        <w:trPr>
          <w:trHeight w:val="300"/>
        </w:trPr>
        <w:tc>
          <w:tcPr>
            <w:tcW w:w="2445" w:type="dxa"/>
            <w:shd w:val="clear" w:color="auto" w:fill="D9D9D9" w:themeFill="background1" w:themeFillShade="D9"/>
          </w:tcPr>
          <w:p w14:paraId="6D48697F" w14:textId="77777777" w:rsidR="00EB6812" w:rsidRPr="00780E96" w:rsidRDefault="00EB6812" w:rsidP="0038031D">
            <w:pPr>
              <w:pStyle w:val="SDMTableBoxParaNotNumbered"/>
              <w:keepNext/>
              <w:spacing w:before="60" w:after="60"/>
            </w:pPr>
            <w:r w:rsidRPr="00780E96">
              <w:t>Data/parameter</w:t>
            </w:r>
          </w:p>
        </w:tc>
        <w:tc>
          <w:tcPr>
            <w:tcW w:w="6084" w:type="dxa"/>
            <w:gridSpan w:val="4"/>
          </w:tcPr>
          <w:p w14:paraId="0E041CB5" w14:textId="77777777" w:rsidR="00EB6812" w:rsidRPr="00780E96" w:rsidRDefault="003F6646" w:rsidP="0038031D">
            <w:pPr>
              <w:pStyle w:val="SDMTableBoxParaNotNumbered"/>
              <w:keepNext/>
              <w:spacing w:before="60" w:after="60"/>
              <w:rPr>
                <w:iCs/>
              </w:rPr>
            </w:pPr>
            <m:oMath>
              <m:sSub>
                <m:sSubPr>
                  <m:ctrlPr>
                    <w:rPr>
                      <w:rFonts w:ascii="Cambria Math" w:hAnsi="Cambria Math"/>
                      <w:i/>
                    </w:rPr>
                  </m:ctrlPr>
                </m:sSubPr>
                <m:e>
                  <m:r>
                    <m:rPr>
                      <m:sty m:val="bi"/>
                    </m:rPr>
                    <w:rPr>
                      <w:rFonts w:ascii="Cambria Math" w:hAnsi="Cambria Math"/>
                    </w:rPr>
                    <m:t>EC</m:t>
                  </m:r>
                </m:e>
                <m:sub>
                  <m:r>
                    <m:rPr>
                      <m:sty m:val="bi"/>
                    </m:rPr>
                    <w:rPr>
                      <w:rFonts w:ascii="Cambria Math" w:hAnsi="Cambria Math"/>
                    </w:rPr>
                    <m:t>s</m:t>
                  </m:r>
                  <m:r>
                    <w:rPr>
                      <w:rFonts w:ascii="Cambria Math" w:hAnsi="Cambria Math"/>
                    </w:rPr>
                    <m:t>,</m:t>
                  </m:r>
                  <m:r>
                    <m:rPr>
                      <m:sty m:val="bi"/>
                    </m:rPr>
                    <w:rPr>
                      <w:rFonts w:ascii="Cambria Math" w:hAnsi="Cambria Math"/>
                    </w:rPr>
                    <m:t>y</m:t>
                  </m:r>
                </m:sub>
              </m:sSub>
            </m:oMath>
            <w:r w:rsidR="00EB6812" w:rsidRPr="00780E96">
              <w:rPr>
                <w:i/>
              </w:rPr>
              <w:t xml:space="preserve"> </w:t>
            </w:r>
            <w:r w:rsidR="00EB6812" w:rsidRPr="00780E96">
              <w:rPr>
                <w:iCs/>
              </w:rPr>
              <w:t xml:space="preserve">; </w:t>
            </w:r>
            <m:oMath>
              <m:sSub>
                <m:sSubPr>
                  <m:ctrlPr>
                    <w:rPr>
                      <w:rFonts w:ascii="Cambria Math" w:hAnsi="Cambria Math"/>
                      <w:i/>
                    </w:rPr>
                  </m:ctrlPr>
                </m:sSubPr>
                <m:e>
                  <m:r>
                    <m:rPr>
                      <m:sty m:val="bi"/>
                    </m:rPr>
                    <w:rPr>
                      <w:rFonts w:ascii="Cambria Math" w:hAnsi="Cambria Math"/>
                    </w:rPr>
                    <m:t>EC</m:t>
                  </m:r>
                </m:e>
                <m:sub>
                  <m:r>
                    <m:rPr>
                      <m:sty m:val="bi"/>
                    </m:rPr>
                    <w:rPr>
                      <w:rFonts w:ascii="Cambria Math" w:hAnsi="Cambria Math"/>
                    </w:rPr>
                    <m:t>s</m:t>
                  </m:r>
                  <m:r>
                    <w:rPr>
                      <w:rFonts w:ascii="Cambria Math" w:hAnsi="Cambria Math"/>
                    </w:rPr>
                    <m:t>,</m:t>
                  </m:r>
                  <m:r>
                    <m:rPr>
                      <m:sty m:val="bi"/>
                    </m:rPr>
                    <w:rPr>
                      <w:rFonts w:ascii="Cambria Math" w:hAnsi="Cambria Math"/>
                    </w:rPr>
                    <m:t>h</m:t>
                  </m:r>
                </m:sub>
              </m:sSub>
            </m:oMath>
          </w:p>
        </w:tc>
      </w:tr>
      <w:tr w:rsidR="00EB6812" w:rsidRPr="00780E96" w14:paraId="0E9AA4B1" w14:textId="77777777" w:rsidTr="00CC0FD5">
        <w:trPr>
          <w:trHeight w:val="300"/>
        </w:trPr>
        <w:tc>
          <w:tcPr>
            <w:tcW w:w="2445" w:type="dxa"/>
            <w:shd w:val="clear" w:color="auto" w:fill="D9D9D9" w:themeFill="background1" w:themeFillShade="D9"/>
          </w:tcPr>
          <w:p w14:paraId="52716D53" w14:textId="77777777" w:rsidR="00EB6812" w:rsidRPr="00780E96" w:rsidRDefault="00EB6812" w:rsidP="00F36908">
            <w:pPr>
              <w:pStyle w:val="SDMTableBoxParaNotNumbered"/>
              <w:spacing w:before="60" w:after="60"/>
            </w:pPr>
            <w:r w:rsidRPr="00780E96">
              <w:t>Description</w:t>
            </w:r>
          </w:p>
        </w:tc>
        <w:tc>
          <w:tcPr>
            <w:tcW w:w="6084" w:type="dxa"/>
            <w:gridSpan w:val="4"/>
          </w:tcPr>
          <w:p w14:paraId="647BF32D" w14:textId="77777777" w:rsidR="00EB6812" w:rsidRPr="00780E96" w:rsidRDefault="003F6646" w:rsidP="00F36908">
            <w:pPr>
              <w:pStyle w:val="SDMTableBoxParaNotNumbered"/>
              <w:spacing w:before="60" w:after="60"/>
              <w:rPr>
                <w:i/>
                <w:iCs/>
                <w:lang w:eastAsia="en-US"/>
              </w:rPr>
            </w:pPr>
            <m:oMath>
              <m:sSub>
                <m:sSubPr>
                  <m:ctrlPr>
                    <w:rPr>
                      <w:rFonts w:ascii="Cambria Math" w:hAnsi="Cambria Math"/>
                      <w:i/>
                    </w:rPr>
                  </m:ctrlPr>
                </m:sSubPr>
                <m:e>
                  <m:r>
                    <m:rPr>
                      <m:sty m:val="bi"/>
                    </m:rPr>
                    <w:rPr>
                      <w:rFonts w:ascii="Cambria Math" w:hAnsi="Cambria Math"/>
                    </w:rPr>
                    <m:t>EC</m:t>
                  </m:r>
                </m:e>
                <m:sub>
                  <m:r>
                    <m:rPr>
                      <m:sty m:val="bi"/>
                    </m:rPr>
                    <w:rPr>
                      <w:rFonts w:ascii="Cambria Math" w:hAnsi="Cambria Math"/>
                    </w:rPr>
                    <m:t>s</m:t>
                  </m:r>
                  <m:r>
                    <w:rPr>
                      <w:rFonts w:ascii="Cambria Math" w:hAnsi="Cambria Math"/>
                    </w:rPr>
                    <m:t>,</m:t>
                  </m:r>
                  <m:r>
                    <m:rPr>
                      <m:sty m:val="bi"/>
                    </m:rPr>
                    <w:rPr>
                      <w:rFonts w:ascii="Cambria Math" w:hAnsi="Cambria Math"/>
                    </w:rPr>
                    <m:t>y</m:t>
                  </m:r>
                </m:sub>
              </m:sSub>
            </m:oMath>
            <w:r w:rsidR="00EB6812" w:rsidRPr="00780E96">
              <w:rPr>
                <w:b/>
                <w:bCs/>
                <w:i/>
                <w:iCs/>
              </w:rPr>
              <w:t>:</w:t>
            </w:r>
            <w:r w:rsidR="00EB6812" w:rsidRPr="00780E96">
              <w:t xml:space="preserve"> </w:t>
            </w:r>
            <w:r w:rsidR="00EB6812" w:rsidRPr="00780E96">
              <w:rPr>
                <w:lang w:eastAsia="en-US"/>
              </w:rPr>
              <w:t xml:space="preserve">Electricity consumed by the </w:t>
            </w:r>
            <w:r w:rsidR="00EB6812" w:rsidRPr="00780E96">
              <w:t xml:space="preserve">electricity consumption </w:t>
            </w:r>
            <w:r w:rsidR="00EB6812" w:rsidRPr="00780E96" w:rsidDel="002673E6">
              <w:rPr>
                <w:lang w:eastAsia="en-US"/>
              </w:rPr>
              <w:t>source</w:t>
            </w:r>
            <w:r w:rsidR="00EB6812" w:rsidRPr="00780E96">
              <w:t> </w:t>
            </w:r>
            <w:r w:rsidR="00EB6812" w:rsidRPr="00780E96">
              <w:rPr>
                <w:i/>
                <w:iCs/>
              </w:rPr>
              <w:t>s</w:t>
            </w:r>
            <w:r w:rsidR="00EB6812" w:rsidRPr="00780E96">
              <w:rPr>
                <w:lang w:eastAsia="en-US"/>
              </w:rPr>
              <w:t xml:space="preserve"> in year </w:t>
            </w:r>
            <w:r w:rsidR="00EB6812" w:rsidRPr="00780E96">
              <w:rPr>
                <w:i/>
                <w:iCs/>
                <w:lang w:eastAsia="en-US"/>
              </w:rPr>
              <w:t>y</w:t>
            </w:r>
          </w:p>
          <w:p w14:paraId="022CE004" w14:textId="1DBB6E37" w:rsidR="00EB6812" w:rsidRPr="00780E96" w:rsidRDefault="003F6646" w:rsidP="00F36908">
            <w:pPr>
              <w:pStyle w:val="SDMTableBoxParaNotNumbered"/>
              <w:spacing w:before="60" w:after="60"/>
              <w:rPr>
                <w:b/>
                <w:bCs/>
                <w:iCs/>
                <w:lang w:eastAsia="en-US"/>
              </w:rPr>
            </w:pPr>
            <m:oMath>
              <m:sSub>
                <m:sSubPr>
                  <m:ctrlPr>
                    <w:rPr>
                      <w:rFonts w:ascii="Cambria Math" w:hAnsi="Cambria Math"/>
                      <w:i/>
                    </w:rPr>
                  </m:ctrlPr>
                </m:sSubPr>
                <m:e>
                  <m:r>
                    <m:rPr>
                      <m:sty m:val="bi"/>
                    </m:rPr>
                    <w:rPr>
                      <w:rFonts w:ascii="Cambria Math" w:hAnsi="Cambria Math"/>
                    </w:rPr>
                    <m:t>EC</m:t>
                  </m:r>
                </m:e>
                <m:sub>
                  <m:r>
                    <m:rPr>
                      <m:sty m:val="bi"/>
                    </m:rPr>
                    <w:rPr>
                      <w:rFonts w:ascii="Cambria Math" w:hAnsi="Cambria Math"/>
                    </w:rPr>
                    <m:t>s</m:t>
                  </m:r>
                  <m:r>
                    <w:rPr>
                      <w:rFonts w:ascii="Cambria Math" w:hAnsi="Cambria Math"/>
                    </w:rPr>
                    <m:t>,</m:t>
                  </m:r>
                  <m:r>
                    <m:rPr>
                      <m:sty m:val="bi"/>
                    </m:rPr>
                    <w:rPr>
                      <w:rFonts w:ascii="Cambria Math" w:hAnsi="Cambria Math"/>
                    </w:rPr>
                    <m:t>h</m:t>
                  </m:r>
                </m:sub>
              </m:sSub>
            </m:oMath>
            <w:r w:rsidR="00EB6812" w:rsidRPr="00780E96">
              <w:rPr>
                <w:b/>
                <w:bCs/>
                <w:i/>
              </w:rPr>
              <w:t>:</w:t>
            </w:r>
            <w:r w:rsidR="00EB6812" w:rsidRPr="00780E96">
              <w:rPr>
                <w:i/>
              </w:rPr>
              <w:t xml:space="preserve"> </w:t>
            </w:r>
            <w:r w:rsidR="00EB6812" w:rsidRPr="00780E96">
              <w:rPr>
                <w:lang w:eastAsia="en-US"/>
              </w:rPr>
              <w:t xml:space="preserve">Electricity consumed by the </w:t>
            </w:r>
            <w:r w:rsidR="00EB6812" w:rsidRPr="00780E96">
              <w:t xml:space="preserve">electricity consumption </w:t>
            </w:r>
            <w:r w:rsidR="00EB6812" w:rsidRPr="00780E96" w:rsidDel="002673E6">
              <w:rPr>
                <w:lang w:eastAsia="en-US"/>
              </w:rPr>
              <w:t>source</w:t>
            </w:r>
            <w:r w:rsidR="00EB6812" w:rsidRPr="00780E96">
              <w:t> </w:t>
            </w:r>
            <w:r w:rsidR="00EB6812" w:rsidRPr="00780E96">
              <w:rPr>
                <w:i/>
                <w:iCs/>
              </w:rPr>
              <w:t>s</w:t>
            </w:r>
            <w:r w:rsidR="00EB6812" w:rsidRPr="00780E96">
              <w:rPr>
                <w:lang w:eastAsia="en-US"/>
              </w:rPr>
              <w:t xml:space="preserve"> in hour</w:t>
            </w:r>
            <w:r w:rsidR="005A1BB7" w:rsidRPr="00780E96">
              <w:rPr>
                <w:lang w:eastAsia="en-US"/>
              </w:rPr>
              <w:t> </w:t>
            </w:r>
            <w:r w:rsidR="00EB6812" w:rsidRPr="00780E96">
              <w:rPr>
                <w:i/>
                <w:iCs/>
                <w:lang w:eastAsia="en-US"/>
              </w:rPr>
              <w:t>h</w:t>
            </w:r>
          </w:p>
        </w:tc>
      </w:tr>
      <w:tr w:rsidR="00EB6812" w:rsidRPr="00780E96" w14:paraId="1243B0DA" w14:textId="77777777" w:rsidTr="00CC0FD5">
        <w:trPr>
          <w:trHeight w:val="300"/>
        </w:trPr>
        <w:tc>
          <w:tcPr>
            <w:tcW w:w="2445" w:type="dxa"/>
            <w:shd w:val="clear" w:color="auto" w:fill="D9D9D9" w:themeFill="background1" w:themeFillShade="D9"/>
          </w:tcPr>
          <w:p w14:paraId="5DACC65C" w14:textId="77777777" w:rsidR="00EB6812" w:rsidRPr="00780E96" w:rsidRDefault="00EB6812" w:rsidP="00F36908">
            <w:pPr>
              <w:pStyle w:val="SDMTableBoxParaNotNumbered"/>
              <w:spacing w:before="60" w:after="60"/>
            </w:pPr>
            <w:r w:rsidRPr="00780E96">
              <w:t>Data unit</w:t>
            </w:r>
          </w:p>
        </w:tc>
        <w:tc>
          <w:tcPr>
            <w:tcW w:w="6084" w:type="dxa"/>
            <w:gridSpan w:val="4"/>
          </w:tcPr>
          <w:p w14:paraId="4842A0C5" w14:textId="6C6107D8" w:rsidR="00EB6812" w:rsidRPr="00780E96" w:rsidRDefault="003F6646" w:rsidP="00F36908">
            <w:pPr>
              <w:pStyle w:val="SDMTableBoxParaNotNumbered"/>
              <w:spacing w:before="60" w:after="60"/>
            </w:pPr>
            <m:oMath>
              <m:sSub>
                <m:sSubPr>
                  <m:ctrlPr>
                    <w:rPr>
                      <w:rFonts w:ascii="Cambria Math" w:hAnsi="Cambria Math"/>
                      <w:i/>
                    </w:rPr>
                  </m:ctrlPr>
                </m:sSubPr>
                <m:e>
                  <m:r>
                    <m:rPr>
                      <m:sty m:val="bi"/>
                    </m:rPr>
                    <w:rPr>
                      <w:rFonts w:ascii="Cambria Math" w:hAnsi="Cambria Math"/>
                    </w:rPr>
                    <m:t>EC</m:t>
                  </m:r>
                </m:e>
                <m:sub>
                  <m:r>
                    <m:rPr>
                      <m:sty m:val="bi"/>
                    </m:rPr>
                    <w:rPr>
                      <w:rFonts w:ascii="Cambria Math" w:hAnsi="Cambria Math"/>
                    </w:rPr>
                    <m:t>s</m:t>
                  </m:r>
                  <m:r>
                    <w:rPr>
                      <w:rFonts w:ascii="Cambria Math" w:hAnsi="Cambria Math"/>
                    </w:rPr>
                    <m:t>,</m:t>
                  </m:r>
                  <m:r>
                    <m:rPr>
                      <m:sty m:val="bi"/>
                    </m:rPr>
                    <w:rPr>
                      <w:rFonts w:ascii="Cambria Math" w:hAnsi="Cambria Math"/>
                    </w:rPr>
                    <m:t>y</m:t>
                  </m:r>
                </m:sub>
              </m:sSub>
            </m:oMath>
            <w:r w:rsidR="00EB6812" w:rsidRPr="00780E96">
              <w:rPr>
                <w:b/>
                <w:bCs/>
                <w:i/>
                <w:iCs/>
              </w:rPr>
              <w:t>:</w:t>
            </w:r>
            <w:r w:rsidR="00EB6812" w:rsidRPr="00780E96">
              <w:t xml:space="preserve"> MWh</w:t>
            </w:r>
            <w:r w:rsidR="00B27D59" w:rsidRPr="00780E96">
              <w:t xml:space="preserve"> in year</w:t>
            </w:r>
            <w:r w:rsidR="00D47AFF" w:rsidRPr="00780E96">
              <w:t> </w:t>
            </w:r>
            <w:r w:rsidR="00B27D59" w:rsidRPr="00780E96">
              <w:rPr>
                <w:i/>
                <w:iCs/>
              </w:rPr>
              <w:t>y</w:t>
            </w:r>
          </w:p>
          <w:p w14:paraId="3F1E8E3E" w14:textId="28E3E956" w:rsidR="00EB6812" w:rsidRPr="00780E96" w:rsidRDefault="003F6646" w:rsidP="00F36908">
            <w:pPr>
              <w:pStyle w:val="SDMTableBoxParaNotNumbered"/>
              <w:spacing w:before="60" w:after="60"/>
            </w:pPr>
            <m:oMath>
              <m:sSub>
                <m:sSubPr>
                  <m:ctrlPr>
                    <w:rPr>
                      <w:rFonts w:ascii="Cambria Math" w:hAnsi="Cambria Math"/>
                      <w:i/>
                    </w:rPr>
                  </m:ctrlPr>
                </m:sSubPr>
                <m:e>
                  <m:r>
                    <m:rPr>
                      <m:sty m:val="bi"/>
                    </m:rPr>
                    <w:rPr>
                      <w:rFonts w:ascii="Cambria Math" w:hAnsi="Cambria Math"/>
                    </w:rPr>
                    <m:t>EC</m:t>
                  </m:r>
                </m:e>
                <m:sub>
                  <m:r>
                    <m:rPr>
                      <m:sty m:val="bi"/>
                    </m:rPr>
                    <w:rPr>
                      <w:rFonts w:ascii="Cambria Math" w:hAnsi="Cambria Math"/>
                    </w:rPr>
                    <m:t>s</m:t>
                  </m:r>
                  <m:r>
                    <w:rPr>
                      <w:rFonts w:ascii="Cambria Math" w:hAnsi="Cambria Math"/>
                    </w:rPr>
                    <m:t>,</m:t>
                  </m:r>
                  <m:r>
                    <m:rPr>
                      <m:sty m:val="bi"/>
                    </m:rPr>
                    <w:rPr>
                      <w:rFonts w:ascii="Cambria Math" w:hAnsi="Cambria Math"/>
                    </w:rPr>
                    <m:t>h</m:t>
                  </m:r>
                </m:sub>
              </m:sSub>
            </m:oMath>
            <w:r w:rsidR="00EB6812" w:rsidRPr="00780E96">
              <w:rPr>
                <w:b/>
                <w:bCs/>
                <w:i/>
                <w:iCs/>
              </w:rPr>
              <w:t>:</w:t>
            </w:r>
            <w:r w:rsidR="00EB6812" w:rsidRPr="00780E96">
              <w:t xml:space="preserve"> MWh</w:t>
            </w:r>
            <w:r w:rsidR="00B27D59" w:rsidRPr="00780E96">
              <w:t xml:space="preserve"> in hour</w:t>
            </w:r>
            <w:r w:rsidR="00D47AFF" w:rsidRPr="00780E96">
              <w:t> </w:t>
            </w:r>
            <w:r w:rsidR="00B27D59" w:rsidRPr="00780E96">
              <w:rPr>
                <w:i/>
                <w:iCs/>
              </w:rPr>
              <w:t>h</w:t>
            </w:r>
          </w:p>
        </w:tc>
      </w:tr>
      <w:tr w:rsidR="00EB6812" w:rsidRPr="00780E96" w14:paraId="6EE3BDAA" w14:textId="77777777" w:rsidTr="00CC0FD5">
        <w:trPr>
          <w:trHeight w:val="300"/>
        </w:trPr>
        <w:tc>
          <w:tcPr>
            <w:tcW w:w="2445" w:type="dxa"/>
            <w:tcBorders>
              <w:bottom w:val="single" w:sz="4" w:space="0" w:color="auto"/>
            </w:tcBorders>
            <w:shd w:val="clear" w:color="auto" w:fill="D9D9D9" w:themeFill="background1" w:themeFillShade="D9"/>
          </w:tcPr>
          <w:p w14:paraId="49E443E2" w14:textId="77777777" w:rsidR="00EB6812" w:rsidRPr="00780E96" w:rsidRDefault="00EB6812" w:rsidP="00F36908">
            <w:pPr>
              <w:pStyle w:val="SDMTableBoxParaNotNumbered"/>
              <w:spacing w:before="60" w:after="60"/>
            </w:pPr>
            <w:r w:rsidRPr="00780E96">
              <w:t>Equations referred</w:t>
            </w:r>
          </w:p>
        </w:tc>
        <w:tc>
          <w:tcPr>
            <w:tcW w:w="6084" w:type="dxa"/>
            <w:gridSpan w:val="4"/>
            <w:tcBorders>
              <w:bottom w:val="single" w:sz="4" w:space="0" w:color="auto"/>
            </w:tcBorders>
          </w:tcPr>
          <w:p w14:paraId="550D00C7" w14:textId="77777777" w:rsidR="00EB6812" w:rsidRPr="00780E96" w:rsidRDefault="00EB6812" w:rsidP="00F36908">
            <w:pPr>
              <w:pStyle w:val="SDMTableBoxParaNotNumbered"/>
              <w:spacing w:before="60" w:after="60"/>
            </w:pPr>
          </w:p>
        </w:tc>
      </w:tr>
      <w:tr w:rsidR="00EB6812" w:rsidRPr="00780E96" w14:paraId="07207098" w14:textId="77777777" w:rsidTr="00CC0FD5">
        <w:trPr>
          <w:trHeight w:val="300"/>
        </w:trPr>
        <w:tc>
          <w:tcPr>
            <w:tcW w:w="2445" w:type="dxa"/>
            <w:tcBorders>
              <w:right w:val="single" w:sz="4" w:space="0" w:color="auto"/>
            </w:tcBorders>
            <w:shd w:val="clear" w:color="auto" w:fill="D9D9D9" w:themeFill="background1" w:themeFillShade="D9"/>
          </w:tcPr>
          <w:p w14:paraId="31F007C3" w14:textId="77777777" w:rsidR="00EB6812" w:rsidRPr="00780E96" w:rsidRDefault="00EB6812" w:rsidP="00F36908">
            <w:pPr>
              <w:pStyle w:val="SDMTableBoxParaNotNumbered"/>
              <w:spacing w:before="60" w:after="60"/>
            </w:pPr>
            <w:r w:rsidRPr="00780E96">
              <w:t>Purpose of data</w:t>
            </w:r>
          </w:p>
        </w:tc>
        <w:tc>
          <w:tcPr>
            <w:tcW w:w="2223" w:type="dxa"/>
            <w:gridSpan w:val="2"/>
            <w:tcBorders>
              <w:left w:val="single" w:sz="4" w:space="0" w:color="auto"/>
              <w:right w:val="nil"/>
            </w:tcBorders>
          </w:tcPr>
          <w:p w14:paraId="606697FC" w14:textId="3105EECE" w:rsidR="00EB6812" w:rsidRPr="00780E96" w:rsidRDefault="00EB6812" w:rsidP="00F36908">
            <w:pPr>
              <w:pStyle w:val="SDMTableBoxParaNotNumbered"/>
              <w:spacing w:before="60" w:after="60"/>
            </w:pPr>
            <w:r w:rsidRPr="00780E96">
              <w:rPr>
                <w:rFonts w:asciiTheme="minorBidi" w:hAnsiTheme="minorBidi" w:cstheme="minorBidi"/>
                <w:shd w:val="clear" w:color="auto" w:fill="E6E6E6"/>
              </w:rPr>
              <w:fldChar w:fldCharType="begin">
                <w:ffData>
                  <w:name w:val=""/>
                  <w:enabled/>
                  <w:calcOnExit w:val="0"/>
                  <w:checkBox>
                    <w:size w:val="20"/>
                    <w:default w:val="1"/>
                  </w:checkBox>
                </w:ffData>
              </w:fldChar>
            </w:r>
            <w:r w:rsidRPr="00780E96">
              <w:rPr>
                <w:rFonts w:asciiTheme="minorBidi" w:hAnsiTheme="minorBidi" w:cstheme="minorBidi"/>
                <w:shd w:val="clear" w:color="auto" w:fill="E6E6E6"/>
              </w:rPr>
              <w:instrText xml:space="preserve"> FORMCHECKBOX </w:instrText>
            </w:r>
            <w:r w:rsidRPr="00780E96">
              <w:rPr>
                <w:rFonts w:asciiTheme="minorBidi" w:hAnsiTheme="minorBidi" w:cstheme="minorBidi"/>
                <w:shd w:val="clear" w:color="auto" w:fill="E6E6E6"/>
              </w:rPr>
            </w:r>
            <w:r w:rsidRPr="00780E96">
              <w:rPr>
                <w:rFonts w:asciiTheme="minorBidi" w:hAnsiTheme="minorBidi" w:cstheme="minorBidi"/>
                <w:shd w:val="clear" w:color="auto" w:fill="E6E6E6"/>
              </w:rPr>
              <w:fldChar w:fldCharType="separate"/>
            </w:r>
            <w:r w:rsidRPr="00780E96">
              <w:rPr>
                <w:rFonts w:asciiTheme="minorBidi" w:hAnsiTheme="minorBidi" w:cstheme="minorBidi"/>
                <w:shd w:val="clear" w:color="auto" w:fill="E6E6E6"/>
              </w:rPr>
              <w:fldChar w:fldCharType="end"/>
            </w:r>
            <w:r w:rsidRPr="00780E96">
              <w:rPr>
                <w:rFonts w:asciiTheme="minorBidi" w:hAnsiTheme="minorBidi" w:cstheme="minorBidi"/>
                <w:shd w:val="clear" w:color="auto" w:fill="E6E6E6"/>
              </w:rPr>
              <w:t xml:space="preserve"> </w:t>
            </w:r>
            <w:r w:rsidRPr="00780E96">
              <w:rPr>
                <w:rFonts w:asciiTheme="minorBidi" w:hAnsiTheme="minorBidi" w:cstheme="minorBidi"/>
              </w:rPr>
              <w:t xml:space="preserve">Baseline </w:t>
            </w:r>
            <w:r w:rsidR="00907A99" w:rsidRPr="00780E96">
              <w:rPr>
                <w:rFonts w:asciiTheme="minorBidi" w:eastAsia="MS Mincho" w:hAnsiTheme="minorBidi" w:cstheme="minorBidi" w:hint="eastAsia"/>
                <w:lang w:eastAsia="ja-JP"/>
              </w:rPr>
              <w:t>Scenario</w:t>
            </w:r>
          </w:p>
        </w:tc>
        <w:tc>
          <w:tcPr>
            <w:tcW w:w="1977" w:type="dxa"/>
            <w:tcBorders>
              <w:left w:val="nil"/>
              <w:right w:val="nil"/>
            </w:tcBorders>
          </w:tcPr>
          <w:p w14:paraId="5AE177B6" w14:textId="7695448F" w:rsidR="00EB6812" w:rsidRPr="00780E96" w:rsidRDefault="00EB6812" w:rsidP="00F36908">
            <w:pPr>
              <w:pStyle w:val="SDMTableBoxParaNotNumbered"/>
              <w:spacing w:before="60" w:after="60"/>
            </w:pPr>
            <w:r w:rsidRPr="00780E96">
              <w:rPr>
                <w:rFonts w:asciiTheme="minorBidi" w:hAnsiTheme="minorBidi" w:cstheme="minorBidi"/>
                <w:shd w:val="clear" w:color="auto" w:fill="E6E6E6"/>
              </w:rPr>
              <w:fldChar w:fldCharType="begin">
                <w:ffData>
                  <w:name w:val=""/>
                  <w:enabled/>
                  <w:calcOnExit w:val="0"/>
                  <w:checkBox>
                    <w:size w:val="20"/>
                    <w:default w:val="1"/>
                  </w:checkBox>
                </w:ffData>
              </w:fldChar>
            </w:r>
            <w:r w:rsidRPr="00780E96">
              <w:rPr>
                <w:rFonts w:asciiTheme="minorBidi" w:hAnsiTheme="minorBidi" w:cstheme="minorBidi"/>
                <w:shd w:val="clear" w:color="auto" w:fill="E6E6E6"/>
              </w:rPr>
              <w:instrText xml:space="preserve"> FORMCHECKBOX </w:instrText>
            </w:r>
            <w:r w:rsidRPr="00780E96">
              <w:rPr>
                <w:rFonts w:asciiTheme="minorBidi" w:hAnsiTheme="minorBidi" w:cstheme="minorBidi"/>
                <w:shd w:val="clear" w:color="auto" w:fill="E6E6E6"/>
              </w:rPr>
            </w:r>
            <w:r w:rsidRPr="00780E96">
              <w:rPr>
                <w:rFonts w:asciiTheme="minorBidi" w:hAnsiTheme="minorBidi" w:cstheme="minorBidi"/>
                <w:shd w:val="clear" w:color="auto" w:fill="E6E6E6"/>
              </w:rPr>
              <w:fldChar w:fldCharType="separate"/>
            </w:r>
            <w:r w:rsidRPr="00780E96">
              <w:rPr>
                <w:rFonts w:asciiTheme="minorBidi" w:hAnsiTheme="minorBidi" w:cstheme="minorBidi"/>
                <w:shd w:val="clear" w:color="auto" w:fill="E6E6E6"/>
              </w:rPr>
              <w:fldChar w:fldCharType="end"/>
            </w:r>
            <w:r w:rsidRPr="00780E96">
              <w:rPr>
                <w:rFonts w:asciiTheme="minorBidi" w:hAnsiTheme="minorBidi" w:cstheme="minorBidi"/>
              </w:rPr>
              <w:fldChar w:fldCharType="begin"/>
            </w:r>
            <w:r w:rsidRPr="00780E96">
              <w:rPr>
                <w:rFonts w:asciiTheme="minorBidi" w:hAnsiTheme="minorBidi" w:cstheme="minorBidi"/>
              </w:rPr>
              <w:instrText xml:space="preserve"> FORMCHECKBOX </w:instrText>
            </w:r>
            <w:r w:rsidRPr="00780E96">
              <w:rPr>
                <w:rFonts w:asciiTheme="minorBidi" w:hAnsiTheme="minorBidi" w:cstheme="minorBidi"/>
              </w:rPr>
              <w:fldChar w:fldCharType="separate"/>
            </w:r>
            <w:r w:rsidRPr="00780E96">
              <w:rPr>
                <w:rFonts w:asciiTheme="minorBidi" w:hAnsiTheme="minorBidi" w:cstheme="minorBidi"/>
              </w:rPr>
              <w:fldChar w:fldCharType="end"/>
            </w:r>
            <w:r w:rsidRPr="00780E96">
              <w:rPr>
                <w:rFonts w:asciiTheme="minorBidi" w:hAnsiTheme="minorBidi" w:cstheme="minorBidi"/>
              </w:rPr>
              <w:t xml:space="preserve"> </w:t>
            </w:r>
            <w:r w:rsidR="00943333" w:rsidRPr="00780E96">
              <w:rPr>
                <w:rFonts w:asciiTheme="minorBidi" w:eastAsia="MS Mincho" w:hAnsiTheme="minorBidi" w:cstheme="minorBidi" w:hint="eastAsia"/>
                <w:lang w:eastAsia="ja-JP"/>
              </w:rPr>
              <w:t xml:space="preserve">Activity </w:t>
            </w:r>
            <w:r w:rsidR="00907A99" w:rsidRPr="00780E96">
              <w:rPr>
                <w:rFonts w:asciiTheme="minorBidi" w:eastAsia="MS Mincho" w:hAnsiTheme="minorBidi" w:cstheme="minorBidi" w:hint="eastAsia"/>
                <w:lang w:eastAsia="ja-JP"/>
              </w:rPr>
              <w:t>Scenario</w:t>
            </w:r>
          </w:p>
        </w:tc>
        <w:tc>
          <w:tcPr>
            <w:tcW w:w="1884" w:type="dxa"/>
            <w:tcBorders>
              <w:left w:val="nil"/>
            </w:tcBorders>
          </w:tcPr>
          <w:p w14:paraId="16BA60CE" w14:textId="409D1A52" w:rsidR="00EB6812" w:rsidRPr="00780E96" w:rsidRDefault="00EB6812" w:rsidP="00F36908">
            <w:pPr>
              <w:pStyle w:val="SDMTableBoxParaNotNumbered"/>
              <w:spacing w:before="60" w:after="60"/>
            </w:pPr>
            <w:r w:rsidRPr="00780E96">
              <w:rPr>
                <w:rFonts w:asciiTheme="minorBidi" w:hAnsiTheme="minorBidi" w:cstheme="minorBidi"/>
                <w:shd w:val="clear" w:color="auto" w:fill="E6E6E6"/>
              </w:rPr>
              <w:fldChar w:fldCharType="begin">
                <w:ffData>
                  <w:name w:val=""/>
                  <w:enabled/>
                  <w:calcOnExit w:val="0"/>
                  <w:checkBox>
                    <w:size w:val="20"/>
                    <w:default w:val="1"/>
                  </w:checkBox>
                </w:ffData>
              </w:fldChar>
            </w:r>
            <w:r w:rsidRPr="00780E96">
              <w:rPr>
                <w:rFonts w:asciiTheme="minorBidi" w:hAnsiTheme="minorBidi" w:cstheme="minorBidi"/>
                <w:shd w:val="clear" w:color="auto" w:fill="E6E6E6"/>
              </w:rPr>
              <w:instrText xml:space="preserve"> FORMCHECKBOX </w:instrText>
            </w:r>
            <w:r w:rsidRPr="00780E96">
              <w:rPr>
                <w:rFonts w:asciiTheme="minorBidi" w:hAnsiTheme="minorBidi" w:cstheme="minorBidi"/>
                <w:shd w:val="clear" w:color="auto" w:fill="E6E6E6"/>
              </w:rPr>
            </w:r>
            <w:r w:rsidRPr="00780E96">
              <w:rPr>
                <w:rFonts w:asciiTheme="minorBidi" w:hAnsiTheme="minorBidi" w:cstheme="minorBidi"/>
                <w:shd w:val="clear" w:color="auto" w:fill="E6E6E6"/>
              </w:rPr>
              <w:fldChar w:fldCharType="separate"/>
            </w:r>
            <w:r w:rsidRPr="00780E96">
              <w:rPr>
                <w:rFonts w:asciiTheme="minorBidi" w:hAnsiTheme="minorBidi" w:cstheme="minorBidi"/>
                <w:shd w:val="clear" w:color="auto" w:fill="E6E6E6"/>
              </w:rPr>
              <w:fldChar w:fldCharType="end"/>
            </w:r>
            <w:r w:rsidRPr="00780E96">
              <w:rPr>
                <w:rFonts w:asciiTheme="minorBidi" w:hAnsiTheme="minorBidi" w:cstheme="minorBidi"/>
              </w:rPr>
              <w:fldChar w:fldCharType="begin"/>
            </w:r>
            <w:r w:rsidRPr="00780E96">
              <w:rPr>
                <w:rFonts w:asciiTheme="minorBidi" w:hAnsiTheme="minorBidi" w:cstheme="minorBidi"/>
              </w:rPr>
              <w:instrText xml:space="preserve"> FORMCHECKBOX </w:instrText>
            </w:r>
            <w:r w:rsidRPr="00780E96">
              <w:rPr>
                <w:rFonts w:asciiTheme="minorBidi" w:hAnsiTheme="minorBidi" w:cstheme="minorBidi"/>
              </w:rPr>
              <w:fldChar w:fldCharType="separate"/>
            </w:r>
            <w:r w:rsidRPr="00780E96">
              <w:rPr>
                <w:rFonts w:asciiTheme="minorBidi" w:hAnsiTheme="minorBidi" w:cstheme="minorBidi"/>
              </w:rPr>
              <w:fldChar w:fldCharType="end"/>
            </w:r>
            <w:r w:rsidRPr="00780E96">
              <w:rPr>
                <w:rFonts w:asciiTheme="minorBidi" w:hAnsiTheme="minorBidi" w:cstheme="minorBidi"/>
              </w:rPr>
              <w:t xml:space="preserve"> Leakage </w:t>
            </w:r>
          </w:p>
        </w:tc>
      </w:tr>
      <w:tr w:rsidR="00EB6812" w:rsidRPr="00780E96" w14:paraId="595C8F86" w14:textId="77777777" w:rsidTr="00CC0FD5">
        <w:trPr>
          <w:trHeight w:val="300"/>
        </w:trPr>
        <w:tc>
          <w:tcPr>
            <w:tcW w:w="2445" w:type="dxa"/>
            <w:shd w:val="clear" w:color="auto" w:fill="D9D9D9" w:themeFill="background1" w:themeFillShade="D9"/>
          </w:tcPr>
          <w:p w14:paraId="028C1BB7" w14:textId="77777777" w:rsidR="00EB6812" w:rsidRPr="00780E96" w:rsidRDefault="00EB6812" w:rsidP="00F36908">
            <w:pPr>
              <w:pStyle w:val="SDMTableBoxParaNotNumbered"/>
              <w:spacing w:before="60" w:after="60"/>
            </w:pPr>
            <w:r w:rsidRPr="00780E96">
              <w:t>Measurement and updating frequency</w:t>
            </w:r>
          </w:p>
        </w:tc>
        <w:tc>
          <w:tcPr>
            <w:tcW w:w="6084" w:type="dxa"/>
            <w:gridSpan w:val="4"/>
          </w:tcPr>
          <w:p w14:paraId="2C3CB3D7" w14:textId="77777777" w:rsidR="00F74E46" w:rsidRPr="00780E96" w:rsidRDefault="003F6646" w:rsidP="00F36908">
            <w:pPr>
              <w:pStyle w:val="SDMTableBoxParaNotNumbered"/>
              <w:spacing w:before="60" w:after="60"/>
              <w:rPr>
                <w:i/>
                <w:iCs/>
                <w:lang w:eastAsia="en-US"/>
              </w:rPr>
            </w:pPr>
            <m:oMath>
              <m:sSub>
                <m:sSubPr>
                  <m:ctrlPr>
                    <w:rPr>
                      <w:rFonts w:ascii="Cambria Math" w:hAnsi="Cambria Math"/>
                      <w:i/>
                    </w:rPr>
                  </m:ctrlPr>
                </m:sSubPr>
                <m:e>
                  <m:r>
                    <m:rPr>
                      <m:sty m:val="bi"/>
                    </m:rPr>
                    <w:rPr>
                      <w:rFonts w:ascii="Cambria Math" w:hAnsi="Cambria Math"/>
                    </w:rPr>
                    <m:t>EC</m:t>
                  </m:r>
                </m:e>
                <m:sub>
                  <m:r>
                    <m:rPr>
                      <m:sty m:val="bi"/>
                    </m:rPr>
                    <w:rPr>
                      <w:rFonts w:ascii="Cambria Math" w:hAnsi="Cambria Math"/>
                    </w:rPr>
                    <m:t>s</m:t>
                  </m:r>
                  <m:r>
                    <w:rPr>
                      <w:rFonts w:ascii="Cambria Math" w:hAnsi="Cambria Math"/>
                    </w:rPr>
                    <m:t>,</m:t>
                  </m:r>
                  <m:r>
                    <m:rPr>
                      <m:sty m:val="bi"/>
                    </m:rPr>
                    <w:rPr>
                      <w:rFonts w:ascii="Cambria Math" w:hAnsi="Cambria Math"/>
                    </w:rPr>
                    <m:t>y</m:t>
                  </m:r>
                </m:sub>
              </m:sSub>
            </m:oMath>
            <w:r w:rsidR="79C18BE7" w:rsidRPr="00780E96">
              <w:rPr>
                <w:b/>
                <w:bCs/>
                <w:i/>
                <w:iCs/>
              </w:rPr>
              <w:t>:</w:t>
            </w:r>
            <w:r w:rsidR="79C18BE7" w:rsidRPr="00780E96">
              <w:t xml:space="preserve"> Continuous measurement and at least monthly recording</w:t>
            </w:r>
          </w:p>
          <w:p w14:paraId="7F32C27F" w14:textId="7DE3EE5F" w:rsidR="00EB6812" w:rsidRPr="00780E96" w:rsidRDefault="003F6646" w:rsidP="00F36908">
            <w:pPr>
              <w:pStyle w:val="SDMTableBoxParaNotNumbered"/>
              <w:spacing w:before="60" w:after="60"/>
            </w:pPr>
            <m:oMath>
              <m:sSub>
                <m:sSubPr>
                  <m:ctrlPr>
                    <w:rPr>
                      <w:rFonts w:ascii="Cambria Math" w:hAnsi="Cambria Math"/>
                      <w:i/>
                    </w:rPr>
                  </m:ctrlPr>
                </m:sSubPr>
                <m:e>
                  <m:r>
                    <m:rPr>
                      <m:sty m:val="bi"/>
                    </m:rPr>
                    <w:rPr>
                      <w:rFonts w:ascii="Cambria Math" w:hAnsi="Cambria Math"/>
                    </w:rPr>
                    <m:t>EC</m:t>
                  </m:r>
                </m:e>
                <m:sub>
                  <m:r>
                    <m:rPr>
                      <m:sty m:val="bi"/>
                    </m:rPr>
                    <w:rPr>
                      <w:rFonts w:ascii="Cambria Math" w:hAnsi="Cambria Math"/>
                    </w:rPr>
                    <m:t>s</m:t>
                  </m:r>
                  <m:r>
                    <w:rPr>
                      <w:rFonts w:ascii="Cambria Math" w:hAnsi="Cambria Math"/>
                    </w:rPr>
                    <m:t>,</m:t>
                  </m:r>
                  <m:r>
                    <m:rPr>
                      <m:sty m:val="bi"/>
                    </m:rPr>
                    <w:rPr>
                      <w:rFonts w:ascii="Cambria Math" w:hAnsi="Cambria Math"/>
                    </w:rPr>
                    <m:t>h</m:t>
                  </m:r>
                </m:sub>
              </m:sSub>
            </m:oMath>
            <w:r w:rsidR="00EB6812" w:rsidRPr="00780E96">
              <w:rPr>
                <w:b/>
                <w:bCs/>
                <w:i/>
              </w:rPr>
              <w:t>:</w:t>
            </w:r>
            <w:r w:rsidR="00EB6812" w:rsidRPr="00780E96">
              <w:rPr>
                <w:i/>
              </w:rPr>
              <w:t xml:space="preserve"> </w:t>
            </w:r>
            <w:r w:rsidR="00EB6812" w:rsidRPr="00780E96">
              <w:t>Continuous measurement and at least hourly recording</w:t>
            </w:r>
          </w:p>
        </w:tc>
      </w:tr>
      <w:tr w:rsidR="00EB6812" w:rsidRPr="00780E96" w14:paraId="0F424CE1" w14:textId="77777777" w:rsidTr="00CC0FD5">
        <w:trPr>
          <w:trHeight w:val="300"/>
        </w:trPr>
        <w:tc>
          <w:tcPr>
            <w:tcW w:w="2445" w:type="dxa"/>
            <w:shd w:val="clear" w:color="auto" w:fill="D9D9D9" w:themeFill="background1" w:themeFillShade="D9"/>
          </w:tcPr>
          <w:p w14:paraId="4EFAFE97" w14:textId="22BDA342" w:rsidR="00EB6812" w:rsidRPr="00780E96" w:rsidRDefault="00EB6812" w:rsidP="00F36908">
            <w:pPr>
              <w:pStyle w:val="SDMTableBoxParaNotNumbered"/>
              <w:spacing w:before="60" w:after="60"/>
            </w:pPr>
            <w:r w:rsidRPr="00780E96">
              <w:t>Measurement methods and procedures</w:t>
            </w:r>
          </w:p>
        </w:tc>
        <w:tc>
          <w:tcPr>
            <w:tcW w:w="6084" w:type="dxa"/>
            <w:gridSpan w:val="4"/>
          </w:tcPr>
          <w:p w14:paraId="0E05CAD0" w14:textId="1566C852" w:rsidR="00EB6812" w:rsidRPr="00780E96" w:rsidRDefault="79C18BE7" w:rsidP="00F36908">
            <w:pPr>
              <w:pStyle w:val="SDMTableBoxParaNotNumbered"/>
              <w:spacing w:before="60" w:after="60"/>
            </w:pPr>
            <w:r w:rsidRPr="00780E96">
              <w:t xml:space="preserve">Direct measurement or </w:t>
            </w:r>
            <w:r w:rsidR="00407226" w:rsidRPr="00780E96">
              <w:t xml:space="preserve">calculation </w:t>
            </w:r>
            <w:r w:rsidRPr="00780E96">
              <w:t>based on measurements from more than one electricity meter</w:t>
            </w:r>
          </w:p>
        </w:tc>
      </w:tr>
      <w:tr w:rsidR="00EB6812" w:rsidRPr="00780E96" w14:paraId="019FD0E9" w14:textId="77777777" w:rsidTr="00CC0FD5">
        <w:trPr>
          <w:trHeight w:val="107"/>
        </w:trPr>
        <w:tc>
          <w:tcPr>
            <w:tcW w:w="2445" w:type="dxa"/>
            <w:shd w:val="clear" w:color="auto" w:fill="D9D9D9" w:themeFill="background1" w:themeFillShade="D9"/>
          </w:tcPr>
          <w:p w14:paraId="7D8C19DE" w14:textId="77777777" w:rsidR="00EB6812" w:rsidRPr="00780E96" w:rsidRDefault="00EB6812" w:rsidP="00F36908">
            <w:pPr>
              <w:pStyle w:val="SDMTableBoxParaNotNumbered"/>
              <w:spacing w:before="60" w:after="60"/>
            </w:pPr>
            <w:r w:rsidRPr="00780E96">
              <w:t>Entity/person responsible for the measurement</w:t>
            </w:r>
          </w:p>
        </w:tc>
        <w:tc>
          <w:tcPr>
            <w:tcW w:w="6084" w:type="dxa"/>
            <w:gridSpan w:val="4"/>
          </w:tcPr>
          <w:p w14:paraId="02C95A74" w14:textId="77777777" w:rsidR="00EB6812" w:rsidRPr="00780E96" w:rsidRDefault="00EB6812" w:rsidP="00F36908">
            <w:pPr>
              <w:pStyle w:val="SDMTableBoxParaNotNumbered"/>
              <w:spacing w:before="60" w:after="60"/>
            </w:pPr>
            <w:r w:rsidRPr="00780E96">
              <w:t>Activity participants</w:t>
            </w:r>
          </w:p>
        </w:tc>
      </w:tr>
      <w:tr w:rsidR="00EB6812" w:rsidRPr="00780E96" w14:paraId="3B9649F2" w14:textId="77777777" w:rsidTr="00CC0FD5">
        <w:trPr>
          <w:trHeight w:val="107"/>
        </w:trPr>
        <w:tc>
          <w:tcPr>
            <w:tcW w:w="2445" w:type="dxa"/>
            <w:vMerge w:val="restart"/>
            <w:shd w:val="clear" w:color="auto" w:fill="D9D9D9" w:themeFill="background1" w:themeFillShade="D9"/>
          </w:tcPr>
          <w:p w14:paraId="6B1E3A09" w14:textId="77777777" w:rsidR="00EB6812" w:rsidRPr="00780E96" w:rsidRDefault="00EB6812" w:rsidP="00F36908">
            <w:pPr>
              <w:pStyle w:val="SDMTableBoxParaNotNumbered"/>
              <w:spacing w:before="60" w:after="60"/>
            </w:pPr>
            <w:r w:rsidRPr="00780E96">
              <w:t>Measuring instrument(s)</w:t>
            </w:r>
          </w:p>
        </w:tc>
        <w:tc>
          <w:tcPr>
            <w:tcW w:w="1561" w:type="dxa"/>
          </w:tcPr>
          <w:p w14:paraId="01A54F5F" w14:textId="77777777" w:rsidR="00EB6812" w:rsidRPr="00780E96" w:rsidRDefault="00EB6812" w:rsidP="00F36908">
            <w:pPr>
              <w:pStyle w:val="SDMTableBoxParaNotNumbered"/>
              <w:spacing w:before="60" w:after="60"/>
              <w:rPr>
                <w:i/>
                <w:iCs/>
              </w:rPr>
            </w:pPr>
            <w:r w:rsidRPr="00780E96">
              <w:rPr>
                <w:i/>
                <w:iCs/>
              </w:rPr>
              <w:t>Type of instrument</w:t>
            </w:r>
          </w:p>
        </w:tc>
        <w:tc>
          <w:tcPr>
            <w:tcW w:w="4523" w:type="dxa"/>
            <w:gridSpan w:val="3"/>
          </w:tcPr>
          <w:p w14:paraId="3DE2A9BB" w14:textId="418B8AF6" w:rsidR="00EB6812" w:rsidRPr="00780E96" w:rsidRDefault="00300355" w:rsidP="00F36908">
            <w:pPr>
              <w:pStyle w:val="SDMTableBoxParaNotNumbered"/>
              <w:spacing w:before="60" w:after="60"/>
            </w:pPr>
            <w:r w:rsidRPr="00780E96">
              <w:t>Electricity-meter(s)</w:t>
            </w:r>
          </w:p>
        </w:tc>
      </w:tr>
      <w:tr w:rsidR="00EB6812" w:rsidRPr="00780E96" w14:paraId="6045880D" w14:textId="77777777" w:rsidTr="00CC0FD5">
        <w:trPr>
          <w:trHeight w:val="104"/>
        </w:trPr>
        <w:tc>
          <w:tcPr>
            <w:tcW w:w="2445" w:type="dxa"/>
            <w:vMerge/>
            <w:shd w:val="clear" w:color="auto" w:fill="D9D9D9" w:themeFill="background1" w:themeFillShade="D9"/>
          </w:tcPr>
          <w:p w14:paraId="0F9F9425" w14:textId="77777777" w:rsidR="00EB6812" w:rsidRPr="00780E96" w:rsidRDefault="00EB6812" w:rsidP="00F36908">
            <w:pPr>
              <w:pStyle w:val="SDMTableBoxParaNotNumbered"/>
              <w:spacing w:before="60" w:after="60"/>
            </w:pPr>
          </w:p>
        </w:tc>
        <w:tc>
          <w:tcPr>
            <w:tcW w:w="1561" w:type="dxa"/>
          </w:tcPr>
          <w:p w14:paraId="78031100" w14:textId="77777777" w:rsidR="00EB6812" w:rsidRPr="00780E96" w:rsidRDefault="00EB6812" w:rsidP="00F36908">
            <w:pPr>
              <w:pStyle w:val="SDMTableBoxParaNotNumbered"/>
              <w:spacing w:before="60" w:after="60"/>
              <w:rPr>
                <w:i/>
                <w:iCs/>
              </w:rPr>
            </w:pPr>
            <w:r w:rsidRPr="00780E96">
              <w:rPr>
                <w:i/>
                <w:iCs/>
              </w:rPr>
              <w:t>Accuracy class</w:t>
            </w:r>
          </w:p>
        </w:tc>
        <w:tc>
          <w:tcPr>
            <w:tcW w:w="4523" w:type="dxa"/>
            <w:gridSpan w:val="3"/>
          </w:tcPr>
          <w:p w14:paraId="28B02ABB" w14:textId="79139B6B" w:rsidR="00EB6812" w:rsidRPr="00780E96" w:rsidRDefault="79C18BE7" w:rsidP="00F36908">
            <w:pPr>
              <w:pStyle w:val="SDMTableBoxParaNotNumbered"/>
              <w:spacing w:before="60" w:after="60"/>
            </w:pPr>
            <w:r w:rsidRPr="00780E96">
              <w:t>If electricity</w:t>
            </w:r>
            <w:r w:rsidR="00E677F4" w:rsidRPr="00780E96">
              <w:t xml:space="preserve"> </w:t>
            </w:r>
            <w:r w:rsidRPr="00780E96">
              <w:t xml:space="preserve">meters are regulated: in accordance with the </w:t>
            </w:r>
            <w:r w:rsidR="00E677F4" w:rsidRPr="00780E96">
              <w:t xml:space="preserve">specifications </w:t>
            </w:r>
            <w:r w:rsidRPr="00780E96">
              <w:t xml:space="preserve">of the meter supplier and/or </w:t>
            </w:r>
            <w:r w:rsidR="00A20030" w:rsidRPr="00780E96">
              <w:t>with</w:t>
            </w:r>
            <w:r w:rsidRPr="00780E96">
              <w:t xml:space="preserve"> the requirements set by the operators of the electricity system or national requirements.</w:t>
            </w:r>
          </w:p>
          <w:p w14:paraId="096419FC" w14:textId="68131936" w:rsidR="00EB6812" w:rsidRPr="00780E96" w:rsidRDefault="79C18BE7" w:rsidP="00F36908">
            <w:pPr>
              <w:pStyle w:val="SDMTableBoxParaNotNumbered"/>
              <w:spacing w:before="60" w:after="60"/>
            </w:pPr>
            <w:r w:rsidRPr="00780E96">
              <w:t>If electricity</w:t>
            </w:r>
            <w:r w:rsidR="00A20030" w:rsidRPr="00780E96">
              <w:t xml:space="preserve"> </w:t>
            </w:r>
            <w:r w:rsidRPr="00780E96">
              <w:t>meters are not regulated: at least</w:t>
            </w:r>
            <w:r w:rsidR="00A20030" w:rsidRPr="00780E96">
              <w:t xml:space="preserve"> accuracy class</w:t>
            </w:r>
            <w:r w:rsidRPr="00780E96">
              <w:t xml:space="preserve"> 0.5, or in accordance with the </w:t>
            </w:r>
            <w:r w:rsidR="0010272E" w:rsidRPr="00780E96">
              <w:t xml:space="preserve">specifications </w:t>
            </w:r>
            <w:r w:rsidRPr="00780E96">
              <w:t>of the meter supplier or national requirements</w:t>
            </w:r>
          </w:p>
        </w:tc>
      </w:tr>
      <w:tr w:rsidR="00EB6812" w:rsidRPr="00780E96" w14:paraId="457B2485" w14:textId="77777777" w:rsidTr="00CC0FD5">
        <w:trPr>
          <w:trHeight w:val="104"/>
        </w:trPr>
        <w:tc>
          <w:tcPr>
            <w:tcW w:w="2445" w:type="dxa"/>
            <w:vMerge/>
            <w:shd w:val="clear" w:color="auto" w:fill="D9D9D9" w:themeFill="background1" w:themeFillShade="D9"/>
          </w:tcPr>
          <w:p w14:paraId="66813AB4" w14:textId="77777777" w:rsidR="00EB6812" w:rsidRPr="00780E96" w:rsidRDefault="00EB6812" w:rsidP="00F36908">
            <w:pPr>
              <w:pStyle w:val="SDMTableBoxParaNotNumbered"/>
              <w:spacing w:before="60" w:after="60"/>
            </w:pPr>
          </w:p>
        </w:tc>
        <w:tc>
          <w:tcPr>
            <w:tcW w:w="1561" w:type="dxa"/>
          </w:tcPr>
          <w:p w14:paraId="06B5FF62" w14:textId="77777777" w:rsidR="00EB6812" w:rsidRPr="00780E96" w:rsidRDefault="00EB6812" w:rsidP="00F36908">
            <w:pPr>
              <w:pStyle w:val="SDMTableBoxParaNotNumbered"/>
              <w:spacing w:before="60" w:after="60"/>
              <w:rPr>
                <w:i/>
                <w:iCs/>
              </w:rPr>
            </w:pPr>
            <w:r w:rsidRPr="00780E96">
              <w:rPr>
                <w:i/>
                <w:iCs/>
              </w:rPr>
              <w:t>Calibration requirements</w:t>
            </w:r>
          </w:p>
        </w:tc>
        <w:tc>
          <w:tcPr>
            <w:tcW w:w="4523" w:type="dxa"/>
            <w:gridSpan w:val="3"/>
          </w:tcPr>
          <w:p w14:paraId="0F130CF9" w14:textId="47CB3240" w:rsidR="00EB6812" w:rsidRPr="00780E96" w:rsidRDefault="00EB6812" w:rsidP="00F36908">
            <w:pPr>
              <w:pStyle w:val="SDMTableBoxParaNotNumbered"/>
              <w:spacing w:before="60" w:after="60"/>
            </w:pPr>
            <w:r w:rsidRPr="00780E96">
              <w:t>If electricity</w:t>
            </w:r>
            <w:r w:rsidR="00915B25" w:rsidRPr="00780E96">
              <w:t xml:space="preserve"> </w:t>
            </w:r>
            <w:r w:rsidRPr="00780E96">
              <w:t>meters are regulated: in accordance with national standards or requirements set by the meter supplier or by the operators of the electricity system, including the frequency of calibration.</w:t>
            </w:r>
          </w:p>
          <w:p w14:paraId="68E5730A" w14:textId="3FBB2CAC" w:rsidR="00EB6812" w:rsidRPr="00780E96" w:rsidRDefault="79C18BE7" w:rsidP="00F36908">
            <w:pPr>
              <w:pStyle w:val="SDMTableBoxParaNotNumbered"/>
              <w:spacing w:before="60" w:after="60"/>
              <w:rPr>
                <w:rFonts w:ascii="Calibri" w:hAnsi="Calibri" w:cs="Calibri"/>
              </w:rPr>
            </w:pPr>
            <w:r w:rsidRPr="00780E96">
              <w:t>If electricity</w:t>
            </w:r>
            <w:r w:rsidR="00ED6327" w:rsidRPr="00780E96">
              <w:t xml:space="preserve"> </w:t>
            </w:r>
            <w:r w:rsidRPr="00780E96">
              <w:t xml:space="preserve">meters are not regulated: every </w:t>
            </w:r>
            <w:r w:rsidR="00ED6327" w:rsidRPr="00780E96">
              <w:t xml:space="preserve">three </w:t>
            </w:r>
            <w:r w:rsidRPr="00780E96">
              <w:t>years or in accordance with national standards or requirements set by the meter supplier, including the frequency of calibration</w:t>
            </w:r>
          </w:p>
        </w:tc>
      </w:tr>
      <w:tr w:rsidR="00EB6812" w:rsidRPr="00780E96" w14:paraId="2D01FDF9" w14:textId="77777777" w:rsidTr="00CC0FD5">
        <w:trPr>
          <w:trHeight w:val="104"/>
        </w:trPr>
        <w:tc>
          <w:tcPr>
            <w:tcW w:w="2445" w:type="dxa"/>
            <w:vMerge/>
            <w:shd w:val="clear" w:color="auto" w:fill="D9D9D9" w:themeFill="background1" w:themeFillShade="D9"/>
          </w:tcPr>
          <w:p w14:paraId="2034CCA6" w14:textId="77777777" w:rsidR="00EB6812" w:rsidRPr="00780E96" w:rsidRDefault="00EB6812" w:rsidP="00F36908">
            <w:pPr>
              <w:pStyle w:val="SDMTableBoxParaNotNumbered"/>
              <w:spacing w:before="60" w:after="60"/>
            </w:pPr>
          </w:p>
        </w:tc>
        <w:tc>
          <w:tcPr>
            <w:tcW w:w="1561" w:type="dxa"/>
          </w:tcPr>
          <w:p w14:paraId="249BB6FA" w14:textId="77777777" w:rsidR="00EB6812" w:rsidRPr="00780E96" w:rsidRDefault="00EB6812" w:rsidP="00F36908">
            <w:pPr>
              <w:pStyle w:val="SDMTableBoxParaNotNumbered"/>
              <w:spacing w:before="60" w:after="60"/>
              <w:rPr>
                <w:i/>
                <w:iCs/>
              </w:rPr>
            </w:pPr>
            <w:r w:rsidRPr="00780E96">
              <w:rPr>
                <w:i/>
                <w:iCs/>
              </w:rPr>
              <w:t>Location</w:t>
            </w:r>
          </w:p>
        </w:tc>
        <w:tc>
          <w:tcPr>
            <w:tcW w:w="4523" w:type="dxa"/>
            <w:gridSpan w:val="3"/>
          </w:tcPr>
          <w:p w14:paraId="04C750EB" w14:textId="77777777" w:rsidR="00EB6812" w:rsidRPr="00780E96" w:rsidRDefault="79C18BE7" w:rsidP="00F36908">
            <w:pPr>
              <w:pStyle w:val="SDMTableBoxParaNotNumbered"/>
              <w:spacing w:before="60" w:after="60"/>
            </w:pPr>
            <w:r w:rsidRPr="00780E96">
              <w:t>Scenario A and C: electricity system interface, where applicable,</w:t>
            </w:r>
          </w:p>
          <w:p w14:paraId="6D77EE68" w14:textId="0AAD8639" w:rsidR="00EB6812" w:rsidRPr="00780E96" w:rsidRDefault="79C18BE7" w:rsidP="00F36908">
            <w:pPr>
              <w:pStyle w:val="SDMTableBoxParaNotNumbered"/>
              <w:spacing w:before="60" w:after="60"/>
            </w:pPr>
            <w:r w:rsidRPr="00780E96">
              <w:t xml:space="preserve">Scenario B and C: entrance </w:t>
            </w:r>
            <w:r w:rsidR="00ED6327" w:rsidRPr="00780E96">
              <w:t xml:space="preserve">to </w:t>
            </w:r>
            <w:r w:rsidRPr="00780E96">
              <w:t>the electricity consuming facility, where applicable</w:t>
            </w:r>
          </w:p>
        </w:tc>
      </w:tr>
      <w:tr w:rsidR="00EB6812" w:rsidRPr="00780E96" w14:paraId="47A61DAB" w14:textId="77777777" w:rsidTr="00CC0FD5">
        <w:trPr>
          <w:trHeight w:val="300"/>
        </w:trPr>
        <w:tc>
          <w:tcPr>
            <w:tcW w:w="2445" w:type="dxa"/>
            <w:shd w:val="clear" w:color="auto" w:fill="D9D9D9" w:themeFill="background1" w:themeFillShade="D9"/>
          </w:tcPr>
          <w:p w14:paraId="40790C67" w14:textId="77777777" w:rsidR="00EB6812" w:rsidRPr="00780E96" w:rsidRDefault="00EB6812" w:rsidP="00F36908">
            <w:pPr>
              <w:pStyle w:val="SDMTableBoxParaNotNumbered"/>
              <w:spacing w:before="60" w:after="60"/>
            </w:pPr>
            <w:r w:rsidRPr="00780E96">
              <w:t>QA/QC procedures</w:t>
            </w:r>
          </w:p>
        </w:tc>
        <w:tc>
          <w:tcPr>
            <w:tcW w:w="6084" w:type="dxa"/>
            <w:gridSpan w:val="4"/>
          </w:tcPr>
          <w:p w14:paraId="7EDDA82D" w14:textId="0AB618B5" w:rsidR="00EB6812" w:rsidRPr="00780E96" w:rsidRDefault="00EB6812" w:rsidP="00F36908">
            <w:pPr>
              <w:pStyle w:val="SDMTableBoxParaNotNumbered"/>
              <w:spacing w:before="60" w:after="60"/>
            </w:pPr>
            <w:r w:rsidRPr="00780E96">
              <w:t>In cases where electricity meters are regulated (e.g., the electricity is supplied by the electricity system – scenario</w:t>
            </w:r>
            <w:r w:rsidR="00B00B97" w:rsidRPr="00780E96">
              <w:t> </w:t>
            </w:r>
            <w:r w:rsidRPr="00780E96">
              <w:t xml:space="preserve">A), the electricity meter </w:t>
            </w:r>
            <w:r w:rsidR="002A58BE" w:rsidRPr="00780E96">
              <w:t xml:space="preserve">shall </w:t>
            </w:r>
            <w:r w:rsidRPr="00780E96">
              <w:t xml:space="preserve">be subject to regular maintenance and testing in accordance with the stipulation of the meter supplier and/or </w:t>
            </w:r>
            <w:r w:rsidR="002A58BE" w:rsidRPr="00780E96">
              <w:t>with</w:t>
            </w:r>
            <w:r w:rsidRPr="00780E96">
              <w:t xml:space="preserve"> the requirements set by the operators of the electricity system or national requirements.</w:t>
            </w:r>
          </w:p>
          <w:p w14:paraId="1889C19C" w14:textId="233400BC" w:rsidR="00EB6812" w:rsidRPr="00780E96" w:rsidRDefault="00EB6812" w:rsidP="00F36908">
            <w:pPr>
              <w:pStyle w:val="SDMTableBoxParaNotNumbered"/>
              <w:spacing w:before="60" w:after="60"/>
            </w:pPr>
            <w:r w:rsidRPr="00780E96">
              <w:t xml:space="preserve">In cases where electricity meters are not regulated (e.g., the electricity is supplied by </w:t>
            </w:r>
            <w:r w:rsidR="78EF7AA2" w:rsidRPr="00780E96">
              <w:t xml:space="preserve">fossil-fuel fired </w:t>
            </w:r>
            <w:r w:rsidRPr="00780E96">
              <w:t xml:space="preserve">captive power plants – </w:t>
            </w:r>
            <w:r w:rsidR="002A58BE" w:rsidRPr="00780E96">
              <w:t>scenario</w:t>
            </w:r>
            <w:r w:rsidR="00B00B97" w:rsidRPr="00780E96">
              <w:t> </w:t>
            </w:r>
            <w:r w:rsidRPr="00780E96">
              <w:t xml:space="preserve">B), the electricity meter </w:t>
            </w:r>
            <w:r w:rsidR="00073614" w:rsidRPr="00780E96">
              <w:t xml:space="preserve">shall </w:t>
            </w:r>
            <w:r w:rsidRPr="00780E96">
              <w:t xml:space="preserve">be subject to regular maintenance and testing in accordance with the </w:t>
            </w:r>
            <w:r w:rsidR="00073614" w:rsidRPr="00780E96">
              <w:t xml:space="preserve">specifications </w:t>
            </w:r>
            <w:r w:rsidRPr="00780E96">
              <w:t>of the meter supplier or national requirements.</w:t>
            </w:r>
          </w:p>
          <w:p w14:paraId="77D52980" w14:textId="3E02F3FA" w:rsidR="00EB6812" w:rsidRPr="00780E96" w:rsidRDefault="00EB6812" w:rsidP="00F36908">
            <w:pPr>
              <w:pStyle w:val="SDMTableBoxParaNotNumbered"/>
              <w:spacing w:before="60" w:after="60"/>
            </w:pPr>
            <w:r w:rsidRPr="00780E96">
              <w:t>The electricity consumption shall be cross-checked with records of electricity purchased (e.g., purchase receipt</w:t>
            </w:r>
            <w:r w:rsidR="00073614" w:rsidRPr="00780E96">
              <w:t>s</w:t>
            </w:r>
            <w:r w:rsidRPr="00780E96">
              <w:t>)</w:t>
            </w:r>
          </w:p>
        </w:tc>
      </w:tr>
      <w:tr w:rsidR="00EB6812" w:rsidRPr="00780E96" w14:paraId="5FD1E915" w14:textId="77777777" w:rsidTr="00CC0FD5">
        <w:trPr>
          <w:trHeight w:val="300"/>
        </w:trPr>
        <w:tc>
          <w:tcPr>
            <w:tcW w:w="2445" w:type="dxa"/>
            <w:shd w:val="clear" w:color="auto" w:fill="D9D9D9" w:themeFill="background1" w:themeFillShade="D9"/>
          </w:tcPr>
          <w:p w14:paraId="4ACD00DD" w14:textId="77777777" w:rsidR="00EB6812" w:rsidRPr="00780E96" w:rsidRDefault="00EB6812" w:rsidP="00F36908">
            <w:pPr>
              <w:pStyle w:val="SDMTableBoxParaNotNumbered"/>
              <w:keepNext/>
              <w:spacing w:before="60" w:after="60"/>
            </w:pPr>
            <w:r w:rsidRPr="00780E96">
              <w:t>Treatment of uncertainties</w:t>
            </w:r>
          </w:p>
        </w:tc>
        <w:tc>
          <w:tcPr>
            <w:tcW w:w="6084" w:type="dxa"/>
            <w:gridSpan w:val="4"/>
          </w:tcPr>
          <w:p w14:paraId="35A6ECA9" w14:textId="12568B4D" w:rsidR="00EB6812" w:rsidRPr="00780E96" w:rsidRDefault="79C18BE7" w:rsidP="00F36908">
            <w:pPr>
              <w:pStyle w:val="SDMTableBoxParaNotNumbered"/>
              <w:keepNext/>
              <w:spacing w:before="60" w:after="60"/>
            </w:pPr>
            <w:r w:rsidRPr="00780E96">
              <w:t>Uncertainties are determined based on the measuring instruments</w:t>
            </w:r>
          </w:p>
        </w:tc>
      </w:tr>
      <w:tr w:rsidR="00EB6812" w:rsidRPr="00780E96" w14:paraId="3959095E" w14:textId="77777777" w:rsidTr="00CC0FD5">
        <w:trPr>
          <w:trHeight w:val="300"/>
        </w:trPr>
        <w:tc>
          <w:tcPr>
            <w:tcW w:w="2445" w:type="dxa"/>
            <w:shd w:val="clear" w:color="auto" w:fill="D9D9D9" w:themeFill="background1" w:themeFillShade="D9"/>
          </w:tcPr>
          <w:p w14:paraId="12E7B4BB" w14:textId="77777777" w:rsidR="00EB6812" w:rsidRPr="00780E96" w:rsidRDefault="00EB6812" w:rsidP="00F36908">
            <w:pPr>
              <w:pStyle w:val="SDMTableBoxParaNotNumbered"/>
              <w:spacing w:before="60" w:after="60"/>
            </w:pPr>
            <w:r w:rsidRPr="00780E96">
              <w:t>Additional comment</w:t>
            </w:r>
          </w:p>
        </w:tc>
        <w:tc>
          <w:tcPr>
            <w:tcW w:w="6084" w:type="dxa"/>
            <w:gridSpan w:val="4"/>
          </w:tcPr>
          <w:p w14:paraId="5E0D2533" w14:textId="77777777" w:rsidR="00EB6812" w:rsidRPr="00780E96" w:rsidRDefault="00EB6812" w:rsidP="00F36908">
            <w:pPr>
              <w:pStyle w:val="SDMTableBoxParaNotNumbered"/>
              <w:spacing w:before="60" w:after="60"/>
            </w:pPr>
            <w:r w:rsidRPr="00780E96">
              <w:t>-</w:t>
            </w:r>
          </w:p>
        </w:tc>
      </w:tr>
    </w:tbl>
    <w:p w14:paraId="27C92DF2" w14:textId="79197C9E" w:rsidR="00925217" w:rsidRPr="00780E96" w:rsidRDefault="00925217" w:rsidP="00F32C6C">
      <w:pPr>
        <w:pStyle w:val="Caption"/>
      </w:pPr>
      <w:bookmarkStart w:id="944" w:name="_Ref402448020"/>
      <w:r w:rsidRPr="00780E96">
        <w:t>Data / Parameter table</w:t>
      </w:r>
      <w:r w:rsidR="00D47AFF" w:rsidRPr="00780E96">
        <w:t> </w:t>
      </w:r>
      <w:r w:rsidRPr="00780E96">
        <w:fldChar w:fldCharType="begin"/>
      </w:r>
      <w:r w:rsidRPr="00780E96">
        <w:instrText>SEQ Data_/_Parameter_table \* ARABIC</w:instrText>
      </w:r>
      <w:r w:rsidRPr="00780E96">
        <w:fldChar w:fldCharType="separate"/>
      </w:r>
      <w:r w:rsidR="003B0135" w:rsidRPr="00780E96">
        <w:rPr>
          <w:noProof/>
        </w:rPr>
        <w:t>3</w:t>
      </w:r>
      <w:r w:rsidRPr="00780E96">
        <w:fldChar w:fldCharType="end"/>
      </w:r>
      <w:r w:rsidRPr="00780E96">
        <w:t>.</w:t>
      </w:r>
    </w:p>
    <w:tbl>
      <w:tblPr>
        <w:tblStyle w:val="TableGrid"/>
        <w:tblW w:w="8618" w:type="dxa"/>
        <w:tblInd w:w="8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5"/>
        <w:gridCol w:w="1562"/>
        <w:gridCol w:w="661"/>
        <w:gridCol w:w="1977"/>
        <w:gridCol w:w="1973"/>
      </w:tblGrid>
      <w:tr w:rsidR="00D9066E" w:rsidRPr="00780E96" w14:paraId="2102798F" w14:textId="77777777" w:rsidTr="007C28CD">
        <w:trPr>
          <w:trHeight w:val="300"/>
        </w:trPr>
        <w:tc>
          <w:tcPr>
            <w:tcW w:w="2419" w:type="dxa"/>
            <w:shd w:val="clear" w:color="auto" w:fill="D9D9D9" w:themeFill="background1" w:themeFillShade="D9"/>
          </w:tcPr>
          <w:p w14:paraId="6BF46BBC" w14:textId="77777777" w:rsidR="00D9066E" w:rsidRPr="00780E96" w:rsidRDefault="00D9066E" w:rsidP="00F36908">
            <w:pPr>
              <w:pStyle w:val="SDMTableBoxParaNotNumbered"/>
              <w:keepLines/>
              <w:spacing w:before="60" w:after="60"/>
              <w:rPr>
                <w:rFonts w:cs="Arial"/>
              </w:rPr>
            </w:pPr>
            <w:r w:rsidRPr="00780E96">
              <w:rPr>
                <w:rFonts w:cs="Arial"/>
              </w:rPr>
              <w:t>Data/parameter</w:t>
            </w:r>
          </w:p>
        </w:tc>
        <w:tc>
          <w:tcPr>
            <w:tcW w:w="6110" w:type="dxa"/>
            <w:gridSpan w:val="4"/>
          </w:tcPr>
          <w:p w14:paraId="1AD60ECC" w14:textId="77777777" w:rsidR="00D9066E" w:rsidRPr="00780E96" w:rsidRDefault="003F6646" w:rsidP="00F36908">
            <w:pPr>
              <w:pStyle w:val="SDMTableBoxParaNotNumbered"/>
              <w:keepLines/>
              <w:spacing w:before="60" w:after="60"/>
              <w:rPr>
                <w:rFonts w:cs="Arial"/>
                <w:b/>
                <w:i/>
              </w:rPr>
            </w:pPr>
            <m:oMath>
              <m:sSub>
                <m:sSubPr>
                  <m:ctrlPr>
                    <w:rPr>
                      <w:rFonts w:ascii="Cambria Math" w:hAnsi="Cambria Math" w:cs="Arial"/>
                      <w:b/>
                      <w:bCs/>
                      <w:i/>
                    </w:rPr>
                  </m:ctrlPr>
                </m:sSubPr>
                <m:e>
                  <m:r>
                    <m:rPr>
                      <m:sty m:val="bi"/>
                    </m:rPr>
                    <w:rPr>
                      <w:rFonts w:ascii="Cambria Math" w:hAnsi="Cambria Math" w:cs="Arial"/>
                    </w:rPr>
                    <m:t>FC</m:t>
                  </m:r>
                </m:e>
                <m:sub>
                  <m:r>
                    <m:rPr>
                      <m:sty m:val="bi"/>
                    </m:rPr>
                    <w:rPr>
                      <w:rFonts w:ascii="Cambria Math" w:hAnsi="Cambria Math" w:cs="Arial"/>
                    </w:rPr>
                    <m:t>i,p,t</m:t>
                  </m:r>
                </m:sub>
              </m:sSub>
            </m:oMath>
            <w:r w:rsidR="00D9066E" w:rsidRPr="00780E96">
              <w:rPr>
                <w:rFonts w:cs="Arial"/>
                <w:b/>
                <w:bCs/>
                <w:i/>
              </w:rPr>
              <w:t xml:space="preserve"> ; </w:t>
            </w:r>
            <m:oMath>
              <m:sSub>
                <m:sSubPr>
                  <m:ctrlPr>
                    <w:rPr>
                      <w:rFonts w:ascii="Cambria Math" w:hAnsi="Cambria Math" w:cs="Arial"/>
                      <w:b/>
                      <w:bCs/>
                      <w:i/>
                    </w:rPr>
                  </m:ctrlPr>
                </m:sSubPr>
                <m:e>
                  <m:r>
                    <m:rPr>
                      <m:sty m:val="bi"/>
                    </m:rPr>
                    <w:rPr>
                      <w:rFonts w:ascii="Cambria Math" w:hAnsi="Cambria Math" w:cs="Arial"/>
                    </w:rPr>
                    <m:t>FC</m:t>
                  </m:r>
                </m:e>
                <m:sub>
                  <m:r>
                    <m:rPr>
                      <m:sty m:val="bi"/>
                    </m:rPr>
                    <w:rPr>
                      <w:rFonts w:ascii="Cambria Math" w:hAnsi="Cambria Math" w:cs="Arial"/>
                    </w:rPr>
                    <m:t>i,p,h</m:t>
                  </m:r>
                </m:sub>
              </m:sSub>
            </m:oMath>
          </w:p>
        </w:tc>
      </w:tr>
      <w:tr w:rsidR="00D9066E" w:rsidRPr="00780E96" w14:paraId="2F2DD1A1" w14:textId="77777777" w:rsidTr="007C28CD">
        <w:trPr>
          <w:trHeight w:val="300"/>
        </w:trPr>
        <w:tc>
          <w:tcPr>
            <w:tcW w:w="2419" w:type="dxa"/>
            <w:shd w:val="clear" w:color="auto" w:fill="D9D9D9" w:themeFill="background1" w:themeFillShade="D9"/>
          </w:tcPr>
          <w:p w14:paraId="76FE276E" w14:textId="77777777" w:rsidR="00D9066E" w:rsidRPr="00780E96" w:rsidRDefault="00D9066E" w:rsidP="0038031D">
            <w:pPr>
              <w:pStyle w:val="SDMTableBoxParaNotNumbered"/>
              <w:spacing w:before="60" w:after="60"/>
              <w:rPr>
                <w:rFonts w:cs="Arial"/>
              </w:rPr>
            </w:pPr>
            <w:r w:rsidRPr="00780E96">
              <w:rPr>
                <w:rFonts w:cs="Arial"/>
              </w:rPr>
              <w:t>Description</w:t>
            </w:r>
          </w:p>
        </w:tc>
        <w:tc>
          <w:tcPr>
            <w:tcW w:w="6110" w:type="dxa"/>
            <w:gridSpan w:val="4"/>
          </w:tcPr>
          <w:p w14:paraId="0F3BA7EA" w14:textId="77777777" w:rsidR="00D9066E" w:rsidRPr="00780E96" w:rsidRDefault="003F6646" w:rsidP="0038031D">
            <w:pPr>
              <w:pStyle w:val="SDMTableBoxParaNotNumbered"/>
              <w:spacing w:before="60" w:after="60"/>
              <w:rPr>
                <w:rFonts w:cs="Arial"/>
                <w:b/>
                <w:bCs/>
                <w:i/>
              </w:rPr>
            </w:pPr>
            <m:oMath>
              <m:sSub>
                <m:sSubPr>
                  <m:ctrlPr>
                    <w:rPr>
                      <w:rFonts w:ascii="Cambria Math" w:hAnsi="Cambria Math" w:cs="Arial"/>
                      <w:b/>
                      <w:bCs/>
                      <w:i/>
                    </w:rPr>
                  </m:ctrlPr>
                </m:sSubPr>
                <m:e>
                  <m:r>
                    <m:rPr>
                      <m:sty m:val="bi"/>
                    </m:rPr>
                    <w:rPr>
                      <w:rFonts w:ascii="Cambria Math" w:hAnsi="Cambria Math" w:cs="Arial"/>
                    </w:rPr>
                    <m:t>FC</m:t>
                  </m:r>
                </m:e>
                <m:sub>
                  <m:r>
                    <m:rPr>
                      <m:sty m:val="bi"/>
                    </m:rPr>
                    <w:rPr>
                      <w:rFonts w:ascii="Cambria Math" w:hAnsi="Cambria Math" w:cs="Arial"/>
                    </w:rPr>
                    <m:t>i,p,t</m:t>
                  </m:r>
                </m:sub>
              </m:sSub>
            </m:oMath>
            <w:r w:rsidR="00D9066E" w:rsidRPr="00780E96">
              <w:rPr>
                <w:rFonts w:cs="Arial"/>
                <w:b/>
                <w:bCs/>
                <w:i/>
              </w:rPr>
              <w:t xml:space="preserve">: </w:t>
            </w:r>
            <w:r w:rsidR="00D9066E" w:rsidRPr="00780E96">
              <w:rPr>
                <w:rFonts w:cs="Arial"/>
              </w:rPr>
              <w:t>Amount of fuel type </w:t>
            </w:r>
            <w:r w:rsidR="00D9066E" w:rsidRPr="00780E96">
              <w:rPr>
                <w:rFonts w:cs="Arial"/>
                <w:i/>
                <w:iCs/>
              </w:rPr>
              <w:t xml:space="preserve">i </w:t>
            </w:r>
            <w:r w:rsidR="00D9066E" w:rsidRPr="00780E96">
              <w:rPr>
                <w:rFonts w:cs="Arial"/>
              </w:rPr>
              <w:t>consumed by power unit </w:t>
            </w:r>
            <w:r w:rsidR="00D9066E" w:rsidRPr="00780E96">
              <w:rPr>
                <w:rFonts w:cs="Arial"/>
                <w:i/>
                <w:iCs/>
              </w:rPr>
              <w:t xml:space="preserve">p </w:t>
            </w:r>
            <w:r w:rsidR="00D9066E" w:rsidRPr="00780E96">
              <w:rPr>
                <w:rFonts w:cs="Arial"/>
              </w:rPr>
              <w:t>in</w:t>
            </w:r>
            <w:r w:rsidR="00D9066E" w:rsidRPr="00780E96">
              <w:rPr>
                <w:rFonts w:cs="Arial"/>
                <w:i/>
                <w:iCs/>
              </w:rPr>
              <w:t xml:space="preserve"> </w:t>
            </w:r>
            <w:r w:rsidR="00D9066E" w:rsidRPr="00780E96">
              <w:rPr>
                <w:rFonts w:cs="Arial"/>
              </w:rPr>
              <w:t>period</w:t>
            </w:r>
            <w:r w:rsidR="00D9066E" w:rsidRPr="00780E96">
              <w:rPr>
                <w:rFonts w:cs="Arial"/>
                <w:i/>
                <w:iCs/>
              </w:rPr>
              <w:t> t</w:t>
            </w:r>
          </w:p>
          <w:p w14:paraId="7EA586B5" w14:textId="6021164E" w:rsidR="00D9066E" w:rsidRPr="00780E96" w:rsidRDefault="003F6646" w:rsidP="0038031D">
            <w:pPr>
              <w:pStyle w:val="SDMTableBoxParaNotNumbered"/>
              <w:spacing w:before="60" w:after="60"/>
              <w:rPr>
                <w:rFonts w:cs="Arial"/>
              </w:rPr>
            </w:pPr>
            <m:oMath>
              <m:sSub>
                <m:sSubPr>
                  <m:ctrlPr>
                    <w:rPr>
                      <w:rFonts w:ascii="Cambria Math" w:hAnsi="Cambria Math" w:cs="Arial"/>
                      <w:b/>
                      <w:bCs/>
                      <w:i/>
                    </w:rPr>
                  </m:ctrlPr>
                </m:sSubPr>
                <m:e>
                  <m:r>
                    <m:rPr>
                      <m:sty m:val="bi"/>
                    </m:rPr>
                    <w:rPr>
                      <w:rFonts w:ascii="Cambria Math" w:hAnsi="Cambria Math" w:cs="Arial"/>
                    </w:rPr>
                    <m:t>FC</m:t>
                  </m:r>
                </m:e>
                <m:sub>
                  <m:r>
                    <m:rPr>
                      <m:sty m:val="bi"/>
                    </m:rPr>
                    <w:rPr>
                      <w:rFonts w:ascii="Cambria Math" w:hAnsi="Cambria Math" w:cs="Arial"/>
                    </w:rPr>
                    <m:t>i,p,h</m:t>
                  </m:r>
                </m:sub>
              </m:sSub>
            </m:oMath>
            <w:r w:rsidR="00D9066E" w:rsidRPr="00780E96">
              <w:rPr>
                <w:rFonts w:cs="Arial"/>
                <w:b/>
                <w:bCs/>
              </w:rPr>
              <w:t xml:space="preserve">: </w:t>
            </w:r>
            <w:r w:rsidR="00D9066E" w:rsidRPr="00780E96">
              <w:rPr>
                <w:rFonts w:cs="Arial"/>
              </w:rPr>
              <w:t>Amount of fuel type </w:t>
            </w:r>
            <w:r w:rsidR="00D9066E" w:rsidRPr="00780E96">
              <w:rPr>
                <w:rFonts w:cs="Arial"/>
                <w:i/>
                <w:iCs/>
              </w:rPr>
              <w:t xml:space="preserve">i </w:t>
            </w:r>
            <w:r w:rsidR="00D9066E" w:rsidRPr="00780E96">
              <w:rPr>
                <w:rFonts w:cs="Arial"/>
              </w:rPr>
              <w:t>consumed by power unit </w:t>
            </w:r>
            <w:r w:rsidR="00D9066E" w:rsidRPr="00780E96">
              <w:rPr>
                <w:rFonts w:cs="Arial"/>
                <w:i/>
                <w:iCs/>
              </w:rPr>
              <w:t xml:space="preserve">p </w:t>
            </w:r>
            <w:r w:rsidR="00D9066E" w:rsidRPr="00780E96">
              <w:rPr>
                <w:rFonts w:cs="Arial"/>
              </w:rPr>
              <w:t>in</w:t>
            </w:r>
            <w:r w:rsidR="00D9066E" w:rsidRPr="00780E96">
              <w:rPr>
                <w:rFonts w:cs="Arial"/>
                <w:i/>
                <w:iCs/>
              </w:rPr>
              <w:t xml:space="preserve"> </w:t>
            </w:r>
            <w:r w:rsidR="00D9066E" w:rsidRPr="00780E96">
              <w:rPr>
                <w:rFonts w:cs="Arial"/>
              </w:rPr>
              <w:t>hour</w:t>
            </w:r>
            <w:r w:rsidR="005A1BB7" w:rsidRPr="00780E96">
              <w:rPr>
                <w:rFonts w:cs="Arial"/>
              </w:rPr>
              <w:t> </w:t>
            </w:r>
            <w:r w:rsidR="00D9066E" w:rsidRPr="00780E96">
              <w:rPr>
                <w:rFonts w:cs="Arial"/>
                <w:i/>
                <w:iCs/>
              </w:rPr>
              <w:t>h</w:t>
            </w:r>
          </w:p>
        </w:tc>
      </w:tr>
      <w:tr w:rsidR="00D9066E" w:rsidRPr="00780E96" w14:paraId="08803FCD" w14:textId="77777777" w:rsidTr="007C28CD">
        <w:trPr>
          <w:trHeight w:val="300"/>
        </w:trPr>
        <w:tc>
          <w:tcPr>
            <w:tcW w:w="2419" w:type="dxa"/>
            <w:shd w:val="clear" w:color="auto" w:fill="D9D9D9" w:themeFill="background1" w:themeFillShade="D9"/>
          </w:tcPr>
          <w:p w14:paraId="0BCFDB58" w14:textId="77777777" w:rsidR="00D9066E" w:rsidRPr="00780E96" w:rsidRDefault="00D9066E" w:rsidP="0038031D">
            <w:pPr>
              <w:pStyle w:val="SDMTableBoxParaNotNumbered"/>
              <w:spacing w:before="60" w:after="60"/>
              <w:rPr>
                <w:rFonts w:cs="Arial"/>
              </w:rPr>
            </w:pPr>
            <w:r w:rsidRPr="00780E96">
              <w:rPr>
                <w:rFonts w:cs="Arial"/>
              </w:rPr>
              <w:t>Data unit</w:t>
            </w:r>
          </w:p>
        </w:tc>
        <w:tc>
          <w:tcPr>
            <w:tcW w:w="6110" w:type="dxa"/>
            <w:gridSpan w:val="4"/>
          </w:tcPr>
          <w:p w14:paraId="401E67E1" w14:textId="6B1EDC15" w:rsidR="00D9066E" w:rsidRPr="00780E96" w:rsidRDefault="003F6646" w:rsidP="0038031D">
            <w:pPr>
              <w:pStyle w:val="SDMTableBoxParaNotNumbered"/>
              <w:spacing w:before="60" w:after="60"/>
              <w:rPr>
                <w:rFonts w:cs="Arial"/>
                <w:b/>
                <w:bCs/>
                <w:i/>
              </w:rPr>
            </w:pPr>
            <m:oMath>
              <m:sSub>
                <m:sSubPr>
                  <m:ctrlPr>
                    <w:rPr>
                      <w:rFonts w:ascii="Cambria Math" w:hAnsi="Cambria Math" w:cs="Arial"/>
                      <w:b/>
                      <w:bCs/>
                      <w:i/>
                    </w:rPr>
                  </m:ctrlPr>
                </m:sSubPr>
                <m:e>
                  <m:r>
                    <m:rPr>
                      <m:sty m:val="bi"/>
                    </m:rPr>
                    <w:rPr>
                      <w:rFonts w:ascii="Cambria Math" w:hAnsi="Cambria Math" w:cs="Arial"/>
                    </w:rPr>
                    <m:t>FC</m:t>
                  </m:r>
                </m:e>
                <m:sub>
                  <m:r>
                    <m:rPr>
                      <m:sty m:val="bi"/>
                    </m:rPr>
                    <w:rPr>
                      <w:rFonts w:ascii="Cambria Math" w:hAnsi="Cambria Math" w:cs="Arial"/>
                    </w:rPr>
                    <m:t>i,p,t</m:t>
                  </m:r>
                </m:sub>
              </m:sSub>
            </m:oMath>
            <w:r w:rsidR="00D9066E" w:rsidRPr="00780E96">
              <w:rPr>
                <w:rFonts w:cs="Arial"/>
                <w:b/>
                <w:bCs/>
                <w:i/>
                <w:iCs/>
              </w:rPr>
              <w:t xml:space="preserve">: </w:t>
            </w:r>
            <w:r w:rsidR="00D9066E" w:rsidRPr="00780E96">
              <w:rPr>
                <w:rFonts w:cs="Arial"/>
              </w:rPr>
              <w:t>Mass or volume unit at reference conditions</w:t>
            </w:r>
            <w:bookmarkStart w:id="945" w:name="_Ref215771451"/>
            <w:r w:rsidR="00D9066E" w:rsidRPr="00780E96">
              <w:rPr>
                <w:rStyle w:val="FootnoteReference"/>
                <w:rFonts w:cs="Arial"/>
              </w:rPr>
              <w:footnoteReference w:id="35"/>
            </w:r>
            <w:bookmarkEnd w:id="945"/>
            <w:r w:rsidR="00D9066E" w:rsidRPr="00780E96">
              <w:rPr>
                <w:rFonts w:cs="Arial"/>
              </w:rPr>
              <w:t xml:space="preserve"> in period</w:t>
            </w:r>
            <w:r w:rsidR="005A1BB7" w:rsidRPr="00780E96">
              <w:rPr>
                <w:rFonts w:cs="Arial"/>
              </w:rPr>
              <w:t> </w:t>
            </w:r>
            <w:r w:rsidR="00D9066E" w:rsidRPr="00780E96">
              <w:rPr>
                <w:rFonts w:cs="Arial"/>
                <w:i/>
                <w:iCs/>
              </w:rPr>
              <w:t>t</w:t>
            </w:r>
          </w:p>
          <w:p w14:paraId="69840352" w14:textId="53E98CB9" w:rsidR="00D9066E" w:rsidRPr="00780E96" w:rsidRDefault="003F6646" w:rsidP="003B0135">
            <w:pPr>
              <w:pStyle w:val="SDMTableBoxParaNotNumbered"/>
              <w:spacing w:before="60" w:after="60"/>
              <w:rPr>
                <w:rFonts w:cs="Arial"/>
              </w:rPr>
            </w:pPr>
            <m:oMath>
              <m:sSub>
                <m:sSubPr>
                  <m:ctrlPr>
                    <w:rPr>
                      <w:rFonts w:ascii="Cambria Math" w:hAnsi="Cambria Math" w:cs="Arial"/>
                      <w:b/>
                      <w:bCs/>
                      <w:i/>
                    </w:rPr>
                  </m:ctrlPr>
                </m:sSubPr>
                <m:e>
                  <m:r>
                    <m:rPr>
                      <m:sty m:val="bi"/>
                    </m:rPr>
                    <w:rPr>
                      <w:rFonts w:ascii="Cambria Math" w:hAnsi="Cambria Math" w:cs="Arial"/>
                    </w:rPr>
                    <m:t>FC</m:t>
                  </m:r>
                </m:e>
                <m:sub>
                  <m:r>
                    <m:rPr>
                      <m:sty m:val="bi"/>
                    </m:rPr>
                    <w:rPr>
                      <w:rFonts w:ascii="Cambria Math" w:hAnsi="Cambria Math" w:cs="Arial"/>
                    </w:rPr>
                    <m:t>i,p,h</m:t>
                  </m:r>
                </m:sub>
              </m:sSub>
            </m:oMath>
            <w:r w:rsidR="00D9066E" w:rsidRPr="00780E96">
              <w:rPr>
                <w:rFonts w:cs="Arial"/>
                <w:b/>
                <w:bCs/>
              </w:rPr>
              <w:t xml:space="preserve">: </w:t>
            </w:r>
            <w:r w:rsidR="00D9066E" w:rsidRPr="00780E96">
              <w:rPr>
                <w:rFonts w:cs="Arial"/>
              </w:rPr>
              <w:t>Mass or volume unit at reference conditions</w:t>
            </w:r>
            <w:r w:rsidR="00D9066E" w:rsidRPr="00780E96">
              <w:rPr>
                <w:rFonts w:cs="Arial"/>
              </w:rPr>
              <w:fldChar w:fldCharType="begin"/>
            </w:r>
            <w:r w:rsidR="00D9066E" w:rsidRPr="00780E96">
              <w:rPr>
                <w:rFonts w:cs="Arial"/>
              </w:rPr>
              <w:instrText xml:space="preserve"> NOTEREF _Ref215771451 \f \h </w:instrText>
            </w:r>
            <w:r w:rsidR="00475E82" w:rsidRPr="00780E96">
              <w:rPr>
                <w:rFonts w:cs="Arial"/>
              </w:rPr>
              <w:instrText xml:space="preserve"> \* MERGEFORMAT </w:instrText>
            </w:r>
            <w:r w:rsidR="00D9066E" w:rsidRPr="00780E96">
              <w:rPr>
                <w:rFonts w:cs="Arial"/>
              </w:rPr>
            </w:r>
            <w:r w:rsidR="00D9066E" w:rsidRPr="00780E96">
              <w:rPr>
                <w:rFonts w:cs="Arial"/>
              </w:rPr>
              <w:fldChar w:fldCharType="separate"/>
            </w:r>
            <w:r w:rsidR="003B0135" w:rsidRPr="00780E96">
              <w:rPr>
                <w:rStyle w:val="FootnoteReference"/>
              </w:rPr>
              <w:t>34</w:t>
            </w:r>
            <w:r w:rsidR="00D9066E" w:rsidRPr="00780E96">
              <w:rPr>
                <w:rFonts w:cs="Arial"/>
              </w:rPr>
              <w:fldChar w:fldCharType="end"/>
            </w:r>
            <w:r w:rsidR="00D9066E" w:rsidRPr="00780E96">
              <w:rPr>
                <w:rFonts w:cs="Arial"/>
              </w:rPr>
              <w:t xml:space="preserve"> in hour</w:t>
            </w:r>
            <w:r w:rsidR="005A1BB7" w:rsidRPr="00780E96">
              <w:rPr>
                <w:rFonts w:cs="Arial"/>
              </w:rPr>
              <w:t> </w:t>
            </w:r>
            <w:r w:rsidR="00D9066E" w:rsidRPr="00780E96">
              <w:rPr>
                <w:rFonts w:cs="Arial"/>
                <w:i/>
                <w:iCs/>
              </w:rPr>
              <w:t>h</w:t>
            </w:r>
          </w:p>
        </w:tc>
      </w:tr>
      <w:tr w:rsidR="00D9066E" w:rsidRPr="00780E96" w14:paraId="70C0C6BC" w14:textId="77777777" w:rsidTr="007C28CD">
        <w:trPr>
          <w:trHeight w:val="300"/>
        </w:trPr>
        <w:tc>
          <w:tcPr>
            <w:tcW w:w="2419" w:type="dxa"/>
            <w:shd w:val="clear" w:color="auto" w:fill="D9D9D9" w:themeFill="background1" w:themeFillShade="D9"/>
          </w:tcPr>
          <w:p w14:paraId="3B1C5B3D" w14:textId="77777777" w:rsidR="00D9066E" w:rsidRPr="00780E96" w:rsidRDefault="00D9066E" w:rsidP="0038031D">
            <w:pPr>
              <w:pStyle w:val="SDMTableBoxParaNotNumbered"/>
              <w:spacing w:before="60" w:after="60"/>
              <w:rPr>
                <w:rFonts w:cs="Arial"/>
              </w:rPr>
            </w:pPr>
            <w:r w:rsidRPr="00780E96">
              <w:rPr>
                <w:rFonts w:cs="Arial"/>
              </w:rPr>
              <w:t>Equations referred</w:t>
            </w:r>
          </w:p>
        </w:tc>
        <w:tc>
          <w:tcPr>
            <w:tcW w:w="6110" w:type="dxa"/>
            <w:gridSpan w:val="4"/>
            <w:tcBorders>
              <w:bottom w:val="single" w:sz="4" w:space="0" w:color="auto"/>
            </w:tcBorders>
          </w:tcPr>
          <w:p w14:paraId="49E4FCBD" w14:textId="77777777" w:rsidR="00D9066E" w:rsidRPr="00780E96" w:rsidRDefault="00D9066E" w:rsidP="0038031D">
            <w:pPr>
              <w:pStyle w:val="SDMTableBoxParaNotNumbered"/>
              <w:spacing w:before="60" w:after="60"/>
              <w:rPr>
                <w:rFonts w:cs="Arial"/>
              </w:rPr>
            </w:pPr>
          </w:p>
        </w:tc>
      </w:tr>
      <w:tr w:rsidR="00241146" w:rsidRPr="00780E96" w14:paraId="02BE520C" w14:textId="77777777" w:rsidTr="007C28CD">
        <w:trPr>
          <w:trHeight w:val="300"/>
        </w:trPr>
        <w:tc>
          <w:tcPr>
            <w:tcW w:w="2419" w:type="dxa"/>
            <w:tcBorders>
              <w:right w:val="single" w:sz="4" w:space="0" w:color="auto"/>
            </w:tcBorders>
            <w:shd w:val="clear" w:color="auto" w:fill="D9D9D9" w:themeFill="background1" w:themeFillShade="D9"/>
          </w:tcPr>
          <w:p w14:paraId="4A8E316B" w14:textId="77777777" w:rsidR="00241146" w:rsidRPr="00780E96" w:rsidRDefault="00241146" w:rsidP="0038031D">
            <w:pPr>
              <w:pStyle w:val="SDMTableBoxParaNotNumbered"/>
              <w:spacing w:before="60" w:after="60"/>
              <w:rPr>
                <w:rFonts w:cs="Arial"/>
              </w:rPr>
            </w:pPr>
            <w:r w:rsidRPr="00780E96">
              <w:rPr>
                <w:rFonts w:cs="Arial"/>
              </w:rPr>
              <w:t>Purpose of data</w:t>
            </w:r>
          </w:p>
        </w:tc>
        <w:tc>
          <w:tcPr>
            <w:tcW w:w="2200" w:type="dxa"/>
            <w:gridSpan w:val="2"/>
            <w:tcBorders>
              <w:left w:val="single" w:sz="4" w:space="0" w:color="auto"/>
              <w:right w:val="nil"/>
            </w:tcBorders>
          </w:tcPr>
          <w:p w14:paraId="4C0AACB6" w14:textId="66079434" w:rsidR="00241146" w:rsidRPr="00780E96" w:rsidRDefault="00241146" w:rsidP="0038031D">
            <w:pPr>
              <w:pStyle w:val="SDMTableBoxParaNotNumbered"/>
              <w:spacing w:before="60" w:after="60"/>
              <w:rPr>
                <w:rFonts w:eastAsia="MS Mincho" w:cs="Arial"/>
                <w:lang w:eastAsia="ja-JP"/>
              </w:rPr>
            </w:pPr>
            <w:r w:rsidRPr="00780E96">
              <w:rPr>
                <w:rFonts w:cs="Arial"/>
                <w:shd w:val="clear" w:color="auto" w:fill="E6E6E6"/>
              </w:rPr>
              <w:fldChar w:fldCharType="begin">
                <w:ffData>
                  <w:name w:val=""/>
                  <w:enabled/>
                  <w:calcOnExit w:val="0"/>
                  <w:checkBox>
                    <w:size w:val="20"/>
                    <w:default w:val="1"/>
                  </w:checkBox>
                </w:ffData>
              </w:fldChar>
            </w:r>
            <w:r w:rsidRPr="00780E96">
              <w:rPr>
                <w:rFonts w:cs="Arial"/>
                <w:shd w:val="clear" w:color="auto" w:fill="E6E6E6"/>
              </w:rPr>
              <w:instrText xml:space="preserve"> FORMCHECKBOX </w:instrText>
            </w:r>
            <w:r w:rsidRPr="00780E96">
              <w:rPr>
                <w:rFonts w:cs="Arial"/>
                <w:shd w:val="clear" w:color="auto" w:fill="E6E6E6"/>
              </w:rPr>
            </w:r>
            <w:r w:rsidRPr="00780E96">
              <w:rPr>
                <w:rFonts w:cs="Arial"/>
                <w:shd w:val="clear" w:color="auto" w:fill="E6E6E6"/>
              </w:rPr>
              <w:fldChar w:fldCharType="separate"/>
            </w:r>
            <w:r w:rsidRPr="00780E96">
              <w:rPr>
                <w:rFonts w:cs="Arial"/>
                <w:shd w:val="clear" w:color="auto" w:fill="E6E6E6"/>
              </w:rPr>
              <w:fldChar w:fldCharType="end"/>
            </w:r>
            <w:r w:rsidRPr="00780E96">
              <w:rPr>
                <w:rFonts w:cs="Arial"/>
                <w:shd w:val="clear" w:color="auto" w:fill="E6E6E6"/>
              </w:rPr>
              <w:t xml:space="preserve"> </w:t>
            </w:r>
            <w:r w:rsidRPr="00780E96">
              <w:rPr>
                <w:rFonts w:cs="Arial"/>
              </w:rPr>
              <w:t xml:space="preserve">Baseline </w:t>
            </w:r>
            <w:r w:rsidR="00461FEF" w:rsidRPr="00780E96">
              <w:rPr>
                <w:rFonts w:asciiTheme="minorBidi" w:eastAsia="MS Mincho" w:hAnsiTheme="minorBidi" w:cstheme="minorBidi" w:hint="eastAsia"/>
                <w:lang w:eastAsia="ja-JP"/>
              </w:rPr>
              <w:t>Scenario</w:t>
            </w:r>
          </w:p>
        </w:tc>
        <w:tc>
          <w:tcPr>
            <w:tcW w:w="1957" w:type="dxa"/>
            <w:tcBorders>
              <w:left w:val="nil"/>
              <w:right w:val="nil"/>
            </w:tcBorders>
          </w:tcPr>
          <w:p w14:paraId="5090AFF6" w14:textId="07964CA1" w:rsidR="00241146" w:rsidRPr="00780E96" w:rsidRDefault="00241146" w:rsidP="0038031D">
            <w:pPr>
              <w:pStyle w:val="SDMTableBoxParaNotNumbered"/>
              <w:spacing w:before="60" w:after="60"/>
              <w:rPr>
                <w:rFonts w:eastAsia="MS Mincho" w:cs="Arial"/>
                <w:lang w:eastAsia="ja-JP"/>
              </w:rPr>
            </w:pPr>
            <w:r w:rsidRPr="00780E96">
              <w:rPr>
                <w:rFonts w:cs="Arial"/>
                <w:shd w:val="clear" w:color="auto" w:fill="E6E6E6"/>
              </w:rPr>
              <w:fldChar w:fldCharType="begin">
                <w:ffData>
                  <w:name w:val=""/>
                  <w:enabled/>
                  <w:calcOnExit w:val="0"/>
                  <w:checkBox>
                    <w:size w:val="20"/>
                    <w:default w:val="1"/>
                  </w:checkBox>
                </w:ffData>
              </w:fldChar>
            </w:r>
            <w:r w:rsidRPr="00780E96">
              <w:rPr>
                <w:rFonts w:cs="Arial"/>
                <w:shd w:val="clear" w:color="auto" w:fill="E6E6E6"/>
              </w:rPr>
              <w:instrText xml:space="preserve"> FORMCHECKBOX </w:instrText>
            </w:r>
            <w:r w:rsidRPr="00780E96">
              <w:rPr>
                <w:rFonts w:cs="Arial"/>
                <w:shd w:val="clear" w:color="auto" w:fill="E6E6E6"/>
              </w:rPr>
            </w:r>
            <w:r w:rsidRPr="00780E96">
              <w:rPr>
                <w:rFonts w:cs="Arial"/>
                <w:shd w:val="clear" w:color="auto" w:fill="E6E6E6"/>
              </w:rPr>
              <w:fldChar w:fldCharType="separate"/>
            </w:r>
            <w:r w:rsidRPr="00780E96">
              <w:rPr>
                <w:rFonts w:cs="Arial"/>
                <w:shd w:val="clear" w:color="auto" w:fill="E6E6E6"/>
              </w:rPr>
              <w:fldChar w:fldCharType="end"/>
            </w:r>
            <w:r w:rsidRPr="00780E96">
              <w:rPr>
                <w:rFonts w:cs="Arial"/>
              </w:rPr>
              <w:fldChar w:fldCharType="begin"/>
            </w:r>
            <w:r w:rsidRPr="00780E96">
              <w:rPr>
                <w:rFonts w:cs="Arial"/>
              </w:rPr>
              <w:instrText xml:space="preserve"> FORMCHECKBOX </w:instrText>
            </w:r>
            <w:r w:rsidRPr="00780E96">
              <w:rPr>
                <w:rFonts w:cs="Arial"/>
              </w:rPr>
              <w:fldChar w:fldCharType="separate"/>
            </w:r>
            <w:r w:rsidRPr="00780E96">
              <w:rPr>
                <w:rFonts w:cs="Arial"/>
              </w:rPr>
              <w:fldChar w:fldCharType="end"/>
            </w:r>
            <w:r w:rsidR="0025117C" w:rsidRPr="00780E96">
              <w:rPr>
                <w:rFonts w:cs="Arial"/>
              </w:rPr>
              <w:t xml:space="preserve"> </w:t>
            </w:r>
            <w:r w:rsidR="00EB747D" w:rsidRPr="00780E96">
              <w:rPr>
                <w:rFonts w:eastAsia="MS Mincho" w:cs="Arial"/>
                <w:lang w:eastAsia="ja-JP"/>
              </w:rPr>
              <w:t>Activity</w:t>
            </w:r>
            <w:r w:rsidR="00EB747D" w:rsidRPr="00780E96">
              <w:rPr>
                <w:rFonts w:eastAsia="MS Mincho" w:cs="Arial" w:hint="eastAsia"/>
                <w:lang w:eastAsia="ja-JP"/>
              </w:rPr>
              <w:t xml:space="preserve"> </w:t>
            </w:r>
            <w:r w:rsidR="00461FEF" w:rsidRPr="00780E96">
              <w:rPr>
                <w:rFonts w:asciiTheme="minorBidi" w:eastAsia="MS Mincho" w:hAnsiTheme="minorBidi" w:cstheme="minorBidi" w:hint="eastAsia"/>
                <w:lang w:eastAsia="ja-JP"/>
              </w:rPr>
              <w:t>Scenario</w:t>
            </w:r>
          </w:p>
        </w:tc>
        <w:tc>
          <w:tcPr>
            <w:tcW w:w="1953" w:type="dxa"/>
            <w:tcBorders>
              <w:left w:val="nil"/>
            </w:tcBorders>
          </w:tcPr>
          <w:p w14:paraId="59BB5525" w14:textId="2426095D" w:rsidR="00241146" w:rsidRPr="00780E96" w:rsidRDefault="00241146" w:rsidP="0038031D">
            <w:pPr>
              <w:pStyle w:val="SDMTableBoxParaNotNumbered"/>
              <w:spacing w:before="60" w:after="60"/>
              <w:rPr>
                <w:rFonts w:eastAsia="MS Mincho" w:cs="Arial"/>
                <w:lang w:eastAsia="ja-JP"/>
              </w:rPr>
            </w:pPr>
            <w:r w:rsidRPr="00780E96">
              <w:rPr>
                <w:rFonts w:cs="Arial"/>
                <w:shd w:val="clear" w:color="auto" w:fill="E6E6E6"/>
              </w:rPr>
              <w:fldChar w:fldCharType="begin">
                <w:ffData>
                  <w:name w:val=""/>
                  <w:enabled/>
                  <w:calcOnExit w:val="0"/>
                  <w:checkBox>
                    <w:size w:val="20"/>
                    <w:default w:val="1"/>
                  </w:checkBox>
                </w:ffData>
              </w:fldChar>
            </w:r>
            <w:r w:rsidRPr="00780E96">
              <w:rPr>
                <w:rFonts w:cs="Arial"/>
                <w:shd w:val="clear" w:color="auto" w:fill="E6E6E6"/>
              </w:rPr>
              <w:instrText xml:space="preserve"> FORMCHECKBOX </w:instrText>
            </w:r>
            <w:r w:rsidRPr="00780E96">
              <w:rPr>
                <w:rFonts w:cs="Arial"/>
                <w:shd w:val="clear" w:color="auto" w:fill="E6E6E6"/>
              </w:rPr>
            </w:r>
            <w:r w:rsidRPr="00780E96">
              <w:rPr>
                <w:rFonts w:cs="Arial"/>
                <w:shd w:val="clear" w:color="auto" w:fill="E6E6E6"/>
              </w:rPr>
              <w:fldChar w:fldCharType="separate"/>
            </w:r>
            <w:r w:rsidRPr="00780E96">
              <w:rPr>
                <w:rFonts w:cs="Arial"/>
                <w:shd w:val="clear" w:color="auto" w:fill="E6E6E6"/>
              </w:rPr>
              <w:fldChar w:fldCharType="end"/>
            </w:r>
            <w:r w:rsidRPr="00780E96">
              <w:rPr>
                <w:rFonts w:cs="Arial"/>
              </w:rPr>
              <w:fldChar w:fldCharType="begin"/>
            </w:r>
            <w:r w:rsidRPr="00780E96">
              <w:rPr>
                <w:rFonts w:cs="Arial"/>
              </w:rPr>
              <w:instrText xml:space="preserve"> FORMCHECKBOX </w:instrText>
            </w:r>
            <w:r w:rsidRPr="00780E96">
              <w:rPr>
                <w:rFonts w:cs="Arial"/>
              </w:rPr>
              <w:fldChar w:fldCharType="separate"/>
            </w:r>
            <w:r w:rsidRPr="00780E96">
              <w:rPr>
                <w:rFonts w:cs="Arial"/>
              </w:rPr>
              <w:fldChar w:fldCharType="end"/>
            </w:r>
            <w:r w:rsidRPr="00780E96">
              <w:rPr>
                <w:rFonts w:cs="Arial"/>
              </w:rPr>
              <w:t xml:space="preserve"> Leakage </w:t>
            </w:r>
          </w:p>
        </w:tc>
      </w:tr>
      <w:tr w:rsidR="00D9066E" w:rsidRPr="00780E96" w14:paraId="146BED40" w14:textId="77777777" w:rsidTr="007C28CD">
        <w:trPr>
          <w:trHeight w:val="300"/>
        </w:trPr>
        <w:tc>
          <w:tcPr>
            <w:tcW w:w="2419" w:type="dxa"/>
            <w:shd w:val="clear" w:color="auto" w:fill="D9D9D9" w:themeFill="background1" w:themeFillShade="D9"/>
          </w:tcPr>
          <w:p w14:paraId="7873AA17" w14:textId="77777777" w:rsidR="00D9066E" w:rsidRPr="00780E96" w:rsidRDefault="00D9066E" w:rsidP="0038031D">
            <w:pPr>
              <w:pStyle w:val="SDMTableBoxParaNotNumbered"/>
              <w:spacing w:before="60" w:after="60"/>
              <w:rPr>
                <w:rFonts w:cs="Arial"/>
              </w:rPr>
            </w:pPr>
            <w:r w:rsidRPr="00780E96">
              <w:rPr>
                <w:rFonts w:cs="Arial"/>
              </w:rPr>
              <w:t>Measurement and updating frequency</w:t>
            </w:r>
          </w:p>
        </w:tc>
        <w:tc>
          <w:tcPr>
            <w:tcW w:w="6110" w:type="dxa"/>
            <w:gridSpan w:val="4"/>
          </w:tcPr>
          <w:p w14:paraId="6E2F160A" w14:textId="77777777" w:rsidR="00F74E46" w:rsidRPr="00780E96" w:rsidRDefault="003F6646" w:rsidP="0038031D">
            <w:pPr>
              <w:pStyle w:val="SDMTableBoxParaNotNumbered"/>
              <w:spacing w:before="60" w:after="60"/>
              <w:rPr>
                <w:rFonts w:cs="Arial"/>
                <w:i/>
                <w:iCs/>
                <w:lang w:eastAsia="en-US"/>
              </w:rPr>
            </w:pPr>
            <m:oMath>
              <m:sSub>
                <m:sSubPr>
                  <m:ctrlPr>
                    <w:rPr>
                      <w:rFonts w:ascii="Cambria Math" w:hAnsi="Cambria Math" w:cs="Arial"/>
                      <w:b/>
                      <w:bCs/>
                      <w:i/>
                    </w:rPr>
                  </m:ctrlPr>
                </m:sSubPr>
                <m:e>
                  <m:r>
                    <m:rPr>
                      <m:sty m:val="bi"/>
                    </m:rPr>
                    <w:rPr>
                      <w:rFonts w:ascii="Cambria Math" w:hAnsi="Cambria Math" w:cs="Arial"/>
                    </w:rPr>
                    <m:t>FC</m:t>
                  </m:r>
                </m:e>
                <m:sub>
                  <m:r>
                    <m:rPr>
                      <m:sty m:val="bi"/>
                    </m:rPr>
                    <w:rPr>
                      <w:rFonts w:ascii="Cambria Math" w:hAnsi="Cambria Math" w:cs="Arial"/>
                    </w:rPr>
                    <m:t>i,p,t</m:t>
                  </m:r>
                </m:sub>
              </m:sSub>
            </m:oMath>
            <w:r w:rsidR="00D9066E" w:rsidRPr="00780E96">
              <w:rPr>
                <w:rFonts w:cs="Arial"/>
                <w:b/>
                <w:bCs/>
                <w:i/>
                <w:iCs/>
              </w:rPr>
              <w:t>:</w:t>
            </w:r>
            <w:r w:rsidR="00D9066E" w:rsidRPr="00780E96">
              <w:rPr>
                <w:rFonts w:cs="Arial"/>
              </w:rPr>
              <w:t xml:space="preserve"> Continuous measurement and at least monthly recording</w:t>
            </w:r>
          </w:p>
          <w:p w14:paraId="2C5D5AAA" w14:textId="0DD63800" w:rsidR="00D9066E" w:rsidRPr="00780E96" w:rsidRDefault="003F6646" w:rsidP="0038031D">
            <w:pPr>
              <w:pStyle w:val="SDMTableBoxParaNotNumbered"/>
              <w:spacing w:before="60" w:after="60"/>
              <w:rPr>
                <w:rFonts w:cs="Arial"/>
              </w:rPr>
            </w:pPr>
            <m:oMath>
              <m:sSub>
                <m:sSubPr>
                  <m:ctrlPr>
                    <w:rPr>
                      <w:rFonts w:ascii="Cambria Math" w:hAnsi="Cambria Math" w:cs="Arial"/>
                      <w:b/>
                      <w:bCs/>
                      <w:i/>
                    </w:rPr>
                  </m:ctrlPr>
                </m:sSubPr>
                <m:e>
                  <m:r>
                    <m:rPr>
                      <m:sty m:val="bi"/>
                    </m:rPr>
                    <w:rPr>
                      <w:rFonts w:ascii="Cambria Math" w:hAnsi="Cambria Math" w:cs="Arial"/>
                    </w:rPr>
                    <m:t>FC</m:t>
                  </m:r>
                </m:e>
                <m:sub>
                  <m:r>
                    <m:rPr>
                      <m:sty m:val="bi"/>
                    </m:rPr>
                    <w:rPr>
                      <w:rFonts w:ascii="Cambria Math" w:hAnsi="Cambria Math" w:cs="Arial"/>
                    </w:rPr>
                    <m:t>i,p,h</m:t>
                  </m:r>
                </m:sub>
              </m:sSub>
            </m:oMath>
            <w:r w:rsidR="00D9066E" w:rsidRPr="00780E96">
              <w:rPr>
                <w:rFonts w:cs="Arial"/>
                <w:b/>
                <w:bCs/>
                <w:i/>
              </w:rPr>
              <w:t>:</w:t>
            </w:r>
            <w:r w:rsidR="00D9066E" w:rsidRPr="00780E96">
              <w:rPr>
                <w:rFonts w:cs="Arial"/>
                <w:i/>
              </w:rPr>
              <w:t xml:space="preserve"> </w:t>
            </w:r>
            <w:r w:rsidR="00D9066E" w:rsidRPr="00780E96">
              <w:rPr>
                <w:rFonts w:cs="Arial"/>
              </w:rPr>
              <w:t>Continuous measurement and at least hourly recording</w:t>
            </w:r>
          </w:p>
        </w:tc>
      </w:tr>
      <w:tr w:rsidR="00D9066E" w:rsidRPr="00780E96" w14:paraId="56A48F0E" w14:textId="77777777" w:rsidTr="007C28CD">
        <w:trPr>
          <w:trHeight w:val="300"/>
        </w:trPr>
        <w:tc>
          <w:tcPr>
            <w:tcW w:w="2419" w:type="dxa"/>
            <w:shd w:val="clear" w:color="auto" w:fill="D9D9D9" w:themeFill="background1" w:themeFillShade="D9"/>
          </w:tcPr>
          <w:p w14:paraId="0B795A4A" w14:textId="77777777" w:rsidR="00D9066E" w:rsidRPr="00780E96" w:rsidRDefault="00D9066E" w:rsidP="0038031D">
            <w:pPr>
              <w:pStyle w:val="SDMTableBoxParaNotNumbered"/>
              <w:spacing w:before="60" w:after="60"/>
              <w:rPr>
                <w:rFonts w:cs="Arial"/>
              </w:rPr>
            </w:pPr>
            <w:r w:rsidRPr="00780E96">
              <w:rPr>
                <w:rFonts w:cs="Arial"/>
              </w:rPr>
              <w:t>Measurement methods and procedures</w:t>
            </w:r>
          </w:p>
        </w:tc>
        <w:tc>
          <w:tcPr>
            <w:tcW w:w="6110" w:type="dxa"/>
            <w:gridSpan w:val="4"/>
          </w:tcPr>
          <w:p w14:paraId="49897889" w14:textId="77777777" w:rsidR="00D9066E" w:rsidRPr="00780E96" w:rsidRDefault="00D9066E" w:rsidP="0038031D">
            <w:pPr>
              <w:pStyle w:val="SDMTableBoxParaNotNumbered"/>
              <w:spacing w:before="60" w:after="60"/>
              <w:rPr>
                <w:rFonts w:cs="Arial"/>
              </w:rPr>
            </w:pPr>
            <w:r w:rsidRPr="00780E96">
              <w:rPr>
                <w:rFonts w:cs="Arial"/>
              </w:rPr>
              <w:t>Use either mass or volume meters.</w:t>
            </w:r>
          </w:p>
          <w:p w14:paraId="39E20DB1" w14:textId="4014EDEF" w:rsidR="00D9066E" w:rsidRPr="00780E96" w:rsidRDefault="00D9066E" w:rsidP="0038031D">
            <w:pPr>
              <w:pStyle w:val="SDMTableBoxParaNotNumbered"/>
              <w:spacing w:before="60" w:after="60"/>
              <w:rPr>
                <w:rFonts w:cs="Arial"/>
              </w:rPr>
            </w:pPr>
            <w:r w:rsidRPr="00780E96">
              <w:rPr>
                <w:rFonts w:cs="Arial"/>
              </w:rPr>
              <w:t>In cases where fuel is supplied from small daily tanks, rulers can be used to determine mass or volume of the fuel consumed, with the following conditions: the ruler gauge must be part of the daily tank</w:t>
            </w:r>
            <w:r w:rsidR="00B17E34" w:rsidRPr="00780E96">
              <w:rPr>
                <w:rFonts w:cs="Arial"/>
              </w:rPr>
              <w:t>,</w:t>
            </w:r>
            <w:r w:rsidRPr="00780E96">
              <w:rPr>
                <w:rFonts w:cs="Arial"/>
              </w:rPr>
              <w:t xml:space="preserve"> </w:t>
            </w:r>
            <w:r w:rsidR="00B17E34" w:rsidRPr="00780E96">
              <w:rPr>
                <w:rFonts w:cs="Arial"/>
              </w:rPr>
              <w:t xml:space="preserve">be </w:t>
            </w:r>
            <w:r w:rsidRPr="00780E96">
              <w:rPr>
                <w:rFonts w:cs="Arial"/>
              </w:rPr>
              <w:t>calibrated at least once a year</w:t>
            </w:r>
            <w:r w:rsidR="00B17E34" w:rsidRPr="00780E96">
              <w:rPr>
                <w:rFonts w:cs="Arial"/>
              </w:rPr>
              <w:t>,</w:t>
            </w:r>
            <w:r w:rsidRPr="00780E96">
              <w:rPr>
                <w:rFonts w:cs="Arial"/>
              </w:rPr>
              <w:t xml:space="preserve"> and have </w:t>
            </w:r>
            <w:r w:rsidRPr="00780E96" w:rsidDel="00B17E34">
              <w:rPr>
                <w:rFonts w:cs="Arial"/>
              </w:rPr>
              <w:t xml:space="preserve">a </w:t>
            </w:r>
            <w:r w:rsidRPr="00780E96">
              <w:rPr>
                <w:rFonts w:cs="Arial"/>
              </w:rPr>
              <w:t xml:space="preserve">control </w:t>
            </w:r>
            <w:r w:rsidR="00AC0C31" w:rsidRPr="00780E96">
              <w:rPr>
                <w:rFonts w:cs="Arial"/>
              </w:rPr>
              <w:t xml:space="preserve">logbook </w:t>
            </w:r>
            <w:r w:rsidRPr="00780E96">
              <w:rPr>
                <w:rFonts w:cs="Arial"/>
              </w:rPr>
              <w:t>for recording the measurements (on a daily basis or per shift).</w:t>
            </w:r>
          </w:p>
          <w:p w14:paraId="303404B0" w14:textId="66C81F58" w:rsidR="00D9066E" w:rsidRPr="00780E96" w:rsidRDefault="00D9066E" w:rsidP="0038031D">
            <w:pPr>
              <w:pStyle w:val="SDMTableBoxParaNotNumbered"/>
              <w:spacing w:before="60" w:after="60"/>
              <w:rPr>
                <w:rFonts w:cs="Arial"/>
              </w:rPr>
            </w:pPr>
            <w:r w:rsidRPr="00780E96">
              <w:rPr>
                <w:rFonts w:cs="Arial"/>
              </w:rPr>
              <w:t>Accessories such as transducers, sonar</w:t>
            </w:r>
            <w:r w:rsidR="00AC0C31" w:rsidRPr="00780E96">
              <w:rPr>
                <w:rFonts w:cs="Arial"/>
              </w:rPr>
              <w:t>,</w:t>
            </w:r>
            <w:r w:rsidRPr="00780E96">
              <w:rPr>
                <w:rFonts w:cs="Arial"/>
              </w:rPr>
              <w:t xml:space="preserve"> and piezoelectronic devices are accepted if they are properly calibrated with the ruler gauge and </w:t>
            </w:r>
            <w:r w:rsidR="008331D4" w:rsidRPr="00780E96">
              <w:rPr>
                <w:rFonts w:cs="Arial"/>
              </w:rPr>
              <w:t xml:space="preserve">subject to </w:t>
            </w:r>
            <w:r w:rsidRPr="00780E96">
              <w:rPr>
                <w:rFonts w:cs="Arial"/>
              </w:rPr>
              <w:t xml:space="preserve">reasonable maintenance. In the case of using daily tanks with pre-heaters for heavy oil, calibration </w:t>
            </w:r>
            <w:r w:rsidR="008331D4" w:rsidRPr="00780E96">
              <w:rPr>
                <w:rFonts w:cs="Arial"/>
              </w:rPr>
              <w:t>shall be performed</w:t>
            </w:r>
            <w:r w:rsidRPr="00780E96">
              <w:rPr>
                <w:rFonts w:cs="Arial"/>
              </w:rPr>
              <w:t xml:space="preserve"> with the system at typical operational conditions</w:t>
            </w:r>
          </w:p>
        </w:tc>
      </w:tr>
      <w:tr w:rsidR="00D9066E" w:rsidRPr="00780E96" w14:paraId="75F4A55A" w14:textId="77777777" w:rsidTr="007C28CD">
        <w:trPr>
          <w:trHeight w:val="107"/>
        </w:trPr>
        <w:tc>
          <w:tcPr>
            <w:tcW w:w="2419" w:type="dxa"/>
            <w:shd w:val="clear" w:color="auto" w:fill="D9D9D9" w:themeFill="background1" w:themeFillShade="D9"/>
          </w:tcPr>
          <w:p w14:paraId="0210F1FE" w14:textId="77777777" w:rsidR="00D9066E" w:rsidRPr="00780E96" w:rsidRDefault="00D9066E" w:rsidP="0038031D">
            <w:pPr>
              <w:pStyle w:val="SDMTableBoxParaNotNumbered"/>
              <w:spacing w:before="60" w:after="60"/>
              <w:rPr>
                <w:rFonts w:cs="Arial"/>
              </w:rPr>
            </w:pPr>
            <w:r w:rsidRPr="00780E96">
              <w:rPr>
                <w:rFonts w:cs="Arial"/>
              </w:rPr>
              <w:t>Entity/person responsible for the measurement</w:t>
            </w:r>
          </w:p>
        </w:tc>
        <w:tc>
          <w:tcPr>
            <w:tcW w:w="6110" w:type="dxa"/>
            <w:gridSpan w:val="4"/>
          </w:tcPr>
          <w:p w14:paraId="5F2051F2" w14:textId="1F37D76E" w:rsidR="00D9066E" w:rsidRPr="00780E96" w:rsidRDefault="00D9066E" w:rsidP="0038031D">
            <w:pPr>
              <w:pStyle w:val="SDMTableBoxParaNotNumbered"/>
              <w:spacing w:before="60" w:after="60"/>
              <w:rPr>
                <w:rFonts w:cs="Arial"/>
              </w:rPr>
            </w:pPr>
            <w:r w:rsidRPr="00780E96">
              <w:rPr>
                <w:rFonts w:cs="Arial"/>
              </w:rPr>
              <w:t>Activity participants</w:t>
            </w:r>
          </w:p>
        </w:tc>
      </w:tr>
      <w:tr w:rsidR="00D9066E" w:rsidRPr="00780E96" w14:paraId="46FC1382" w14:textId="77777777" w:rsidTr="007C28CD">
        <w:trPr>
          <w:trHeight w:val="107"/>
        </w:trPr>
        <w:tc>
          <w:tcPr>
            <w:tcW w:w="2419" w:type="dxa"/>
            <w:vMerge w:val="restart"/>
            <w:shd w:val="clear" w:color="auto" w:fill="D9D9D9" w:themeFill="background1" w:themeFillShade="D9"/>
          </w:tcPr>
          <w:p w14:paraId="457868E1" w14:textId="77777777" w:rsidR="00D9066E" w:rsidRPr="00780E96" w:rsidRDefault="00D9066E" w:rsidP="0038031D">
            <w:pPr>
              <w:pStyle w:val="SDMTableBoxParaNotNumbered"/>
              <w:spacing w:before="60" w:after="60"/>
              <w:rPr>
                <w:rFonts w:cs="Arial"/>
              </w:rPr>
            </w:pPr>
            <w:r w:rsidRPr="00780E96">
              <w:rPr>
                <w:rFonts w:cs="Arial"/>
              </w:rPr>
              <w:t>Measuring instrument(s)</w:t>
            </w:r>
          </w:p>
        </w:tc>
        <w:tc>
          <w:tcPr>
            <w:tcW w:w="1546" w:type="dxa"/>
          </w:tcPr>
          <w:p w14:paraId="375C4AE4" w14:textId="77777777" w:rsidR="00D9066E" w:rsidRPr="00780E96" w:rsidRDefault="00D9066E" w:rsidP="0038031D">
            <w:pPr>
              <w:pStyle w:val="SDMTableBoxParaNotNumbered"/>
              <w:spacing w:before="60" w:after="60"/>
              <w:rPr>
                <w:rFonts w:cs="Arial"/>
                <w:i/>
                <w:iCs/>
              </w:rPr>
            </w:pPr>
            <w:r w:rsidRPr="00780E96">
              <w:rPr>
                <w:rFonts w:cs="Arial"/>
                <w:i/>
                <w:iCs/>
              </w:rPr>
              <w:t>Type of instrument</w:t>
            </w:r>
          </w:p>
        </w:tc>
        <w:tc>
          <w:tcPr>
            <w:tcW w:w="4564" w:type="dxa"/>
            <w:gridSpan w:val="3"/>
          </w:tcPr>
          <w:p w14:paraId="6AB1EDC8" w14:textId="687658C1" w:rsidR="00D9066E" w:rsidRPr="00780E96" w:rsidRDefault="00D9066E" w:rsidP="0038031D">
            <w:pPr>
              <w:pStyle w:val="SDMTableBoxParaNotNumbered"/>
              <w:spacing w:before="60" w:after="60"/>
              <w:rPr>
                <w:rFonts w:cs="Arial"/>
              </w:rPr>
            </w:pPr>
            <w:r w:rsidRPr="00780E96">
              <w:rPr>
                <w:rFonts w:cs="Arial"/>
              </w:rPr>
              <w:t>Mass or volume meters, ruler gauge (that is part of daily tanks), transducers, sonar and piezoelectronic devices</w:t>
            </w:r>
          </w:p>
        </w:tc>
      </w:tr>
      <w:tr w:rsidR="00D9066E" w:rsidRPr="00780E96" w14:paraId="5AA0E96C" w14:textId="77777777" w:rsidTr="007C28CD">
        <w:trPr>
          <w:trHeight w:val="104"/>
        </w:trPr>
        <w:tc>
          <w:tcPr>
            <w:tcW w:w="2419" w:type="dxa"/>
            <w:vMerge/>
            <w:shd w:val="clear" w:color="auto" w:fill="D9D9D9" w:themeFill="background1" w:themeFillShade="D9"/>
          </w:tcPr>
          <w:p w14:paraId="4F8533BF" w14:textId="77777777" w:rsidR="00D9066E" w:rsidRPr="00780E96" w:rsidRDefault="00D9066E" w:rsidP="0038031D">
            <w:pPr>
              <w:pStyle w:val="SDMTableBoxParaNotNumbered"/>
              <w:spacing w:before="60" w:after="60"/>
              <w:rPr>
                <w:rFonts w:cs="Arial"/>
              </w:rPr>
            </w:pPr>
          </w:p>
        </w:tc>
        <w:tc>
          <w:tcPr>
            <w:tcW w:w="1546" w:type="dxa"/>
          </w:tcPr>
          <w:p w14:paraId="441F1834" w14:textId="77777777" w:rsidR="00D9066E" w:rsidRPr="00780E96" w:rsidRDefault="00D9066E" w:rsidP="0038031D">
            <w:pPr>
              <w:pStyle w:val="SDMTableBoxParaNotNumbered"/>
              <w:spacing w:before="60" w:after="60"/>
              <w:rPr>
                <w:rFonts w:cs="Arial"/>
                <w:i/>
                <w:iCs/>
              </w:rPr>
            </w:pPr>
            <w:r w:rsidRPr="00780E96">
              <w:rPr>
                <w:rFonts w:cs="Arial"/>
                <w:i/>
                <w:iCs/>
              </w:rPr>
              <w:t>Accuracy class</w:t>
            </w:r>
          </w:p>
        </w:tc>
        <w:tc>
          <w:tcPr>
            <w:tcW w:w="4564" w:type="dxa"/>
            <w:gridSpan w:val="3"/>
          </w:tcPr>
          <w:p w14:paraId="77F0595B" w14:textId="77777777" w:rsidR="00D9066E" w:rsidRPr="00780E96" w:rsidRDefault="00D9066E" w:rsidP="0038031D">
            <w:pPr>
              <w:pStyle w:val="SDMTableBoxParaNotNumbered"/>
              <w:spacing w:before="60" w:after="60"/>
              <w:rPr>
                <w:rFonts w:cs="Arial"/>
              </w:rPr>
            </w:pPr>
            <w:r w:rsidRPr="00780E96">
              <w:rPr>
                <w:rFonts w:cs="Arial"/>
              </w:rPr>
              <w:t>N/A</w:t>
            </w:r>
          </w:p>
        </w:tc>
      </w:tr>
      <w:tr w:rsidR="00D9066E" w:rsidRPr="00780E96" w14:paraId="42C616EE" w14:textId="77777777" w:rsidTr="007C28CD">
        <w:trPr>
          <w:trHeight w:val="104"/>
        </w:trPr>
        <w:tc>
          <w:tcPr>
            <w:tcW w:w="2419" w:type="dxa"/>
            <w:vMerge/>
            <w:shd w:val="clear" w:color="auto" w:fill="D9D9D9" w:themeFill="background1" w:themeFillShade="D9"/>
          </w:tcPr>
          <w:p w14:paraId="6A27CDB1" w14:textId="77777777" w:rsidR="00D9066E" w:rsidRPr="00780E96" w:rsidRDefault="00D9066E" w:rsidP="0038031D">
            <w:pPr>
              <w:pStyle w:val="SDMTableBoxParaNotNumbered"/>
              <w:spacing w:before="60" w:after="60"/>
              <w:rPr>
                <w:rFonts w:cs="Arial"/>
              </w:rPr>
            </w:pPr>
          </w:p>
        </w:tc>
        <w:tc>
          <w:tcPr>
            <w:tcW w:w="1546" w:type="dxa"/>
          </w:tcPr>
          <w:p w14:paraId="140AEA00" w14:textId="77777777" w:rsidR="00D9066E" w:rsidRPr="00780E96" w:rsidRDefault="00D9066E" w:rsidP="0038031D">
            <w:pPr>
              <w:pStyle w:val="SDMTableBoxParaNotNumbered"/>
              <w:spacing w:before="60" w:after="60"/>
              <w:rPr>
                <w:rFonts w:cs="Arial"/>
                <w:i/>
                <w:iCs/>
              </w:rPr>
            </w:pPr>
            <w:r w:rsidRPr="00780E96">
              <w:rPr>
                <w:rFonts w:cs="Arial"/>
                <w:i/>
                <w:iCs/>
              </w:rPr>
              <w:t>Calibration requirements</w:t>
            </w:r>
          </w:p>
        </w:tc>
        <w:tc>
          <w:tcPr>
            <w:tcW w:w="4564" w:type="dxa"/>
            <w:gridSpan w:val="3"/>
          </w:tcPr>
          <w:p w14:paraId="01BFCEA8" w14:textId="77777777" w:rsidR="00D9066E" w:rsidRPr="00780E96" w:rsidRDefault="00D9066E" w:rsidP="0038031D">
            <w:pPr>
              <w:pStyle w:val="SDMTableBoxParaNotNumbered"/>
              <w:spacing w:before="60" w:after="60"/>
              <w:rPr>
                <w:rFonts w:cs="Arial"/>
              </w:rPr>
            </w:pPr>
            <w:r w:rsidRPr="00780E96">
              <w:rPr>
                <w:rFonts w:cs="Arial"/>
              </w:rPr>
              <w:t>Ruler gauge: at least once a year.</w:t>
            </w:r>
          </w:p>
          <w:p w14:paraId="3667AF8A" w14:textId="4DFB65E3" w:rsidR="00D9066E" w:rsidRPr="00780E96" w:rsidRDefault="00D9066E" w:rsidP="0038031D">
            <w:pPr>
              <w:pStyle w:val="SDMTableBoxParaNotNumbered"/>
              <w:spacing w:before="60" w:after="60"/>
              <w:rPr>
                <w:rFonts w:cs="Arial"/>
              </w:rPr>
            </w:pPr>
            <w:r w:rsidRPr="00780E96">
              <w:rPr>
                <w:rFonts w:cs="Arial"/>
              </w:rPr>
              <w:t xml:space="preserve">Transducers, sonar and piezoelectronic devices: calibrated with the ruler gauge and </w:t>
            </w:r>
            <w:r w:rsidR="006C49DE" w:rsidRPr="00780E96">
              <w:rPr>
                <w:rFonts w:cs="Arial"/>
              </w:rPr>
              <w:t>subject to</w:t>
            </w:r>
            <w:r w:rsidRPr="00780E96">
              <w:rPr>
                <w:rFonts w:cs="Arial"/>
              </w:rPr>
              <w:t xml:space="preserve"> reasonable maintenance</w:t>
            </w:r>
          </w:p>
        </w:tc>
      </w:tr>
      <w:tr w:rsidR="00D9066E" w:rsidRPr="00780E96" w14:paraId="1B21434F" w14:textId="77777777" w:rsidTr="007C28CD">
        <w:trPr>
          <w:trHeight w:val="104"/>
        </w:trPr>
        <w:tc>
          <w:tcPr>
            <w:tcW w:w="2419" w:type="dxa"/>
            <w:vMerge/>
            <w:shd w:val="clear" w:color="auto" w:fill="D9D9D9" w:themeFill="background1" w:themeFillShade="D9"/>
          </w:tcPr>
          <w:p w14:paraId="446A721E" w14:textId="77777777" w:rsidR="00D9066E" w:rsidRPr="00780E96" w:rsidRDefault="00D9066E" w:rsidP="0038031D">
            <w:pPr>
              <w:pStyle w:val="SDMTableBoxParaNotNumbered"/>
              <w:spacing w:before="60" w:after="60"/>
              <w:rPr>
                <w:rFonts w:cs="Arial"/>
              </w:rPr>
            </w:pPr>
          </w:p>
        </w:tc>
        <w:tc>
          <w:tcPr>
            <w:tcW w:w="1546" w:type="dxa"/>
          </w:tcPr>
          <w:p w14:paraId="42A8B194" w14:textId="77777777" w:rsidR="00D9066E" w:rsidRPr="00780E96" w:rsidRDefault="00D9066E" w:rsidP="0038031D">
            <w:pPr>
              <w:pStyle w:val="SDMTableBoxParaNotNumbered"/>
              <w:spacing w:before="60" w:after="60"/>
              <w:rPr>
                <w:rFonts w:cs="Arial"/>
                <w:i/>
                <w:iCs/>
              </w:rPr>
            </w:pPr>
            <w:r w:rsidRPr="00780E96">
              <w:rPr>
                <w:rFonts w:cs="Arial"/>
                <w:i/>
                <w:iCs/>
              </w:rPr>
              <w:t>Location</w:t>
            </w:r>
          </w:p>
        </w:tc>
        <w:tc>
          <w:tcPr>
            <w:tcW w:w="4564" w:type="dxa"/>
            <w:gridSpan w:val="3"/>
          </w:tcPr>
          <w:p w14:paraId="5CB15BF2" w14:textId="77777777" w:rsidR="00D9066E" w:rsidRPr="00780E96" w:rsidRDefault="00D9066E" w:rsidP="0038031D">
            <w:pPr>
              <w:pStyle w:val="SDMTableBoxParaNotNumbered"/>
              <w:spacing w:before="60" w:after="60"/>
              <w:rPr>
                <w:rFonts w:cs="Arial"/>
              </w:rPr>
            </w:pPr>
            <w:r w:rsidRPr="00780E96">
              <w:rPr>
                <w:rFonts w:cs="Arial"/>
              </w:rPr>
              <w:t>N/A</w:t>
            </w:r>
          </w:p>
        </w:tc>
      </w:tr>
      <w:tr w:rsidR="00D9066E" w:rsidRPr="00780E96" w14:paraId="7B28B967" w14:textId="77777777" w:rsidTr="007C28CD">
        <w:trPr>
          <w:trHeight w:val="300"/>
        </w:trPr>
        <w:tc>
          <w:tcPr>
            <w:tcW w:w="2419" w:type="dxa"/>
            <w:shd w:val="clear" w:color="auto" w:fill="D9D9D9" w:themeFill="background1" w:themeFillShade="D9"/>
          </w:tcPr>
          <w:p w14:paraId="661FF2DB" w14:textId="77777777" w:rsidR="00D9066E" w:rsidRPr="00780E96" w:rsidRDefault="00D9066E" w:rsidP="0038031D">
            <w:pPr>
              <w:pStyle w:val="SDMTableBoxParaNotNumbered"/>
              <w:spacing w:before="60" w:after="60"/>
              <w:rPr>
                <w:rFonts w:cs="Arial"/>
              </w:rPr>
            </w:pPr>
            <w:r w:rsidRPr="00780E96">
              <w:rPr>
                <w:rFonts w:cs="Arial"/>
              </w:rPr>
              <w:t>QA/QC procedures</w:t>
            </w:r>
          </w:p>
        </w:tc>
        <w:tc>
          <w:tcPr>
            <w:tcW w:w="6110" w:type="dxa"/>
            <w:gridSpan w:val="4"/>
          </w:tcPr>
          <w:p w14:paraId="72B4AE7F" w14:textId="5113963E" w:rsidR="00D9066E" w:rsidRPr="00780E96" w:rsidRDefault="00D9066E" w:rsidP="0038031D">
            <w:pPr>
              <w:pStyle w:val="SDMTableBoxParaNotNumbered"/>
              <w:spacing w:before="60" w:after="60"/>
              <w:rPr>
                <w:rFonts w:cs="Arial"/>
              </w:rPr>
            </w:pPr>
            <w:r w:rsidRPr="00780E96">
              <w:rPr>
                <w:rFonts w:cs="Arial"/>
              </w:rPr>
              <w:t xml:space="preserve">The consistency of metered fuel consumption quantities should be cross-checked </w:t>
            </w:r>
            <w:r w:rsidR="006C49DE" w:rsidRPr="00780E96">
              <w:rPr>
                <w:rFonts w:cs="Arial"/>
              </w:rPr>
              <w:t xml:space="preserve">annually using an </w:t>
            </w:r>
            <w:r w:rsidRPr="00780E96">
              <w:rPr>
                <w:rFonts w:cs="Arial"/>
              </w:rPr>
              <w:t>energy balance on purchased quantities and stock changes.</w:t>
            </w:r>
          </w:p>
          <w:p w14:paraId="18973068" w14:textId="2C067DE7" w:rsidR="00D9066E" w:rsidRPr="00780E96" w:rsidRDefault="00D9066E" w:rsidP="0038031D">
            <w:pPr>
              <w:pStyle w:val="SDMTableBoxParaNotNumbered"/>
              <w:spacing w:before="60" w:after="60"/>
              <w:rPr>
                <w:rFonts w:cs="Arial"/>
              </w:rPr>
            </w:pPr>
            <w:r w:rsidRPr="00780E96">
              <w:rPr>
                <w:rFonts w:cs="Arial"/>
              </w:rPr>
              <w:t>Where</w:t>
            </w:r>
            <w:r w:rsidRPr="00780E96" w:rsidDel="006C49DE">
              <w:rPr>
                <w:rFonts w:cs="Arial"/>
              </w:rPr>
              <w:t xml:space="preserve"> </w:t>
            </w:r>
            <w:r w:rsidRPr="00780E96">
              <w:rPr>
                <w:rFonts w:cs="Arial"/>
              </w:rPr>
              <w:t>purchased fuel invoices can be identified specifically for the Article 6.4</w:t>
            </w:r>
            <w:r w:rsidR="00AD2370" w:rsidRPr="00780E96">
              <w:rPr>
                <w:rFonts w:cs="Arial"/>
              </w:rPr>
              <w:t xml:space="preserve"> </w:t>
            </w:r>
            <w:r w:rsidR="00052B4E" w:rsidRPr="00780E96">
              <w:rPr>
                <w:rFonts w:eastAsia="Arial"/>
              </w:rPr>
              <w:t>project or CP</w:t>
            </w:r>
            <w:r w:rsidRPr="00780E96">
              <w:rPr>
                <w:rFonts w:cs="Arial"/>
              </w:rPr>
              <w:t>, the metered fuel consumption quantities should also be cross-checked with available purchase invoices from financial record</w:t>
            </w:r>
            <w:r w:rsidR="009F66A6" w:rsidRPr="00780E96">
              <w:rPr>
                <w:rFonts w:cs="Arial"/>
              </w:rPr>
              <w:t>s</w:t>
            </w:r>
          </w:p>
        </w:tc>
      </w:tr>
      <w:tr w:rsidR="00D9066E" w:rsidRPr="00780E96" w14:paraId="5EB30A4B" w14:textId="77777777" w:rsidTr="007C28CD">
        <w:trPr>
          <w:trHeight w:val="300"/>
        </w:trPr>
        <w:tc>
          <w:tcPr>
            <w:tcW w:w="2419" w:type="dxa"/>
            <w:shd w:val="clear" w:color="auto" w:fill="D9D9D9" w:themeFill="background1" w:themeFillShade="D9"/>
          </w:tcPr>
          <w:p w14:paraId="645DAA63" w14:textId="77777777" w:rsidR="00D9066E" w:rsidRPr="00780E96" w:rsidRDefault="00D9066E" w:rsidP="00F36908">
            <w:pPr>
              <w:pStyle w:val="SDMTableBoxParaNotNumbered"/>
              <w:keepLines/>
              <w:spacing w:before="60" w:after="60"/>
              <w:rPr>
                <w:rFonts w:cs="Arial"/>
              </w:rPr>
            </w:pPr>
            <w:r w:rsidRPr="00780E96">
              <w:rPr>
                <w:rFonts w:cs="Arial"/>
              </w:rPr>
              <w:t>Treatment of uncertainties</w:t>
            </w:r>
          </w:p>
        </w:tc>
        <w:tc>
          <w:tcPr>
            <w:tcW w:w="6110" w:type="dxa"/>
            <w:gridSpan w:val="4"/>
          </w:tcPr>
          <w:p w14:paraId="785E8F79" w14:textId="44E9072E" w:rsidR="00D9066E" w:rsidRPr="00780E96" w:rsidRDefault="00D9066E" w:rsidP="00F36908">
            <w:pPr>
              <w:pStyle w:val="SDMTableBoxParaNotNumbered"/>
              <w:keepLines/>
              <w:spacing w:before="60" w:after="60"/>
              <w:rPr>
                <w:rFonts w:cs="Arial"/>
              </w:rPr>
            </w:pPr>
            <w:r w:rsidRPr="00780E96">
              <w:rPr>
                <w:rFonts w:cs="Arial"/>
              </w:rPr>
              <w:t>Uncertainties are determined based on the measuring instruments</w:t>
            </w:r>
          </w:p>
        </w:tc>
      </w:tr>
      <w:tr w:rsidR="00D9066E" w:rsidRPr="00780E96" w14:paraId="552AB812" w14:textId="77777777" w:rsidTr="007C28CD">
        <w:trPr>
          <w:trHeight w:val="300"/>
        </w:trPr>
        <w:tc>
          <w:tcPr>
            <w:tcW w:w="2419" w:type="dxa"/>
            <w:shd w:val="clear" w:color="auto" w:fill="D9D9D9" w:themeFill="background1" w:themeFillShade="D9"/>
          </w:tcPr>
          <w:p w14:paraId="159ECA79" w14:textId="77777777" w:rsidR="00D9066E" w:rsidRPr="00780E96" w:rsidRDefault="00D9066E" w:rsidP="0038031D">
            <w:pPr>
              <w:pStyle w:val="SDMTableBoxParaNotNumbered"/>
              <w:spacing w:before="60" w:after="60"/>
              <w:rPr>
                <w:rFonts w:cs="Arial"/>
              </w:rPr>
            </w:pPr>
            <w:r w:rsidRPr="00780E96">
              <w:rPr>
                <w:rFonts w:cs="Arial"/>
              </w:rPr>
              <w:t>Additional comment</w:t>
            </w:r>
          </w:p>
        </w:tc>
        <w:tc>
          <w:tcPr>
            <w:tcW w:w="6110" w:type="dxa"/>
            <w:gridSpan w:val="4"/>
          </w:tcPr>
          <w:p w14:paraId="07CA34AA" w14:textId="1018D05A" w:rsidR="00D9066E" w:rsidRPr="00780E96" w:rsidRDefault="62E28D4D" w:rsidP="00F62D64">
            <w:pPr>
              <w:pStyle w:val="SDMTableBoxParaNotNumbered"/>
              <w:keepNext/>
              <w:spacing w:before="60" w:after="60"/>
              <w:rPr>
                <w:rFonts w:cs="Arial"/>
              </w:rPr>
            </w:pPr>
            <w:r w:rsidRPr="00780E96">
              <w:rPr>
                <w:rFonts w:cs="Arial"/>
              </w:rPr>
              <w:t xml:space="preserve">Article 6.4 </w:t>
            </w:r>
            <w:r w:rsidR="00052B4E" w:rsidRPr="00780E96">
              <w:rPr>
                <w:rFonts w:eastAsia="Arial"/>
              </w:rPr>
              <w:t>projects or CPs</w:t>
            </w:r>
            <w:r w:rsidR="00052B4E" w:rsidRPr="00780E96">
              <w:rPr>
                <w:rFonts w:cs="Arial"/>
              </w:rPr>
              <w:t xml:space="preserve"> </w:t>
            </w:r>
            <w:r w:rsidR="65582CEA" w:rsidRPr="00780E96">
              <w:rPr>
                <w:rFonts w:cs="Arial"/>
              </w:rPr>
              <w:t>that face</w:t>
            </w:r>
            <w:r w:rsidRPr="00780E96">
              <w:rPr>
                <w:rFonts w:cs="Arial"/>
              </w:rPr>
              <w:t xml:space="preserve"> data gaps due to meter failure or other unforeseen</w:t>
            </w:r>
            <w:r w:rsidR="52439EB2" w:rsidRPr="00780E96">
              <w:rPr>
                <w:rFonts w:cs="Arial"/>
              </w:rPr>
              <w:t xml:space="preserve"> reasons</w:t>
            </w:r>
            <w:r w:rsidRPr="00780E96">
              <w:rPr>
                <w:rFonts w:cs="Arial"/>
              </w:rPr>
              <w:t xml:space="preserve"> may estimate the quantity of fuel using the following option, provided</w:t>
            </w:r>
            <w:r w:rsidR="52439EB2" w:rsidRPr="00780E96">
              <w:rPr>
                <w:rFonts w:cs="Arial"/>
              </w:rPr>
              <w:t xml:space="preserve"> that</w:t>
            </w:r>
            <w:r w:rsidRPr="00780E96">
              <w:rPr>
                <w:rFonts w:cs="Arial"/>
              </w:rPr>
              <w:t xml:space="preserve"> the gap period does not exceed 30 consecutive days within six consecutive months:</w:t>
            </w:r>
          </w:p>
          <w:p w14:paraId="220183DD" w14:textId="22FDC079" w:rsidR="00D9066E" w:rsidRPr="00780E96" w:rsidRDefault="00D9066E" w:rsidP="6B6CAEC8">
            <w:pPr>
              <w:pStyle w:val="SDMTableBoxParaNotNumbered"/>
              <w:spacing w:before="60" w:after="60" w:line="259" w:lineRule="auto"/>
              <w:rPr>
                <w:rFonts w:cs="Arial"/>
              </w:rPr>
            </w:pPr>
            <w:r w:rsidRPr="00780E96">
              <w:rPr>
                <w:rFonts w:cs="Arial"/>
              </w:rPr>
              <w:t>The purchased fuel</w:t>
            </w:r>
            <w:r w:rsidR="00F82364" w:rsidRPr="00780E96">
              <w:rPr>
                <w:rFonts w:cs="Arial"/>
              </w:rPr>
              <w:t xml:space="preserve"> or </w:t>
            </w:r>
            <w:r w:rsidRPr="00780E96">
              <w:rPr>
                <w:rFonts w:cs="Arial"/>
              </w:rPr>
              <w:t>energy invoices/bills, where the purchased fuel can be identified specifically for the Article 6.4</w:t>
            </w:r>
            <w:r w:rsidR="00052B4E" w:rsidRPr="00780E96">
              <w:rPr>
                <w:rFonts w:eastAsia="Arial"/>
              </w:rPr>
              <w:t xml:space="preserve"> project or CP</w:t>
            </w:r>
            <w:r w:rsidRPr="00780E96">
              <w:rPr>
                <w:rFonts w:cs="Arial"/>
              </w:rPr>
              <w:t>.</w:t>
            </w:r>
          </w:p>
          <w:p w14:paraId="735313C7" w14:textId="275D32EF" w:rsidR="00DC59DB" w:rsidRPr="00780E96" w:rsidRDefault="3C5CDDB4" w:rsidP="0038031D">
            <w:pPr>
              <w:pStyle w:val="SDMTableBoxParaNotNumbered"/>
              <w:spacing w:before="60" w:after="60"/>
            </w:pPr>
            <w:r w:rsidRPr="00780E96">
              <w:rPr>
                <w:rFonts w:cs="Arial"/>
              </w:rPr>
              <w:t xml:space="preserve">For Article 6.4 activities under </w:t>
            </w:r>
            <w:r w:rsidR="112220A7" w:rsidRPr="00780E96">
              <w:rPr>
                <w:rFonts w:cs="Arial"/>
              </w:rPr>
              <w:t>scenario</w:t>
            </w:r>
            <w:r w:rsidR="4037A346" w:rsidRPr="00780E96">
              <w:rPr>
                <w:rFonts w:cs="Arial"/>
              </w:rPr>
              <w:t> </w:t>
            </w:r>
            <w:r w:rsidRPr="00780E96">
              <w:rPr>
                <w:rFonts w:cs="Arial"/>
              </w:rPr>
              <w:t xml:space="preserve">A or </w:t>
            </w:r>
            <w:r w:rsidR="112220A7" w:rsidRPr="00780E96">
              <w:rPr>
                <w:rFonts w:cs="Arial"/>
              </w:rPr>
              <w:t>scenario</w:t>
            </w:r>
            <w:r w:rsidR="4037A346" w:rsidRPr="00780E96">
              <w:rPr>
                <w:rFonts w:cs="Arial"/>
              </w:rPr>
              <w:t> </w:t>
            </w:r>
            <w:r w:rsidRPr="00780E96">
              <w:rPr>
                <w:rFonts w:cs="Arial"/>
              </w:rPr>
              <w:t xml:space="preserve">C, </w:t>
            </w:r>
            <w:r w:rsidR="6A9EFD78" w:rsidRPr="00780E96">
              <w:rPr>
                <w:rFonts w:cs="Arial"/>
              </w:rPr>
              <w:t>this parameter needs to be updated at the renewal of the crediting period</w:t>
            </w:r>
            <w:r w:rsidRPr="00780E96">
              <w:rPr>
                <w:rFonts w:cs="Arial"/>
              </w:rPr>
              <w:t xml:space="preserve"> if activity participants cho</w:t>
            </w:r>
            <w:r w:rsidR="2D23B8B4" w:rsidRPr="00780E96">
              <w:rPr>
                <w:rFonts w:cs="Arial"/>
              </w:rPr>
              <w:t>o</w:t>
            </w:r>
            <w:r w:rsidRPr="00780E96">
              <w:rPr>
                <w:rFonts w:cs="Arial"/>
              </w:rPr>
              <w:t>se to determine</w:t>
            </w:r>
            <w:r w:rsidR="2D23B8B4" w:rsidRPr="00780E96">
              <w:rPr>
                <w:rFonts w:cs="Arial"/>
              </w:rPr>
              <w:t xml:space="preserve"> the</w:t>
            </w:r>
            <w:r w:rsidRPr="00780E96">
              <w:rPr>
                <w:rFonts w:cs="Arial"/>
              </w:rPr>
              <w:t xml:space="preserve"> OM or BM ex</w:t>
            </w:r>
            <w:r w:rsidR="3B6413CF" w:rsidRPr="00780E96">
              <w:rPr>
                <w:rFonts w:cs="Arial"/>
              </w:rPr>
              <w:t>-</w:t>
            </w:r>
            <w:r w:rsidRPr="00780E96">
              <w:rPr>
                <w:rFonts w:cs="Arial"/>
              </w:rPr>
              <w:t>ante</w:t>
            </w:r>
            <w:r w:rsidR="6CCBB279" w:rsidRPr="00780E96">
              <w:rPr>
                <w:rFonts w:cs="Arial"/>
              </w:rPr>
              <w:t>.</w:t>
            </w:r>
          </w:p>
        </w:tc>
      </w:tr>
    </w:tbl>
    <w:p w14:paraId="62E47144" w14:textId="0C7BF1D8" w:rsidR="00925217" w:rsidRPr="00780E96" w:rsidRDefault="00925217" w:rsidP="00F32C6C">
      <w:pPr>
        <w:pStyle w:val="Caption"/>
      </w:pPr>
      <w:r w:rsidRPr="00780E96">
        <w:t>Data / Parameter table</w:t>
      </w:r>
      <w:r w:rsidR="004C17BF" w:rsidRPr="00780E96">
        <w:t> </w:t>
      </w:r>
      <w:r w:rsidRPr="00780E96">
        <w:fldChar w:fldCharType="begin"/>
      </w:r>
      <w:r w:rsidRPr="00780E96">
        <w:instrText>SEQ Data_/_Parameter_table \* ARABIC</w:instrText>
      </w:r>
      <w:r w:rsidRPr="00780E96">
        <w:fldChar w:fldCharType="separate"/>
      </w:r>
      <w:r w:rsidR="003B0135" w:rsidRPr="00780E96">
        <w:rPr>
          <w:noProof/>
        </w:rPr>
        <w:t>4</w:t>
      </w:r>
      <w:r w:rsidRPr="00780E96">
        <w:fldChar w:fldCharType="end"/>
      </w:r>
      <w:r w:rsidRPr="00780E96">
        <w:t>.</w:t>
      </w:r>
    </w:p>
    <w:tbl>
      <w:tblPr>
        <w:tblStyle w:val="TableGrid"/>
        <w:tblW w:w="8618" w:type="dxa"/>
        <w:tblInd w:w="8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5"/>
        <w:gridCol w:w="1553"/>
        <w:gridCol w:w="670"/>
        <w:gridCol w:w="1977"/>
        <w:gridCol w:w="1973"/>
      </w:tblGrid>
      <w:tr w:rsidR="00460759" w:rsidRPr="00780E96" w14:paraId="3247DC72" w14:textId="77777777" w:rsidTr="009F15A7">
        <w:trPr>
          <w:trHeight w:val="300"/>
        </w:trPr>
        <w:tc>
          <w:tcPr>
            <w:tcW w:w="2419" w:type="dxa"/>
            <w:shd w:val="clear" w:color="auto" w:fill="D9D9D9" w:themeFill="background1" w:themeFillShade="D9"/>
          </w:tcPr>
          <w:p w14:paraId="70DA18AA" w14:textId="77777777" w:rsidR="00460759" w:rsidRPr="00780E96" w:rsidRDefault="00460759" w:rsidP="00F36908">
            <w:pPr>
              <w:pStyle w:val="SDMTableBoxParaNotNumbered"/>
              <w:keepNext/>
              <w:keepLines/>
              <w:spacing w:before="60" w:after="60"/>
            </w:pPr>
            <w:r w:rsidRPr="00780E96">
              <w:t>Data/parameter</w:t>
            </w:r>
          </w:p>
        </w:tc>
        <w:tc>
          <w:tcPr>
            <w:tcW w:w="6110" w:type="dxa"/>
            <w:gridSpan w:val="4"/>
          </w:tcPr>
          <w:p w14:paraId="79F11F3A" w14:textId="77777777" w:rsidR="00460759" w:rsidRPr="00780E96" w:rsidRDefault="003F6646" w:rsidP="00F36908">
            <w:pPr>
              <w:pStyle w:val="SDMTableBoxParaNotNumbered"/>
              <w:keepNext/>
              <w:keepLines/>
              <w:spacing w:before="60" w:after="60"/>
              <w:rPr>
                <w:rFonts w:ascii="Cambria Math" w:hAnsi="Cambria Math"/>
                <w:b/>
                <w:bCs/>
                <w:i/>
                <w:iCs/>
              </w:rPr>
            </w:pPr>
            <m:oMathPara>
              <m:oMathParaPr>
                <m:jc m:val="left"/>
              </m:oMathParaPr>
              <m:oMath>
                <m:sSub>
                  <m:sSubPr>
                    <m:ctrlPr>
                      <w:rPr>
                        <w:rFonts w:ascii="Cambria Math" w:hAnsi="Cambria Math"/>
                        <w:b/>
                        <w:bCs/>
                        <w:i/>
                      </w:rPr>
                    </m:ctrlPr>
                  </m:sSubPr>
                  <m:e>
                    <m:r>
                      <m:rPr>
                        <m:sty m:val="bi"/>
                      </m:rPr>
                      <w:rPr>
                        <w:rFonts w:ascii="Cambria Math" w:hAnsi="Cambria Math"/>
                      </w:rPr>
                      <m:t>NCV</m:t>
                    </m:r>
                  </m:e>
                  <m:sub>
                    <m:r>
                      <m:rPr>
                        <m:sty m:val="bi"/>
                      </m:rPr>
                      <w:rPr>
                        <w:rFonts w:ascii="Cambria Math" w:hAnsi="Cambria Math"/>
                      </w:rPr>
                      <m:t>i,t</m:t>
                    </m:r>
                  </m:sub>
                </m:sSub>
              </m:oMath>
            </m:oMathPara>
          </w:p>
        </w:tc>
      </w:tr>
      <w:tr w:rsidR="00460759" w:rsidRPr="00780E96" w14:paraId="7B987A60" w14:textId="77777777" w:rsidTr="009F15A7">
        <w:trPr>
          <w:trHeight w:val="300"/>
        </w:trPr>
        <w:tc>
          <w:tcPr>
            <w:tcW w:w="2419" w:type="dxa"/>
            <w:shd w:val="clear" w:color="auto" w:fill="D9D9D9" w:themeFill="background1" w:themeFillShade="D9"/>
          </w:tcPr>
          <w:p w14:paraId="09E0DC4E" w14:textId="77777777" w:rsidR="00460759" w:rsidRPr="00780E96" w:rsidRDefault="00460759" w:rsidP="00F36908">
            <w:pPr>
              <w:pStyle w:val="SDMTableBoxParaNotNumbered"/>
              <w:spacing w:before="60" w:after="60"/>
            </w:pPr>
            <w:r w:rsidRPr="00780E96">
              <w:t>Description</w:t>
            </w:r>
          </w:p>
        </w:tc>
        <w:tc>
          <w:tcPr>
            <w:tcW w:w="6110" w:type="dxa"/>
            <w:gridSpan w:val="4"/>
          </w:tcPr>
          <w:p w14:paraId="12705C7A" w14:textId="77777777" w:rsidR="00460759" w:rsidRPr="00780E96" w:rsidRDefault="00460759" w:rsidP="00F36908">
            <w:pPr>
              <w:pStyle w:val="SDMTableBoxParaNotNumbered"/>
              <w:spacing w:before="60" w:after="60"/>
            </w:pPr>
            <w:r w:rsidRPr="00780E96">
              <w:t>Net calorific value of the fuel type </w:t>
            </w:r>
            <w:r w:rsidRPr="00780E96">
              <w:rPr>
                <w:i/>
                <w:iCs/>
              </w:rPr>
              <w:t>i</w:t>
            </w:r>
            <w:r w:rsidRPr="00780E96">
              <w:t xml:space="preserve"> in period </w:t>
            </w:r>
            <w:r w:rsidRPr="00780E96">
              <w:rPr>
                <w:i/>
                <w:iCs/>
              </w:rPr>
              <w:t>t</w:t>
            </w:r>
          </w:p>
        </w:tc>
      </w:tr>
      <w:tr w:rsidR="00460759" w:rsidRPr="00780E96" w14:paraId="2056149D" w14:textId="77777777" w:rsidTr="009F15A7">
        <w:trPr>
          <w:trHeight w:val="300"/>
        </w:trPr>
        <w:tc>
          <w:tcPr>
            <w:tcW w:w="2419" w:type="dxa"/>
            <w:shd w:val="clear" w:color="auto" w:fill="D9D9D9" w:themeFill="background1" w:themeFillShade="D9"/>
          </w:tcPr>
          <w:p w14:paraId="239BAEB6" w14:textId="77777777" w:rsidR="00460759" w:rsidRPr="00780E96" w:rsidRDefault="00460759" w:rsidP="00F36908">
            <w:pPr>
              <w:pStyle w:val="SDMTableBoxParaNotNumbered"/>
              <w:spacing w:before="60" w:after="60"/>
            </w:pPr>
            <w:r w:rsidRPr="00780E96">
              <w:t>Data unit</w:t>
            </w:r>
          </w:p>
        </w:tc>
        <w:tc>
          <w:tcPr>
            <w:tcW w:w="6110" w:type="dxa"/>
            <w:gridSpan w:val="4"/>
          </w:tcPr>
          <w:p w14:paraId="268A3D15" w14:textId="7EF6213E" w:rsidR="00460759" w:rsidRPr="00780E96" w:rsidRDefault="76346BAB" w:rsidP="00F36908">
            <w:pPr>
              <w:pStyle w:val="SDMTableBoxParaNotNumbered"/>
              <w:spacing w:before="60" w:after="60"/>
            </w:pPr>
            <w:r w:rsidRPr="00780E96">
              <w:t>GJ/mass unit or GJ/volume unit</w:t>
            </w:r>
          </w:p>
        </w:tc>
      </w:tr>
      <w:tr w:rsidR="00460759" w:rsidRPr="00780E96" w14:paraId="5862C036" w14:textId="77777777" w:rsidTr="009F15A7">
        <w:trPr>
          <w:trHeight w:val="300"/>
        </w:trPr>
        <w:tc>
          <w:tcPr>
            <w:tcW w:w="2419" w:type="dxa"/>
            <w:shd w:val="clear" w:color="auto" w:fill="D9D9D9" w:themeFill="background1" w:themeFillShade="D9"/>
          </w:tcPr>
          <w:p w14:paraId="2161978A" w14:textId="77777777" w:rsidR="00460759" w:rsidRPr="00780E96" w:rsidRDefault="00460759" w:rsidP="00F36908">
            <w:pPr>
              <w:pStyle w:val="SDMTableBoxParaNotNumbered"/>
              <w:spacing w:before="60" w:after="60"/>
            </w:pPr>
            <w:r w:rsidRPr="00780E96">
              <w:t>Equations referred</w:t>
            </w:r>
          </w:p>
        </w:tc>
        <w:tc>
          <w:tcPr>
            <w:tcW w:w="6110" w:type="dxa"/>
            <w:gridSpan w:val="4"/>
            <w:tcBorders>
              <w:bottom w:val="single" w:sz="4" w:space="0" w:color="auto"/>
            </w:tcBorders>
          </w:tcPr>
          <w:p w14:paraId="37FF4E11" w14:textId="77777777" w:rsidR="00460759" w:rsidRPr="00780E96" w:rsidRDefault="00460759" w:rsidP="00F36908">
            <w:pPr>
              <w:pStyle w:val="SDMTableBoxParaNotNumbered"/>
              <w:spacing w:before="60" w:after="60"/>
            </w:pPr>
          </w:p>
        </w:tc>
      </w:tr>
      <w:tr w:rsidR="00241146" w:rsidRPr="00780E96" w14:paraId="413F1FFE" w14:textId="77777777" w:rsidTr="009F15A7">
        <w:trPr>
          <w:trHeight w:val="300"/>
        </w:trPr>
        <w:tc>
          <w:tcPr>
            <w:tcW w:w="2419" w:type="dxa"/>
            <w:tcBorders>
              <w:right w:val="single" w:sz="4" w:space="0" w:color="auto"/>
            </w:tcBorders>
            <w:shd w:val="clear" w:color="auto" w:fill="D9D9D9" w:themeFill="background1" w:themeFillShade="D9"/>
          </w:tcPr>
          <w:p w14:paraId="5EEA5CE3" w14:textId="77777777" w:rsidR="00241146" w:rsidRPr="00780E96" w:rsidRDefault="00241146" w:rsidP="00F36908">
            <w:pPr>
              <w:pStyle w:val="SDMTableBoxParaNotNumbered"/>
              <w:spacing w:before="60" w:after="60"/>
            </w:pPr>
            <w:r w:rsidRPr="00780E96">
              <w:t>Purpose of data</w:t>
            </w:r>
          </w:p>
        </w:tc>
        <w:tc>
          <w:tcPr>
            <w:tcW w:w="2200" w:type="dxa"/>
            <w:gridSpan w:val="2"/>
            <w:tcBorders>
              <w:left w:val="single" w:sz="4" w:space="0" w:color="auto"/>
              <w:right w:val="nil"/>
            </w:tcBorders>
          </w:tcPr>
          <w:p w14:paraId="5FFA5C5C" w14:textId="4D9B9B9A" w:rsidR="00241146" w:rsidRPr="00780E96" w:rsidRDefault="00241146" w:rsidP="00F36908">
            <w:pPr>
              <w:pStyle w:val="SDMTableBoxParaNotNumbered"/>
              <w:spacing w:before="60" w:after="60"/>
              <w:rPr>
                <w:rFonts w:eastAsia="MS Mincho"/>
                <w:lang w:eastAsia="ja-JP"/>
              </w:rPr>
            </w:pPr>
            <w:r w:rsidRPr="00780E96">
              <w:rPr>
                <w:rFonts w:asciiTheme="minorBidi" w:hAnsiTheme="minorBidi" w:cstheme="minorBidi"/>
                <w:shd w:val="clear" w:color="auto" w:fill="E6E6E6"/>
              </w:rPr>
              <w:fldChar w:fldCharType="begin">
                <w:ffData>
                  <w:name w:val=""/>
                  <w:enabled/>
                  <w:calcOnExit w:val="0"/>
                  <w:checkBox>
                    <w:size w:val="20"/>
                    <w:default w:val="1"/>
                  </w:checkBox>
                </w:ffData>
              </w:fldChar>
            </w:r>
            <w:r w:rsidRPr="00780E96">
              <w:rPr>
                <w:rFonts w:asciiTheme="minorBidi" w:hAnsiTheme="minorBidi" w:cstheme="minorBidi"/>
                <w:shd w:val="clear" w:color="auto" w:fill="E6E6E6"/>
              </w:rPr>
              <w:instrText xml:space="preserve"> FORMCHECKBOX </w:instrText>
            </w:r>
            <w:r w:rsidRPr="00780E96">
              <w:rPr>
                <w:rFonts w:asciiTheme="minorBidi" w:hAnsiTheme="minorBidi" w:cstheme="minorBidi"/>
                <w:shd w:val="clear" w:color="auto" w:fill="E6E6E6"/>
              </w:rPr>
            </w:r>
            <w:r w:rsidRPr="00780E96">
              <w:rPr>
                <w:rFonts w:asciiTheme="minorBidi" w:hAnsiTheme="minorBidi" w:cstheme="minorBidi"/>
                <w:shd w:val="clear" w:color="auto" w:fill="E6E6E6"/>
              </w:rPr>
              <w:fldChar w:fldCharType="separate"/>
            </w:r>
            <w:r w:rsidRPr="00780E96">
              <w:rPr>
                <w:rFonts w:asciiTheme="minorBidi" w:hAnsiTheme="minorBidi" w:cstheme="minorBidi"/>
                <w:shd w:val="clear" w:color="auto" w:fill="E6E6E6"/>
              </w:rPr>
              <w:fldChar w:fldCharType="end"/>
            </w:r>
            <w:r w:rsidRPr="00780E96">
              <w:rPr>
                <w:rFonts w:asciiTheme="minorBidi" w:hAnsiTheme="minorBidi" w:cstheme="minorBidi"/>
                <w:shd w:val="clear" w:color="auto" w:fill="E6E6E6"/>
              </w:rPr>
              <w:t xml:space="preserve"> </w:t>
            </w:r>
            <w:r w:rsidRPr="00780E96">
              <w:rPr>
                <w:rFonts w:asciiTheme="minorBidi" w:hAnsiTheme="minorBidi" w:cstheme="minorBidi"/>
              </w:rPr>
              <w:t xml:space="preserve">Baseline </w:t>
            </w:r>
            <w:r w:rsidR="00461FEF" w:rsidRPr="00780E96">
              <w:rPr>
                <w:rFonts w:asciiTheme="minorBidi" w:eastAsia="MS Mincho" w:hAnsiTheme="minorBidi" w:cstheme="minorBidi" w:hint="eastAsia"/>
                <w:lang w:eastAsia="ja-JP"/>
              </w:rPr>
              <w:t>Scenario</w:t>
            </w:r>
          </w:p>
        </w:tc>
        <w:tc>
          <w:tcPr>
            <w:tcW w:w="1957" w:type="dxa"/>
            <w:tcBorders>
              <w:left w:val="nil"/>
              <w:right w:val="nil"/>
            </w:tcBorders>
          </w:tcPr>
          <w:p w14:paraId="22B624D8" w14:textId="752EA341" w:rsidR="00241146" w:rsidRPr="00780E96" w:rsidRDefault="00241146" w:rsidP="00F36908">
            <w:pPr>
              <w:pStyle w:val="SDMTableBoxParaNotNumbered"/>
              <w:spacing w:before="60" w:after="60"/>
              <w:rPr>
                <w:rFonts w:eastAsia="MS Mincho"/>
                <w:lang w:eastAsia="ja-JP"/>
              </w:rPr>
            </w:pPr>
            <w:r w:rsidRPr="00780E96">
              <w:rPr>
                <w:rFonts w:asciiTheme="minorBidi" w:hAnsiTheme="minorBidi" w:cstheme="minorBidi"/>
                <w:shd w:val="clear" w:color="auto" w:fill="E6E6E6"/>
              </w:rPr>
              <w:fldChar w:fldCharType="begin">
                <w:ffData>
                  <w:name w:val=""/>
                  <w:enabled/>
                  <w:calcOnExit w:val="0"/>
                  <w:checkBox>
                    <w:size w:val="20"/>
                    <w:default w:val="1"/>
                  </w:checkBox>
                </w:ffData>
              </w:fldChar>
            </w:r>
            <w:r w:rsidRPr="00780E96">
              <w:rPr>
                <w:rFonts w:asciiTheme="minorBidi" w:hAnsiTheme="minorBidi" w:cstheme="minorBidi"/>
                <w:shd w:val="clear" w:color="auto" w:fill="E6E6E6"/>
              </w:rPr>
              <w:instrText xml:space="preserve"> FORMCHECKBOX </w:instrText>
            </w:r>
            <w:r w:rsidRPr="00780E96">
              <w:rPr>
                <w:rFonts w:asciiTheme="minorBidi" w:hAnsiTheme="minorBidi" w:cstheme="minorBidi"/>
                <w:shd w:val="clear" w:color="auto" w:fill="E6E6E6"/>
              </w:rPr>
            </w:r>
            <w:r w:rsidRPr="00780E96">
              <w:rPr>
                <w:rFonts w:asciiTheme="minorBidi" w:hAnsiTheme="minorBidi" w:cstheme="minorBidi"/>
                <w:shd w:val="clear" w:color="auto" w:fill="E6E6E6"/>
              </w:rPr>
              <w:fldChar w:fldCharType="separate"/>
            </w:r>
            <w:r w:rsidRPr="00780E96">
              <w:rPr>
                <w:rFonts w:asciiTheme="minorBidi" w:hAnsiTheme="minorBidi" w:cstheme="minorBidi"/>
                <w:shd w:val="clear" w:color="auto" w:fill="E6E6E6"/>
              </w:rPr>
              <w:fldChar w:fldCharType="end"/>
            </w:r>
            <w:r w:rsidRPr="00780E96">
              <w:rPr>
                <w:rFonts w:asciiTheme="minorBidi" w:hAnsiTheme="minorBidi" w:cstheme="minorBidi"/>
              </w:rPr>
              <w:fldChar w:fldCharType="begin"/>
            </w:r>
            <w:r w:rsidRPr="00780E96">
              <w:rPr>
                <w:rFonts w:asciiTheme="minorBidi" w:hAnsiTheme="minorBidi" w:cstheme="minorBidi"/>
              </w:rPr>
              <w:instrText xml:space="preserve"> FORMCHECKBOX </w:instrText>
            </w:r>
            <w:r w:rsidRPr="00780E96">
              <w:rPr>
                <w:rFonts w:asciiTheme="minorBidi" w:hAnsiTheme="minorBidi" w:cstheme="minorBidi"/>
              </w:rPr>
              <w:fldChar w:fldCharType="separate"/>
            </w:r>
            <w:r w:rsidRPr="00780E96">
              <w:rPr>
                <w:rFonts w:asciiTheme="minorBidi" w:hAnsiTheme="minorBidi" w:cstheme="minorBidi"/>
              </w:rPr>
              <w:fldChar w:fldCharType="end"/>
            </w:r>
            <w:r w:rsidRPr="00780E96">
              <w:rPr>
                <w:rFonts w:asciiTheme="minorBidi" w:hAnsiTheme="minorBidi" w:cstheme="minorBidi"/>
              </w:rPr>
              <w:t xml:space="preserve"> </w:t>
            </w:r>
            <w:r w:rsidR="00DE1DCE" w:rsidRPr="00780E96">
              <w:rPr>
                <w:rFonts w:asciiTheme="minorBidi" w:eastAsia="MS Mincho" w:hAnsiTheme="minorBidi" w:cstheme="minorBidi" w:hint="eastAsia"/>
                <w:lang w:eastAsia="ja-JP"/>
              </w:rPr>
              <w:t>A</w:t>
            </w:r>
            <w:r w:rsidR="00DE1DCE" w:rsidRPr="00780E96">
              <w:rPr>
                <w:rFonts w:asciiTheme="minorBidi" w:eastAsia="MS Mincho" w:hAnsiTheme="minorBidi" w:cstheme="minorBidi"/>
                <w:lang w:eastAsia="ja-JP"/>
              </w:rPr>
              <w:t>ctivity</w:t>
            </w:r>
            <w:r w:rsidR="00DE1DCE" w:rsidRPr="00780E96">
              <w:rPr>
                <w:rFonts w:asciiTheme="minorBidi" w:eastAsia="MS Mincho" w:hAnsiTheme="minorBidi" w:cstheme="minorBidi" w:hint="eastAsia"/>
                <w:lang w:eastAsia="ja-JP"/>
              </w:rPr>
              <w:t xml:space="preserve"> </w:t>
            </w:r>
            <w:r w:rsidR="0025117C" w:rsidRPr="00780E96">
              <w:rPr>
                <w:rFonts w:asciiTheme="minorBidi" w:eastAsia="MS Mincho" w:hAnsiTheme="minorBidi" w:cstheme="minorBidi"/>
                <w:lang w:eastAsia="ja-JP"/>
              </w:rPr>
              <w:t>S</w:t>
            </w:r>
            <w:r w:rsidR="00461FEF" w:rsidRPr="00780E96">
              <w:rPr>
                <w:rFonts w:asciiTheme="minorBidi" w:eastAsia="MS Mincho" w:hAnsiTheme="minorBidi" w:cstheme="minorBidi" w:hint="eastAsia"/>
                <w:lang w:eastAsia="ja-JP"/>
              </w:rPr>
              <w:t>cenario</w:t>
            </w:r>
          </w:p>
        </w:tc>
        <w:tc>
          <w:tcPr>
            <w:tcW w:w="1953" w:type="dxa"/>
            <w:tcBorders>
              <w:left w:val="nil"/>
            </w:tcBorders>
          </w:tcPr>
          <w:p w14:paraId="40B029C4" w14:textId="41A5C0D4" w:rsidR="00241146" w:rsidRPr="00780E96" w:rsidRDefault="00241146" w:rsidP="00F36908">
            <w:pPr>
              <w:pStyle w:val="SDMTableBoxParaNotNumbered"/>
              <w:spacing w:before="60" w:after="60"/>
              <w:rPr>
                <w:rFonts w:eastAsia="MS Mincho"/>
                <w:lang w:eastAsia="ja-JP"/>
              </w:rPr>
            </w:pPr>
            <w:r w:rsidRPr="00780E96">
              <w:rPr>
                <w:rFonts w:asciiTheme="minorBidi" w:hAnsiTheme="minorBidi" w:cstheme="minorBidi"/>
                <w:shd w:val="clear" w:color="auto" w:fill="E6E6E6"/>
              </w:rPr>
              <w:fldChar w:fldCharType="begin">
                <w:ffData>
                  <w:name w:val=""/>
                  <w:enabled/>
                  <w:calcOnExit w:val="0"/>
                  <w:checkBox>
                    <w:size w:val="20"/>
                    <w:default w:val="1"/>
                  </w:checkBox>
                </w:ffData>
              </w:fldChar>
            </w:r>
            <w:r w:rsidRPr="00780E96">
              <w:rPr>
                <w:rFonts w:asciiTheme="minorBidi" w:hAnsiTheme="minorBidi" w:cstheme="minorBidi"/>
                <w:shd w:val="clear" w:color="auto" w:fill="E6E6E6"/>
              </w:rPr>
              <w:instrText xml:space="preserve"> FORMCHECKBOX </w:instrText>
            </w:r>
            <w:r w:rsidRPr="00780E96">
              <w:rPr>
                <w:rFonts w:asciiTheme="minorBidi" w:hAnsiTheme="minorBidi" w:cstheme="minorBidi"/>
                <w:shd w:val="clear" w:color="auto" w:fill="E6E6E6"/>
              </w:rPr>
            </w:r>
            <w:r w:rsidRPr="00780E96">
              <w:rPr>
                <w:rFonts w:asciiTheme="minorBidi" w:hAnsiTheme="minorBidi" w:cstheme="minorBidi"/>
                <w:shd w:val="clear" w:color="auto" w:fill="E6E6E6"/>
              </w:rPr>
              <w:fldChar w:fldCharType="separate"/>
            </w:r>
            <w:r w:rsidRPr="00780E96">
              <w:rPr>
                <w:rFonts w:asciiTheme="minorBidi" w:hAnsiTheme="minorBidi" w:cstheme="minorBidi"/>
                <w:shd w:val="clear" w:color="auto" w:fill="E6E6E6"/>
              </w:rPr>
              <w:fldChar w:fldCharType="end"/>
            </w:r>
            <w:r w:rsidRPr="00780E96">
              <w:rPr>
                <w:rFonts w:asciiTheme="minorBidi" w:hAnsiTheme="minorBidi" w:cstheme="minorBidi"/>
              </w:rPr>
              <w:fldChar w:fldCharType="begin"/>
            </w:r>
            <w:r w:rsidRPr="00780E96">
              <w:rPr>
                <w:rFonts w:asciiTheme="minorBidi" w:hAnsiTheme="minorBidi" w:cstheme="minorBidi"/>
              </w:rPr>
              <w:instrText xml:space="preserve"> FORMCHECKBOX </w:instrText>
            </w:r>
            <w:r w:rsidRPr="00780E96">
              <w:rPr>
                <w:rFonts w:asciiTheme="minorBidi" w:hAnsiTheme="minorBidi" w:cstheme="minorBidi"/>
              </w:rPr>
              <w:fldChar w:fldCharType="separate"/>
            </w:r>
            <w:r w:rsidRPr="00780E96">
              <w:rPr>
                <w:rFonts w:asciiTheme="minorBidi" w:hAnsiTheme="minorBidi" w:cstheme="minorBidi"/>
              </w:rPr>
              <w:fldChar w:fldCharType="end"/>
            </w:r>
            <w:r w:rsidRPr="00780E96">
              <w:rPr>
                <w:rFonts w:asciiTheme="minorBidi" w:hAnsiTheme="minorBidi" w:cstheme="minorBidi"/>
              </w:rPr>
              <w:t xml:space="preserve"> Leakage </w:t>
            </w:r>
          </w:p>
        </w:tc>
      </w:tr>
      <w:tr w:rsidR="00460759" w:rsidRPr="00780E96" w14:paraId="1133E12A" w14:textId="77777777" w:rsidTr="009F15A7">
        <w:trPr>
          <w:trHeight w:val="300"/>
        </w:trPr>
        <w:tc>
          <w:tcPr>
            <w:tcW w:w="2419" w:type="dxa"/>
            <w:shd w:val="clear" w:color="auto" w:fill="D9D9D9" w:themeFill="background1" w:themeFillShade="D9"/>
          </w:tcPr>
          <w:p w14:paraId="50D8AD49" w14:textId="77777777" w:rsidR="00460759" w:rsidRPr="00780E96" w:rsidRDefault="00460759" w:rsidP="00F36908">
            <w:pPr>
              <w:pStyle w:val="SDMTableBoxParaNotNumbered"/>
              <w:spacing w:before="60" w:after="60"/>
            </w:pPr>
            <w:r w:rsidRPr="00780E96">
              <w:t>Measurement and updating frequency</w:t>
            </w:r>
          </w:p>
        </w:tc>
        <w:tc>
          <w:tcPr>
            <w:tcW w:w="6110" w:type="dxa"/>
            <w:gridSpan w:val="4"/>
          </w:tcPr>
          <w:p w14:paraId="237CA96E" w14:textId="502D8104" w:rsidR="00460759" w:rsidRPr="00780E96" w:rsidRDefault="00460759" w:rsidP="00F36908">
            <w:pPr>
              <w:pStyle w:val="SDMTableBoxParaNotNumbered"/>
              <w:spacing w:before="60" w:after="60"/>
            </w:pPr>
            <w:r w:rsidRPr="00780E96">
              <w:rPr>
                <w:u w:val="single"/>
              </w:rPr>
              <w:t>Option</w:t>
            </w:r>
            <w:r w:rsidR="004C17BF" w:rsidRPr="00780E96">
              <w:rPr>
                <w:u w:val="single"/>
              </w:rPr>
              <w:t> </w:t>
            </w:r>
            <w:r w:rsidRPr="00780E96">
              <w:rPr>
                <w:u w:val="single"/>
              </w:rPr>
              <w:t>1:</w:t>
            </w:r>
            <w:r w:rsidRPr="00780E96">
              <w:t xml:space="preserve"> At </w:t>
            </w:r>
            <w:r w:rsidR="000F1837" w:rsidRPr="00780E96">
              <w:t xml:space="preserve">each </w:t>
            </w:r>
            <w:r w:rsidRPr="00780E96">
              <w:t xml:space="preserve">fuel </w:t>
            </w:r>
            <w:r w:rsidR="00E421A6" w:rsidRPr="00780E96">
              <w:t>delivery</w:t>
            </w:r>
            <w:r w:rsidRPr="00780E96">
              <w:t>;</w:t>
            </w:r>
          </w:p>
          <w:p w14:paraId="007CA79F" w14:textId="38B3A28A" w:rsidR="00460759" w:rsidRPr="00780E96" w:rsidRDefault="00460759" w:rsidP="00F36908">
            <w:pPr>
              <w:pStyle w:val="SDMTableBoxParaNotNumbered"/>
              <w:spacing w:before="60" w:after="60"/>
            </w:pPr>
            <w:r w:rsidRPr="00780E96">
              <w:rPr>
                <w:u w:val="single"/>
              </w:rPr>
              <w:t>Option</w:t>
            </w:r>
            <w:r w:rsidR="004C17BF" w:rsidRPr="00780E96">
              <w:rPr>
                <w:u w:val="single"/>
              </w:rPr>
              <w:t> </w:t>
            </w:r>
            <w:r w:rsidRPr="00780E96">
              <w:rPr>
                <w:u w:val="single"/>
              </w:rPr>
              <w:t>2:</w:t>
            </w:r>
            <w:r w:rsidRPr="00780E96">
              <w:t xml:space="preserve"> At </w:t>
            </w:r>
            <w:r w:rsidR="000F1837" w:rsidRPr="00780E96">
              <w:t xml:space="preserve">each </w:t>
            </w:r>
            <w:r w:rsidRPr="00780E96">
              <w:t xml:space="preserve">fuel </w:t>
            </w:r>
            <w:r w:rsidR="00E421A6" w:rsidRPr="00780E96">
              <w:t>delivery</w:t>
            </w:r>
            <w:r w:rsidRPr="00780E96">
              <w:t>;</w:t>
            </w:r>
          </w:p>
          <w:p w14:paraId="49373D40" w14:textId="720E5F20" w:rsidR="00460759" w:rsidRPr="00780E96" w:rsidRDefault="00460759" w:rsidP="00F36908">
            <w:pPr>
              <w:pStyle w:val="SDMTableBoxParaNotNumbered"/>
              <w:spacing w:before="60" w:after="60"/>
            </w:pPr>
            <w:r w:rsidRPr="00780E96">
              <w:rPr>
                <w:u w:val="single"/>
              </w:rPr>
              <w:t>Option</w:t>
            </w:r>
            <w:r w:rsidR="004C17BF" w:rsidRPr="00780E96">
              <w:rPr>
                <w:u w:val="single"/>
              </w:rPr>
              <w:t> </w:t>
            </w:r>
            <w:r w:rsidRPr="00780E96">
              <w:rPr>
                <w:u w:val="single"/>
              </w:rPr>
              <w:t>3:</w:t>
            </w:r>
            <w:r w:rsidRPr="00780E96">
              <w:t xml:space="preserve"> Annually;</w:t>
            </w:r>
          </w:p>
          <w:p w14:paraId="6735ACD2" w14:textId="1F1FAD8A" w:rsidR="00460759" w:rsidRPr="00780E96" w:rsidRDefault="00460759" w:rsidP="00F36908">
            <w:pPr>
              <w:pStyle w:val="SDMTableBoxParaNotNumbered"/>
              <w:spacing w:before="60" w:after="60"/>
            </w:pPr>
            <w:r w:rsidRPr="00780E96">
              <w:rPr>
                <w:u w:val="single"/>
              </w:rPr>
              <w:t>Option</w:t>
            </w:r>
            <w:r w:rsidR="004C17BF" w:rsidRPr="00780E96">
              <w:rPr>
                <w:u w:val="single"/>
              </w:rPr>
              <w:t> </w:t>
            </w:r>
            <w:r w:rsidRPr="00780E96">
              <w:rPr>
                <w:u w:val="single"/>
              </w:rPr>
              <w:t>4:</w:t>
            </w:r>
            <w:r w:rsidRPr="00780E96">
              <w:t xml:space="preserve"> Update based on future revisions of the IPCC Guidelines</w:t>
            </w:r>
          </w:p>
        </w:tc>
      </w:tr>
      <w:tr w:rsidR="00460759" w:rsidRPr="00C87E19" w14:paraId="4FA5747B" w14:textId="77777777" w:rsidTr="009F15A7">
        <w:trPr>
          <w:trHeight w:val="300"/>
        </w:trPr>
        <w:tc>
          <w:tcPr>
            <w:tcW w:w="2419" w:type="dxa"/>
            <w:shd w:val="clear" w:color="auto" w:fill="D9D9D9" w:themeFill="background1" w:themeFillShade="D9"/>
          </w:tcPr>
          <w:p w14:paraId="0E51B8D1" w14:textId="77777777" w:rsidR="00460759" w:rsidRPr="00780E96" w:rsidRDefault="00460759" w:rsidP="00F36908">
            <w:pPr>
              <w:pStyle w:val="SDMTableBoxParaNotNumbered"/>
              <w:spacing w:before="60" w:after="60"/>
            </w:pPr>
            <w:r w:rsidRPr="00780E96">
              <w:t>Measurement methods and procedures</w:t>
            </w:r>
          </w:p>
        </w:tc>
        <w:tc>
          <w:tcPr>
            <w:tcW w:w="6110" w:type="dxa"/>
            <w:gridSpan w:val="4"/>
          </w:tcPr>
          <w:p w14:paraId="702BD203" w14:textId="54F0EE6A" w:rsidR="00460759" w:rsidRPr="00780E96" w:rsidRDefault="00460759" w:rsidP="00F36908">
            <w:pPr>
              <w:pStyle w:val="SDMTableBoxParaNotNumbered"/>
              <w:spacing w:before="60" w:after="60"/>
            </w:pPr>
            <w:r w:rsidRPr="00780E96">
              <w:rPr>
                <w:u w:val="single"/>
              </w:rPr>
              <w:t>Option</w:t>
            </w:r>
            <w:r w:rsidR="004C17BF" w:rsidRPr="00780E96">
              <w:rPr>
                <w:u w:val="single"/>
              </w:rPr>
              <w:t> </w:t>
            </w:r>
            <w:r w:rsidRPr="00780E96">
              <w:rPr>
                <w:u w:val="single"/>
              </w:rPr>
              <w:t>1:</w:t>
            </w:r>
            <w:r w:rsidRPr="00780E96">
              <w:t xml:space="preserve"> Values provided by the </w:t>
            </w:r>
            <w:r w:rsidR="006F67B3" w:rsidRPr="00780E96">
              <w:t xml:space="preserve">fuel </w:t>
            </w:r>
            <w:r w:rsidRPr="00780E96">
              <w:t>supplier (preferred source)</w:t>
            </w:r>
            <w:r w:rsidR="00175694" w:rsidRPr="00780E96">
              <w:t>, in line with national or international</w:t>
            </w:r>
            <w:r w:rsidRPr="00780E96">
              <w:t xml:space="preserve"> fuel </w:t>
            </w:r>
            <w:r w:rsidR="00175694" w:rsidRPr="00780E96">
              <w:t>standards</w:t>
            </w:r>
            <w:r w:rsidRPr="00780E96">
              <w:t>;</w:t>
            </w:r>
          </w:p>
          <w:p w14:paraId="5C249DBF" w14:textId="5C6FE533" w:rsidR="00460759" w:rsidRPr="00780E96" w:rsidRDefault="00460759" w:rsidP="00F36908">
            <w:pPr>
              <w:pStyle w:val="SDMTableBoxParaNotNumbered"/>
              <w:spacing w:before="60" w:after="60"/>
            </w:pPr>
            <w:r w:rsidRPr="00780E96">
              <w:rPr>
                <w:u w:val="single"/>
              </w:rPr>
              <w:t>Option</w:t>
            </w:r>
            <w:r w:rsidR="004C17BF" w:rsidRPr="00780E96">
              <w:rPr>
                <w:u w:val="single"/>
              </w:rPr>
              <w:t> </w:t>
            </w:r>
            <w:r w:rsidRPr="00780E96">
              <w:rPr>
                <w:u w:val="single"/>
              </w:rPr>
              <w:t>2:</w:t>
            </w:r>
            <w:r w:rsidRPr="00780E96">
              <w:t xml:space="preserve"> Measurements by activity participants undertaken in line with national or international fuel standards (if </w:t>
            </w:r>
            <w:r w:rsidR="007F1586" w:rsidRPr="00780E96">
              <w:t xml:space="preserve">supplier-provided </w:t>
            </w:r>
            <w:r w:rsidRPr="00780E96">
              <w:t>values provided are not available);</w:t>
            </w:r>
          </w:p>
          <w:p w14:paraId="03C48E85" w14:textId="0934C36A" w:rsidR="00460759" w:rsidRPr="00780E96" w:rsidRDefault="00460759" w:rsidP="00F36908">
            <w:pPr>
              <w:pStyle w:val="SDMTableBoxParaNotNumbered"/>
              <w:spacing w:before="60" w:after="60"/>
            </w:pPr>
            <w:r w:rsidRPr="00780E96">
              <w:rPr>
                <w:u w:val="single"/>
              </w:rPr>
              <w:t>Option</w:t>
            </w:r>
            <w:r w:rsidR="004C17BF" w:rsidRPr="00780E96">
              <w:rPr>
                <w:u w:val="single"/>
              </w:rPr>
              <w:t> </w:t>
            </w:r>
            <w:r w:rsidRPr="00780E96">
              <w:rPr>
                <w:u w:val="single"/>
              </w:rPr>
              <w:t>3:</w:t>
            </w:r>
            <w:r w:rsidRPr="00780E96">
              <w:t xml:space="preserve"> Regional or national default values (if </w:t>
            </w:r>
            <w:r w:rsidR="00F31ACF" w:rsidRPr="00780E96">
              <w:t>supplier</w:t>
            </w:r>
            <w:r w:rsidR="00644449" w:rsidRPr="00780E96">
              <w:t>-provided</w:t>
            </w:r>
            <w:r w:rsidR="00F31ACF" w:rsidRPr="00780E96">
              <w:t xml:space="preserve"> </w:t>
            </w:r>
            <w:r w:rsidRPr="00780E96">
              <w:t>values are not available and only for liquid fuels). Values shall be reviewed annually;</w:t>
            </w:r>
          </w:p>
          <w:p w14:paraId="269C2789" w14:textId="7F809CCC" w:rsidR="00460759" w:rsidRPr="00A17BEE" w:rsidRDefault="5088C9BE" w:rsidP="00F36908">
            <w:pPr>
              <w:pStyle w:val="SDMTableBoxParaNotNumbered"/>
              <w:spacing w:before="60" w:after="60"/>
            </w:pPr>
            <w:r w:rsidRPr="00780E96">
              <w:rPr>
                <w:u w:val="single"/>
              </w:rPr>
              <w:t>Option</w:t>
            </w:r>
            <w:r w:rsidR="2F18C9CC" w:rsidRPr="00780E96">
              <w:rPr>
                <w:u w:val="single"/>
              </w:rPr>
              <w:t> </w:t>
            </w:r>
            <w:r w:rsidRPr="00780E96">
              <w:rPr>
                <w:u w:val="single"/>
              </w:rPr>
              <w:t>4:</w:t>
            </w:r>
            <w:r w:rsidRPr="00780E96">
              <w:t xml:space="preserve"> Upper bound for </w:t>
            </w:r>
            <w:r w:rsidR="41682C68" w:rsidRPr="00780E96">
              <w:rPr>
                <w:b/>
                <w:bCs/>
              </w:rPr>
              <w:t>case</w:t>
            </w:r>
            <w:r w:rsidR="2F18C9CC" w:rsidRPr="00780E96">
              <w:rPr>
                <w:b/>
                <w:bCs/>
              </w:rPr>
              <w:t> </w:t>
            </w:r>
            <w:r w:rsidRPr="00780E96">
              <w:rPr>
                <w:b/>
                <w:bCs/>
              </w:rPr>
              <w:t>1</w:t>
            </w:r>
            <w:r w:rsidRPr="00780E96">
              <w:t xml:space="preserve"> and lower bound for </w:t>
            </w:r>
            <w:r w:rsidR="41682C68" w:rsidRPr="00780E96">
              <w:rPr>
                <w:b/>
                <w:bCs/>
              </w:rPr>
              <w:t>case</w:t>
            </w:r>
            <w:r w:rsidR="2F18C9CC" w:rsidRPr="00780E96">
              <w:rPr>
                <w:b/>
                <w:bCs/>
              </w:rPr>
              <w:t> </w:t>
            </w:r>
            <w:r w:rsidRPr="00780E96">
              <w:rPr>
                <w:b/>
                <w:bCs/>
              </w:rPr>
              <w:t>2</w:t>
            </w:r>
            <w:r w:rsidR="7B55749E" w:rsidRPr="00780E96">
              <w:t>,</w:t>
            </w:r>
            <w:r w:rsidRPr="00780E96">
              <w:t xml:space="preserve"> at a 95 per cent confidence interval</w:t>
            </w:r>
            <w:r w:rsidR="7B55749E" w:rsidRPr="00780E96">
              <w:t>,</w:t>
            </w:r>
            <w:r w:rsidRPr="00780E96">
              <w:t xml:space="preserve"> from IPCC default values provided in Table 1.2 of Chapter</w:t>
            </w:r>
            <w:r w:rsidR="2F18C9CC" w:rsidRPr="00780E96">
              <w:t> </w:t>
            </w:r>
            <w:r w:rsidRPr="00780E96">
              <w:t>1 of Vol.</w:t>
            </w:r>
            <w:r w:rsidR="2F18C9CC" w:rsidRPr="00780E96">
              <w:t> </w:t>
            </w:r>
            <w:r w:rsidRPr="00780E96">
              <w:t xml:space="preserve">2 (Energy) of the 2019 Refinement to the 2006 IPCC Guidelines on National GHG Inventories (if </w:t>
            </w:r>
            <w:r w:rsidR="7B55749E" w:rsidRPr="00780E96">
              <w:t xml:space="preserve">supplier-provided </w:t>
            </w:r>
            <w:r w:rsidRPr="00780E96">
              <w:t>values are not available). Update based on future revisions of the IPCC Guidelines</w:t>
            </w:r>
          </w:p>
        </w:tc>
      </w:tr>
      <w:tr w:rsidR="00460759" w:rsidRPr="00C87E19" w14:paraId="48D9F95B" w14:textId="77777777" w:rsidTr="009F15A7">
        <w:trPr>
          <w:trHeight w:val="107"/>
        </w:trPr>
        <w:tc>
          <w:tcPr>
            <w:tcW w:w="2419" w:type="dxa"/>
            <w:shd w:val="clear" w:color="auto" w:fill="D9D9D9" w:themeFill="background1" w:themeFillShade="D9"/>
          </w:tcPr>
          <w:p w14:paraId="197277FD" w14:textId="77777777" w:rsidR="00460759" w:rsidRPr="00A17BEE" w:rsidRDefault="00460759" w:rsidP="00F36908">
            <w:pPr>
              <w:pStyle w:val="SDMTableBoxParaNotNumbered"/>
              <w:spacing w:before="60" w:after="60"/>
            </w:pPr>
            <w:r w:rsidRPr="00131981">
              <w:t>Entity/person responsible for the measurement</w:t>
            </w:r>
          </w:p>
        </w:tc>
        <w:tc>
          <w:tcPr>
            <w:tcW w:w="6110" w:type="dxa"/>
            <w:gridSpan w:val="4"/>
          </w:tcPr>
          <w:p w14:paraId="5771EE90" w14:textId="24E901CF" w:rsidR="00460759" w:rsidRPr="00A17BEE" w:rsidRDefault="76346BAB" w:rsidP="00F36908">
            <w:pPr>
              <w:pStyle w:val="SDMTableBoxParaNotNumbered"/>
              <w:spacing w:before="60" w:after="60"/>
            </w:pPr>
            <w:r>
              <w:t>Activity participants</w:t>
            </w:r>
          </w:p>
        </w:tc>
      </w:tr>
      <w:tr w:rsidR="00460759" w:rsidRPr="00C87E19" w14:paraId="593158F6" w14:textId="77777777" w:rsidTr="009F15A7">
        <w:trPr>
          <w:trHeight w:val="107"/>
        </w:trPr>
        <w:tc>
          <w:tcPr>
            <w:tcW w:w="2419" w:type="dxa"/>
            <w:vMerge w:val="restart"/>
            <w:shd w:val="clear" w:color="auto" w:fill="D9D9D9" w:themeFill="background1" w:themeFillShade="D9"/>
          </w:tcPr>
          <w:p w14:paraId="6D3FF93D" w14:textId="77777777" w:rsidR="00460759" w:rsidRPr="00A17BEE" w:rsidRDefault="00460759" w:rsidP="00F36908">
            <w:pPr>
              <w:pStyle w:val="SDMTableBoxParaNotNumbered"/>
              <w:spacing w:before="60" w:after="60"/>
            </w:pPr>
            <w:r w:rsidRPr="00A17BEE">
              <w:t>Measuring instrument(s)</w:t>
            </w:r>
          </w:p>
        </w:tc>
        <w:tc>
          <w:tcPr>
            <w:tcW w:w="1537" w:type="dxa"/>
          </w:tcPr>
          <w:p w14:paraId="4A49898D" w14:textId="77777777" w:rsidR="00460759" w:rsidRPr="00014C3A" w:rsidRDefault="00460759" w:rsidP="00F36908">
            <w:pPr>
              <w:pStyle w:val="SDMTableBoxParaNotNumbered"/>
              <w:spacing w:before="60" w:after="60"/>
              <w:rPr>
                <w:i/>
                <w:iCs/>
              </w:rPr>
            </w:pPr>
            <w:r w:rsidRPr="00014C3A">
              <w:rPr>
                <w:i/>
                <w:iCs/>
              </w:rPr>
              <w:t>Type of instrument</w:t>
            </w:r>
          </w:p>
        </w:tc>
        <w:tc>
          <w:tcPr>
            <w:tcW w:w="4573" w:type="dxa"/>
            <w:gridSpan w:val="3"/>
          </w:tcPr>
          <w:p w14:paraId="022ED1C0" w14:textId="77777777" w:rsidR="00460759" w:rsidRPr="00014C3A" w:rsidRDefault="00460759" w:rsidP="00F36908">
            <w:pPr>
              <w:pStyle w:val="SDMTableBoxParaNotNumbered"/>
              <w:spacing w:before="60" w:after="60"/>
            </w:pPr>
            <w:r>
              <w:t>N/A</w:t>
            </w:r>
          </w:p>
        </w:tc>
      </w:tr>
      <w:tr w:rsidR="00460759" w:rsidRPr="00C87E19" w14:paraId="4F462E52" w14:textId="77777777" w:rsidTr="009F15A7">
        <w:trPr>
          <w:trHeight w:val="104"/>
        </w:trPr>
        <w:tc>
          <w:tcPr>
            <w:tcW w:w="2419" w:type="dxa"/>
            <w:vMerge/>
            <w:shd w:val="clear" w:color="auto" w:fill="D9D9D9" w:themeFill="background1" w:themeFillShade="D9"/>
          </w:tcPr>
          <w:p w14:paraId="552EC7A2" w14:textId="77777777" w:rsidR="00460759" w:rsidRPr="00C87E19" w:rsidRDefault="00460759" w:rsidP="00F36908">
            <w:pPr>
              <w:pStyle w:val="SDMTableBoxParaNotNumbered"/>
              <w:spacing w:before="60" w:after="60"/>
              <w:rPr>
                <w:highlight w:val="yellow"/>
              </w:rPr>
            </w:pPr>
          </w:p>
        </w:tc>
        <w:tc>
          <w:tcPr>
            <w:tcW w:w="1537" w:type="dxa"/>
          </w:tcPr>
          <w:p w14:paraId="7EAD82C4" w14:textId="77777777" w:rsidR="00460759" w:rsidRPr="00014C3A" w:rsidRDefault="00460759" w:rsidP="00F36908">
            <w:pPr>
              <w:pStyle w:val="SDMTableBoxParaNotNumbered"/>
              <w:spacing w:before="60" w:after="60"/>
              <w:rPr>
                <w:i/>
                <w:iCs/>
              </w:rPr>
            </w:pPr>
            <w:r w:rsidRPr="00014C3A">
              <w:rPr>
                <w:i/>
                <w:iCs/>
              </w:rPr>
              <w:t>Accuracy class</w:t>
            </w:r>
          </w:p>
        </w:tc>
        <w:tc>
          <w:tcPr>
            <w:tcW w:w="4573" w:type="dxa"/>
            <w:gridSpan w:val="3"/>
          </w:tcPr>
          <w:p w14:paraId="617E8F23" w14:textId="77777777" w:rsidR="00460759" w:rsidRPr="00014C3A" w:rsidRDefault="00460759" w:rsidP="00F36908">
            <w:pPr>
              <w:pStyle w:val="SDMTableBoxParaNotNumbered"/>
              <w:spacing w:before="60" w:after="60"/>
            </w:pPr>
            <w:r w:rsidRPr="00014C3A">
              <w:t>N/A</w:t>
            </w:r>
          </w:p>
        </w:tc>
      </w:tr>
      <w:tr w:rsidR="00460759" w:rsidRPr="00C87E19" w14:paraId="13703AD8" w14:textId="77777777" w:rsidTr="009F15A7">
        <w:trPr>
          <w:trHeight w:val="104"/>
        </w:trPr>
        <w:tc>
          <w:tcPr>
            <w:tcW w:w="2419" w:type="dxa"/>
            <w:vMerge/>
            <w:shd w:val="clear" w:color="auto" w:fill="D9D9D9" w:themeFill="background1" w:themeFillShade="D9"/>
          </w:tcPr>
          <w:p w14:paraId="526BDC40" w14:textId="77777777" w:rsidR="00460759" w:rsidRPr="00C87E19" w:rsidRDefault="00460759" w:rsidP="00F36908">
            <w:pPr>
              <w:pStyle w:val="SDMTableBoxParaNotNumbered"/>
              <w:spacing w:before="60" w:after="60"/>
              <w:rPr>
                <w:highlight w:val="yellow"/>
              </w:rPr>
            </w:pPr>
          </w:p>
        </w:tc>
        <w:tc>
          <w:tcPr>
            <w:tcW w:w="1537" w:type="dxa"/>
          </w:tcPr>
          <w:p w14:paraId="0EED62A3" w14:textId="77777777" w:rsidR="00460759" w:rsidRPr="00014C3A" w:rsidRDefault="00460759" w:rsidP="00F36908">
            <w:pPr>
              <w:pStyle w:val="SDMTableBoxParaNotNumbered"/>
              <w:spacing w:before="60" w:after="60"/>
              <w:rPr>
                <w:i/>
                <w:iCs/>
              </w:rPr>
            </w:pPr>
            <w:r w:rsidRPr="00014C3A">
              <w:rPr>
                <w:i/>
                <w:iCs/>
              </w:rPr>
              <w:t>Calibration requirements</w:t>
            </w:r>
          </w:p>
        </w:tc>
        <w:tc>
          <w:tcPr>
            <w:tcW w:w="4573" w:type="dxa"/>
            <w:gridSpan w:val="3"/>
          </w:tcPr>
          <w:p w14:paraId="43EDC375" w14:textId="77777777" w:rsidR="00460759" w:rsidRPr="00014C3A" w:rsidRDefault="00460759" w:rsidP="00F36908">
            <w:pPr>
              <w:pStyle w:val="SDMTableBoxParaNotNumbered"/>
              <w:spacing w:before="60" w:after="60"/>
            </w:pPr>
            <w:r>
              <w:t>N/A</w:t>
            </w:r>
          </w:p>
        </w:tc>
      </w:tr>
      <w:tr w:rsidR="00460759" w:rsidRPr="00C87E19" w14:paraId="41965AEC" w14:textId="77777777" w:rsidTr="009F15A7">
        <w:trPr>
          <w:trHeight w:val="104"/>
        </w:trPr>
        <w:tc>
          <w:tcPr>
            <w:tcW w:w="2419" w:type="dxa"/>
            <w:vMerge/>
            <w:shd w:val="clear" w:color="auto" w:fill="D9D9D9" w:themeFill="background1" w:themeFillShade="D9"/>
          </w:tcPr>
          <w:p w14:paraId="538E340E" w14:textId="77777777" w:rsidR="00460759" w:rsidRPr="00C87E19" w:rsidRDefault="00460759" w:rsidP="00F36908">
            <w:pPr>
              <w:pStyle w:val="SDMTableBoxParaNotNumbered"/>
              <w:spacing w:before="60" w:after="60"/>
              <w:rPr>
                <w:highlight w:val="yellow"/>
              </w:rPr>
            </w:pPr>
          </w:p>
        </w:tc>
        <w:tc>
          <w:tcPr>
            <w:tcW w:w="1537" w:type="dxa"/>
          </w:tcPr>
          <w:p w14:paraId="116FD0C9" w14:textId="77777777" w:rsidR="00460759" w:rsidRPr="00014C3A" w:rsidRDefault="00460759" w:rsidP="00F36908">
            <w:pPr>
              <w:pStyle w:val="SDMTableBoxParaNotNumbered"/>
              <w:spacing w:before="60" w:after="60"/>
              <w:rPr>
                <w:i/>
                <w:iCs/>
              </w:rPr>
            </w:pPr>
            <w:r w:rsidRPr="00014C3A">
              <w:rPr>
                <w:i/>
                <w:iCs/>
              </w:rPr>
              <w:t>Location</w:t>
            </w:r>
          </w:p>
        </w:tc>
        <w:tc>
          <w:tcPr>
            <w:tcW w:w="4573" w:type="dxa"/>
            <w:gridSpan w:val="3"/>
          </w:tcPr>
          <w:p w14:paraId="09A95E61" w14:textId="77777777" w:rsidR="00460759" w:rsidRPr="00014C3A" w:rsidRDefault="00460759" w:rsidP="00F36908">
            <w:pPr>
              <w:pStyle w:val="SDMTableBoxParaNotNumbered"/>
              <w:spacing w:before="60" w:after="60"/>
            </w:pPr>
            <w:r w:rsidRPr="00014C3A">
              <w:t>N/A</w:t>
            </w:r>
          </w:p>
        </w:tc>
      </w:tr>
      <w:tr w:rsidR="00460759" w:rsidRPr="00C87E19" w14:paraId="35108C16" w14:textId="77777777" w:rsidTr="009F15A7">
        <w:trPr>
          <w:trHeight w:val="300"/>
        </w:trPr>
        <w:tc>
          <w:tcPr>
            <w:tcW w:w="2419" w:type="dxa"/>
            <w:shd w:val="clear" w:color="auto" w:fill="D9D9D9" w:themeFill="background1" w:themeFillShade="D9"/>
          </w:tcPr>
          <w:p w14:paraId="402AE59A" w14:textId="77777777" w:rsidR="00460759" w:rsidRPr="00917C78" w:rsidRDefault="00460759" w:rsidP="00F36908">
            <w:pPr>
              <w:pStyle w:val="SDMTableBoxParaNotNumbered"/>
              <w:spacing w:before="60" w:after="60"/>
            </w:pPr>
            <w:r w:rsidRPr="00917C78">
              <w:t>QA/QC procedures</w:t>
            </w:r>
          </w:p>
        </w:tc>
        <w:tc>
          <w:tcPr>
            <w:tcW w:w="6110" w:type="dxa"/>
            <w:gridSpan w:val="4"/>
          </w:tcPr>
          <w:p w14:paraId="48B724EE" w14:textId="78ED848B" w:rsidR="00460759" w:rsidRPr="00917C78" w:rsidRDefault="00460759" w:rsidP="00F36908">
            <w:pPr>
              <w:pStyle w:val="SDMTableBoxParaNotNumbered"/>
              <w:spacing w:before="60" w:after="60"/>
            </w:pPr>
            <w:r>
              <w:t xml:space="preserve">The laboratories in </w:t>
            </w:r>
            <w:r w:rsidR="002413AE">
              <w:t>option</w:t>
            </w:r>
            <w:r w:rsidR="00923E7B">
              <w:t> </w:t>
            </w:r>
            <w:r w:rsidR="002413AE">
              <w:t>1</w:t>
            </w:r>
            <w:r>
              <w:t xml:space="preserve"> or </w:t>
            </w:r>
            <w:r w:rsidR="002413AE">
              <w:t>option</w:t>
            </w:r>
            <w:r w:rsidR="00923E7B">
              <w:t> </w:t>
            </w:r>
            <w:r w:rsidR="002413AE">
              <w:t>2</w:t>
            </w:r>
            <w:r>
              <w:t xml:space="preserve"> </w:t>
            </w:r>
            <w:r w:rsidR="002413AE">
              <w:t>shall</w:t>
            </w:r>
            <w:r>
              <w:t xml:space="preserve"> have ISO17025 accreditation or </w:t>
            </w:r>
            <w:r w:rsidR="002413AE">
              <w:t xml:space="preserve">shall </w:t>
            </w:r>
            <w:r>
              <w:t xml:space="preserve">justify </w:t>
            </w:r>
            <w:r w:rsidR="00E72E71">
              <w:t>compliance</w:t>
            </w:r>
            <w:r w:rsidR="00A76AB5">
              <w:t xml:space="preserve"> </w:t>
            </w:r>
            <w:r>
              <w:t xml:space="preserve">with </w:t>
            </w:r>
            <w:r w:rsidR="00A76AB5">
              <w:t xml:space="preserve">equivalent </w:t>
            </w:r>
            <w:r>
              <w:t>quality standards</w:t>
            </w:r>
          </w:p>
        </w:tc>
      </w:tr>
      <w:tr w:rsidR="00460759" w:rsidRPr="00C87E19" w14:paraId="605C4C0D" w14:textId="77777777" w:rsidTr="009F15A7">
        <w:trPr>
          <w:trHeight w:val="300"/>
        </w:trPr>
        <w:tc>
          <w:tcPr>
            <w:tcW w:w="2419" w:type="dxa"/>
            <w:shd w:val="clear" w:color="auto" w:fill="D9D9D9" w:themeFill="background1" w:themeFillShade="D9"/>
          </w:tcPr>
          <w:p w14:paraId="56DB08B9" w14:textId="77777777" w:rsidR="00460759" w:rsidRPr="00D1376F" w:rsidRDefault="00460759" w:rsidP="0038031D">
            <w:pPr>
              <w:pStyle w:val="SDMTableBoxParaNotNumbered"/>
              <w:keepNext/>
              <w:spacing w:before="60" w:after="60"/>
            </w:pPr>
            <w:r w:rsidRPr="00D1376F">
              <w:t>Treatment of uncertaint</w:t>
            </w:r>
            <w:r>
              <w:t>ies</w:t>
            </w:r>
          </w:p>
        </w:tc>
        <w:tc>
          <w:tcPr>
            <w:tcW w:w="6110" w:type="dxa"/>
            <w:gridSpan w:val="4"/>
          </w:tcPr>
          <w:p w14:paraId="2BEA8E28" w14:textId="3568B8FE" w:rsidR="00460759" w:rsidRPr="00C87E19" w:rsidRDefault="76346BAB" w:rsidP="0038031D">
            <w:pPr>
              <w:pStyle w:val="SDMTableBoxParaNotNumbered"/>
              <w:keepNext/>
              <w:spacing w:before="60" w:after="60"/>
              <w:rPr>
                <w:highlight w:val="yellow"/>
              </w:rPr>
            </w:pPr>
            <w:r>
              <w:t xml:space="preserve">Verify </w:t>
            </w:r>
            <w:r w:rsidR="00EE5565">
              <w:t xml:space="preserve">whether </w:t>
            </w:r>
            <w:r>
              <w:t xml:space="preserve">the values under </w:t>
            </w:r>
            <w:r w:rsidR="00097EC7">
              <w:t xml:space="preserve">options </w:t>
            </w:r>
            <w:r>
              <w:t xml:space="preserve">1, 2 and 3 </w:t>
            </w:r>
            <w:r w:rsidR="00EE5565">
              <w:t xml:space="preserve">fall </w:t>
            </w:r>
            <w:r>
              <w:t>within the uncertainty range of the IPCC default values as provided in Table 1.2, Vol.</w:t>
            </w:r>
            <w:r w:rsidR="00923E7B">
              <w:t> </w:t>
            </w:r>
            <w:r>
              <w:t xml:space="preserve">2 of the 2019 Refinement to the 2006 IPCC Guidelines. If the values fall </w:t>
            </w:r>
            <w:r w:rsidR="00674AB5">
              <w:t xml:space="preserve">outside of </w:t>
            </w:r>
            <w:r>
              <w:t>this range</w:t>
            </w:r>
            <w:r w:rsidR="00674AB5">
              <w:t>,</w:t>
            </w:r>
            <w:r>
              <w:t xml:space="preserve"> collect additional information from the testing laboratory to justify the outcome or </w:t>
            </w:r>
            <w:r w:rsidR="00B042CB">
              <w:t xml:space="preserve">conduct </w:t>
            </w:r>
            <w:r>
              <w:t>additional measurements</w:t>
            </w:r>
          </w:p>
        </w:tc>
      </w:tr>
      <w:tr w:rsidR="00460759" w:rsidRPr="00131981" w14:paraId="73FB1E96" w14:textId="77777777" w:rsidTr="009F15A7">
        <w:trPr>
          <w:trHeight w:val="300"/>
        </w:trPr>
        <w:tc>
          <w:tcPr>
            <w:tcW w:w="2419" w:type="dxa"/>
            <w:shd w:val="clear" w:color="auto" w:fill="D9D9D9" w:themeFill="background1" w:themeFillShade="D9"/>
          </w:tcPr>
          <w:p w14:paraId="4FDE7F6A" w14:textId="77777777" w:rsidR="00460759" w:rsidRPr="00D1376F" w:rsidRDefault="00460759" w:rsidP="00F36908">
            <w:pPr>
              <w:pStyle w:val="SDMTableBoxParaNotNumbered"/>
              <w:spacing w:before="60" w:after="60"/>
            </w:pPr>
            <w:r w:rsidRPr="00D1376F">
              <w:t>Additional comment</w:t>
            </w:r>
          </w:p>
        </w:tc>
        <w:tc>
          <w:tcPr>
            <w:tcW w:w="6110" w:type="dxa"/>
            <w:gridSpan w:val="4"/>
          </w:tcPr>
          <w:p w14:paraId="25CAE68B" w14:textId="1BDE92FC" w:rsidR="00460759" w:rsidRPr="00131981" w:rsidRDefault="7C8867F4" w:rsidP="00F36908">
            <w:pPr>
              <w:pStyle w:val="SDMTableBoxParaNotNumbered"/>
              <w:spacing w:before="60" w:after="60"/>
            </w:pPr>
            <w:r>
              <w:t xml:space="preserve">For Article 6.4 activities under </w:t>
            </w:r>
            <w:r w:rsidR="74C40274">
              <w:t>s</w:t>
            </w:r>
            <w:r w:rsidR="5EDE2B15">
              <w:t>cenario</w:t>
            </w:r>
            <w:r w:rsidR="27F44121">
              <w:t> </w:t>
            </w:r>
            <w:r w:rsidDel="00103E0F">
              <w:t>A</w:t>
            </w:r>
            <w:r w:rsidR="3D2CB900">
              <w:t xml:space="preserve"> </w:t>
            </w:r>
            <w:r>
              <w:t xml:space="preserve">or </w:t>
            </w:r>
            <w:r w:rsidR="74C40274">
              <w:t>s</w:t>
            </w:r>
            <w:r w:rsidR="268F7496">
              <w:t>cenario</w:t>
            </w:r>
            <w:r w:rsidR="27F44121">
              <w:t> </w:t>
            </w:r>
            <w:r>
              <w:t xml:space="preserve">C, this parameter </w:t>
            </w:r>
            <w:r w:rsidR="268F7496">
              <w:t>shall</w:t>
            </w:r>
            <w:r>
              <w:t xml:space="preserve"> be updated </w:t>
            </w:r>
            <w:r w:rsidR="3D2CB900">
              <w:t xml:space="preserve">in accordance with the provisions in section </w:t>
            </w:r>
            <w:r w:rsidR="00401D3E">
              <w:fldChar w:fldCharType="begin"/>
            </w:r>
            <w:r w:rsidR="00401D3E">
              <w:instrText xml:space="preserve"> REF _Ref219921825 \n \h </w:instrText>
            </w:r>
            <w:r w:rsidR="00F36908">
              <w:instrText xml:space="preserve"> \* MERGEFORMAT </w:instrText>
            </w:r>
            <w:r w:rsidR="00401D3E">
              <w:fldChar w:fldCharType="separate"/>
            </w:r>
            <w:r w:rsidR="003B0135">
              <w:rPr>
                <w:cs/>
              </w:rPr>
              <w:t>‎</w:t>
            </w:r>
            <w:r w:rsidR="003B0135">
              <w:t>5.7.1.2</w:t>
            </w:r>
            <w:r w:rsidR="00401D3E">
              <w:fldChar w:fldCharType="end"/>
            </w:r>
            <w:r w:rsidR="3D2CB900">
              <w:t xml:space="preserve"> </w:t>
            </w:r>
            <w:r>
              <w:t>at the renewal of the crediting period if activity participants cho</w:t>
            </w:r>
            <w:r w:rsidR="268F7496">
              <w:t>o</w:t>
            </w:r>
            <w:r>
              <w:t xml:space="preserve">se to determine </w:t>
            </w:r>
            <w:r w:rsidR="268F7496">
              <w:t xml:space="preserve">the </w:t>
            </w:r>
            <w:r>
              <w:t xml:space="preserve">OM </w:t>
            </w:r>
            <w:r w:rsidR="268F7496">
              <w:t xml:space="preserve">emission factor </w:t>
            </w:r>
            <w:r>
              <w:t>ex</w:t>
            </w:r>
            <w:r w:rsidR="77D6FB37">
              <w:t>-</w:t>
            </w:r>
            <w:r>
              <w:t>ante</w:t>
            </w:r>
          </w:p>
        </w:tc>
      </w:tr>
    </w:tbl>
    <w:p w14:paraId="03D15443" w14:textId="68F43368" w:rsidR="00925217" w:rsidRDefault="00925217" w:rsidP="00F32C6C">
      <w:pPr>
        <w:pStyle w:val="Caption"/>
      </w:pPr>
      <w:r>
        <w:t>Data / Parameter table</w:t>
      </w:r>
      <w:r w:rsidR="004C17BF">
        <w:t> </w:t>
      </w:r>
      <w:r>
        <w:fldChar w:fldCharType="begin"/>
      </w:r>
      <w:r>
        <w:instrText>SEQ Data_/_Parameter_table \* ARABIC</w:instrText>
      </w:r>
      <w:r>
        <w:fldChar w:fldCharType="separate"/>
      </w:r>
      <w:r w:rsidR="003B0135">
        <w:rPr>
          <w:noProof/>
        </w:rPr>
        <w:t>5</w:t>
      </w:r>
      <w:r>
        <w:fldChar w:fldCharType="end"/>
      </w:r>
      <w:r>
        <w:t>.</w:t>
      </w:r>
    </w:p>
    <w:tbl>
      <w:tblPr>
        <w:tblStyle w:val="TableGrid"/>
        <w:tblW w:w="8618" w:type="dxa"/>
        <w:tblInd w:w="8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7"/>
        <w:gridCol w:w="1584"/>
        <w:gridCol w:w="632"/>
        <w:gridCol w:w="1983"/>
        <w:gridCol w:w="1982"/>
      </w:tblGrid>
      <w:tr w:rsidR="00925217" w:rsidRPr="00AE7BE8" w14:paraId="524F974F" w14:textId="77777777" w:rsidTr="009F15A7">
        <w:trPr>
          <w:trHeight w:val="300"/>
        </w:trPr>
        <w:tc>
          <w:tcPr>
            <w:tcW w:w="2411" w:type="dxa"/>
            <w:shd w:val="clear" w:color="auto" w:fill="D9D9D9" w:themeFill="background1" w:themeFillShade="D9"/>
          </w:tcPr>
          <w:p w14:paraId="109A33E2" w14:textId="77777777" w:rsidR="00925217" w:rsidRPr="00AE7BE8" w:rsidRDefault="00925217" w:rsidP="00F36908">
            <w:pPr>
              <w:pStyle w:val="SDMTableBoxParaNotNumbered"/>
              <w:keepNext/>
              <w:spacing w:before="60" w:after="60"/>
            </w:pPr>
            <w:r w:rsidRPr="00AE7BE8">
              <w:t>Data/parameter</w:t>
            </w:r>
          </w:p>
        </w:tc>
        <w:tc>
          <w:tcPr>
            <w:tcW w:w="6118" w:type="dxa"/>
            <w:gridSpan w:val="4"/>
          </w:tcPr>
          <w:p w14:paraId="06C518A8" w14:textId="77777777" w:rsidR="00925217" w:rsidRPr="00AD2370" w:rsidRDefault="003F6646" w:rsidP="00F36908">
            <w:pPr>
              <w:pStyle w:val="SDMTableBoxParaNotNumbered"/>
              <w:keepNext/>
              <w:spacing w:before="60" w:after="60"/>
              <w:rPr>
                <w:i/>
                <w:highlight w:val="yellow"/>
              </w:rPr>
            </w:pPr>
            <m:oMathPara>
              <m:oMathParaPr>
                <m:jc m:val="left"/>
              </m:oMathParaPr>
              <m:oMath>
                <m:sSub>
                  <m:sSubPr>
                    <m:ctrlPr>
                      <w:rPr>
                        <w:rFonts w:ascii="Cambria Math" w:hAnsi="Cambria Math"/>
                        <w:b/>
                        <w:bCs/>
                        <w:i/>
                      </w:rPr>
                    </m:ctrlPr>
                  </m:sSubPr>
                  <m:e>
                    <m:r>
                      <m:rPr>
                        <m:sty m:val="bi"/>
                      </m:rPr>
                      <w:rPr>
                        <w:rFonts w:ascii="Cambria Math" w:hAnsi="Cambria Math"/>
                      </w:rPr>
                      <m:t>EF</m:t>
                    </m:r>
                  </m:e>
                  <m:sub>
                    <m:r>
                      <m:rPr>
                        <m:sty m:val="bi"/>
                      </m:rPr>
                      <w:rPr>
                        <w:rFonts w:ascii="Cambria Math" w:hAnsi="Cambria Math"/>
                      </w:rPr>
                      <m:t>CO</m:t>
                    </m:r>
                    <m:r>
                      <m:rPr>
                        <m:sty m:val="bi"/>
                      </m:rPr>
                      <w:rPr>
                        <w:rFonts w:ascii="Cambria Math" w:hAnsi="Cambria Math"/>
                      </w:rPr>
                      <m:t>2,i,t</m:t>
                    </m:r>
                  </m:sub>
                </m:sSub>
              </m:oMath>
            </m:oMathPara>
          </w:p>
        </w:tc>
      </w:tr>
      <w:tr w:rsidR="00925217" w:rsidRPr="00AE7BE8" w14:paraId="3741C2E5" w14:textId="77777777" w:rsidTr="009F15A7">
        <w:trPr>
          <w:trHeight w:val="300"/>
        </w:trPr>
        <w:tc>
          <w:tcPr>
            <w:tcW w:w="2411" w:type="dxa"/>
            <w:shd w:val="clear" w:color="auto" w:fill="D9D9D9" w:themeFill="background1" w:themeFillShade="D9"/>
          </w:tcPr>
          <w:p w14:paraId="526C86F8" w14:textId="77777777" w:rsidR="00925217" w:rsidRPr="00AE7BE8" w:rsidRDefault="00925217" w:rsidP="00F36908">
            <w:pPr>
              <w:pStyle w:val="SDMTableBoxParaNotNumbered"/>
              <w:spacing w:before="60" w:after="60"/>
            </w:pPr>
            <w:r w:rsidRPr="00AE7BE8">
              <w:t>Description</w:t>
            </w:r>
          </w:p>
        </w:tc>
        <w:tc>
          <w:tcPr>
            <w:tcW w:w="6118" w:type="dxa"/>
            <w:gridSpan w:val="4"/>
          </w:tcPr>
          <w:p w14:paraId="2882A6B2" w14:textId="77777777" w:rsidR="00925217" w:rsidRPr="004C6225" w:rsidRDefault="00925217" w:rsidP="00F36908">
            <w:pPr>
              <w:pStyle w:val="SDMTableBoxParaNotNumbered"/>
              <w:spacing w:before="60" w:after="60"/>
              <w:rPr>
                <w:i/>
              </w:rPr>
            </w:pPr>
            <w:r>
              <w:t>CO</w:t>
            </w:r>
            <w:r w:rsidRPr="002E4813">
              <w:rPr>
                <w:vertAlign w:val="subscript"/>
              </w:rPr>
              <w:t>2</w:t>
            </w:r>
            <w:r>
              <w:t xml:space="preserve"> emission factor of fuel type </w:t>
            </w:r>
            <w:r w:rsidRPr="002E4813">
              <w:rPr>
                <w:i/>
                <w:iCs/>
              </w:rPr>
              <w:t>i</w:t>
            </w:r>
            <w:r>
              <w:t xml:space="preserve"> in period</w:t>
            </w:r>
            <w:r w:rsidR="00B141B0">
              <w:t> </w:t>
            </w:r>
            <w:r>
              <w:rPr>
                <w:i/>
                <w:iCs/>
              </w:rPr>
              <w:t>t</w:t>
            </w:r>
          </w:p>
        </w:tc>
      </w:tr>
      <w:tr w:rsidR="00925217" w:rsidRPr="00AE7BE8" w14:paraId="03C08AA0" w14:textId="77777777" w:rsidTr="009F15A7">
        <w:trPr>
          <w:trHeight w:val="300"/>
        </w:trPr>
        <w:tc>
          <w:tcPr>
            <w:tcW w:w="2411" w:type="dxa"/>
            <w:shd w:val="clear" w:color="auto" w:fill="D9D9D9" w:themeFill="background1" w:themeFillShade="D9"/>
          </w:tcPr>
          <w:p w14:paraId="70DEA8ED" w14:textId="77777777" w:rsidR="00925217" w:rsidRPr="00AE7BE8" w:rsidRDefault="00925217" w:rsidP="00F36908">
            <w:pPr>
              <w:pStyle w:val="SDMTableBoxParaNotNumbered"/>
              <w:spacing w:before="60" w:after="60"/>
            </w:pPr>
            <w:r w:rsidRPr="00AE7BE8">
              <w:t>Data unit</w:t>
            </w:r>
          </w:p>
        </w:tc>
        <w:tc>
          <w:tcPr>
            <w:tcW w:w="6118" w:type="dxa"/>
            <w:gridSpan w:val="4"/>
          </w:tcPr>
          <w:p w14:paraId="29036EDB" w14:textId="3F9C61D6" w:rsidR="00925217" w:rsidRPr="004C6225" w:rsidRDefault="12865A3D" w:rsidP="00F36908">
            <w:pPr>
              <w:pStyle w:val="SDMTableBoxParaNotNumbered"/>
              <w:spacing w:before="60" w:after="60"/>
            </w:pPr>
            <w:r>
              <w:t>t</w:t>
            </w:r>
            <w:r w:rsidR="004C17BF">
              <w:t> </w:t>
            </w:r>
            <w:r>
              <w:t>CO</w:t>
            </w:r>
            <w:r w:rsidRPr="6BB59D32">
              <w:rPr>
                <w:vertAlign w:val="subscript"/>
              </w:rPr>
              <w:t>2</w:t>
            </w:r>
            <w:r>
              <w:t>/GJ</w:t>
            </w:r>
          </w:p>
        </w:tc>
      </w:tr>
      <w:tr w:rsidR="00925217" w:rsidRPr="00AE7BE8" w14:paraId="4B7AD4F3" w14:textId="77777777" w:rsidTr="009F15A7">
        <w:trPr>
          <w:trHeight w:val="300"/>
        </w:trPr>
        <w:tc>
          <w:tcPr>
            <w:tcW w:w="2411" w:type="dxa"/>
            <w:shd w:val="clear" w:color="auto" w:fill="D9D9D9" w:themeFill="background1" w:themeFillShade="D9"/>
          </w:tcPr>
          <w:p w14:paraId="0C92BF0C" w14:textId="77777777" w:rsidR="00925217" w:rsidRPr="00AE7BE8" w:rsidRDefault="00925217" w:rsidP="00F36908">
            <w:pPr>
              <w:pStyle w:val="SDMTableBoxParaNotNumbered"/>
              <w:spacing w:before="60" w:after="60"/>
            </w:pPr>
            <w:r w:rsidRPr="00AE7BE8">
              <w:t>Equations referred</w:t>
            </w:r>
          </w:p>
        </w:tc>
        <w:tc>
          <w:tcPr>
            <w:tcW w:w="6118" w:type="dxa"/>
            <w:gridSpan w:val="4"/>
            <w:tcBorders>
              <w:bottom w:val="single" w:sz="4" w:space="0" w:color="auto"/>
            </w:tcBorders>
          </w:tcPr>
          <w:p w14:paraId="74B7D532" w14:textId="77777777" w:rsidR="00925217" w:rsidRPr="004C6225" w:rsidRDefault="00925217" w:rsidP="00F36908">
            <w:pPr>
              <w:pStyle w:val="SDMTableBoxParaNotNumbered"/>
              <w:spacing w:before="60" w:after="60"/>
            </w:pPr>
          </w:p>
        </w:tc>
      </w:tr>
      <w:tr w:rsidR="00B60137" w:rsidRPr="00131981" w14:paraId="27DA017F" w14:textId="77777777" w:rsidTr="009F15A7">
        <w:trPr>
          <w:trHeight w:val="300"/>
        </w:trPr>
        <w:tc>
          <w:tcPr>
            <w:tcW w:w="2411" w:type="dxa"/>
            <w:tcBorders>
              <w:right w:val="single" w:sz="4" w:space="0" w:color="auto"/>
            </w:tcBorders>
            <w:shd w:val="clear" w:color="auto" w:fill="D9D9D9" w:themeFill="background1" w:themeFillShade="D9"/>
          </w:tcPr>
          <w:p w14:paraId="41EE977E" w14:textId="77777777" w:rsidR="00B60137" w:rsidRPr="00131981" w:rsidRDefault="00B60137" w:rsidP="00B60137">
            <w:pPr>
              <w:pStyle w:val="SDMTableBoxParaNotNumbered"/>
              <w:spacing w:before="60" w:after="60"/>
            </w:pPr>
            <w:r w:rsidRPr="00131981">
              <w:t>Purpose of data</w:t>
            </w:r>
          </w:p>
        </w:tc>
        <w:tc>
          <w:tcPr>
            <w:tcW w:w="2193" w:type="dxa"/>
            <w:gridSpan w:val="2"/>
            <w:tcBorders>
              <w:left w:val="single" w:sz="4" w:space="0" w:color="auto"/>
              <w:right w:val="nil"/>
            </w:tcBorders>
          </w:tcPr>
          <w:p w14:paraId="7936957C" w14:textId="0EE36F31" w:rsidR="00B60137" w:rsidRPr="00780E96" w:rsidRDefault="00B60137" w:rsidP="00B60137">
            <w:pPr>
              <w:pStyle w:val="SDMTableBoxParaNotNumbered"/>
              <w:spacing w:before="60" w:after="60"/>
              <w:rPr>
                <w:rFonts w:eastAsia="MS Mincho"/>
                <w:lang w:eastAsia="ja-JP"/>
              </w:rPr>
            </w:pPr>
            <w:r w:rsidRPr="00780E96">
              <w:rPr>
                <w:rFonts w:asciiTheme="minorBidi" w:hAnsiTheme="minorBidi" w:cstheme="minorBidi"/>
                <w:shd w:val="clear" w:color="auto" w:fill="E6E6E6"/>
              </w:rPr>
              <w:fldChar w:fldCharType="begin">
                <w:ffData>
                  <w:name w:val=""/>
                  <w:enabled/>
                  <w:calcOnExit w:val="0"/>
                  <w:checkBox>
                    <w:size w:val="20"/>
                    <w:default w:val="1"/>
                  </w:checkBox>
                </w:ffData>
              </w:fldChar>
            </w:r>
            <w:r w:rsidRPr="00780E96">
              <w:rPr>
                <w:rFonts w:asciiTheme="minorBidi" w:hAnsiTheme="minorBidi" w:cstheme="minorBidi"/>
                <w:shd w:val="clear" w:color="auto" w:fill="E6E6E6"/>
              </w:rPr>
              <w:instrText xml:space="preserve"> FORMCHECKBOX </w:instrText>
            </w:r>
            <w:r w:rsidRPr="00780E96">
              <w:rPr>
                <w:rFonts w:asciiTheme="minorBidi" w:hAnsiTheme="minorBidi" w:cstheme="minorBidi"/>
                <w:shd w:val="clear" w:color="auto" w:fill="E6E6E6"/>
              </w:rPr>
            </w:r>
            <w:r w:rsidRPr="00780E96">
              <w:rPr>
                <w:rFonts w:asciiTheme="minorBidi" w:hAnsiTheme="minorBidi" w:cstheme="minorBidi"/>
                <w:shd w:val="clear" w:color="auto" w:fill="E6E6E6"/>
              </w:rPr>
              <w:fldChar w:fldCharType="separate"/>
            </w:r>
            <w:r w:rsidRPr="00780E96">
              <w:rPr>
                <w:rFonts w:asciiTheme="minorBidi" w:hAnsiTheme="minorBidi" w:cstheme="minorBidi"/>
                <w:shd w:val="clear" w:color="auto" w:fill="E6E6E6"/>
              </w:rPr>
              <w:fldChar w:fldCharType="end"/>
            </w:r>
            <w:r w:rsidRPr="00780E96">
              <w:rPr>
                <w:rFonts w:asciiTheme="minorBidi" w:hAnsiTheme="minorBidi" w:cstheme="minorBidi"/>
                <w:shd w:val="clear" w:color="auto" w:fill="E6E6E6"/>
              </w:rPr>
              <w:t xml:space="preserve"> </w:t>
            </w:r>
            <w:r w:rsidRPr="00780E96">
              <w:rPr>
                <w:rFonts w:asciiTheme="minorBidi" w:hAnsiTheme="minorBidi" w:cstheme="minorBidi"/>
              </w:rPr>
              <w:t xml:space="preserve">Baseline </w:t>
            </w:r>
            <w:r w:rsidR="00461FEF" w:rsidRPr="00780E96">
              <w:rPr>
                <w:rFonts w:asciiTheme="minorBidi" w:eastAsia="MS Mincho" w:hAnsiTheme="minorBidi" w:cstheme="minorBidi" w:hint="eastAsia"/>
                <w:lang w:eastAsia="ja-JP"/>
              </w:rPr>
              <w:t>Scenario</w:t>
            </w:r>
          </w:p>
        </w:tc>
        <w:tc>
          <w:tcPr>
            <w:tcW w:w="1963" w:type="dxa"/>
            <w:tcBorders>
              <w:left w:val="nil"/>
              <w:right w:val="nil"/>
            </w:tcBorders>
          </w:tcPr>
          <w:p w14:paraId="3E11B8A6" w14:textId="44B99D58" w:rsidR="00B60137" w:rsidRPr="00780E96" w:rsidRDefault="00B60137" w:rsidP="00B60137">
            <w:pPr>
              <w:pStyle w:val="SDMTableBoxParaNotNumbered"/>
              <w:spacing w:before="60" w:after="60"/>
              <w:rPr>
                <w:rFonts w:eastAsia="MS Mincho"/>
                <w:lang w:eastAsia="ja-JP"/>
              </w:rPr>
            </w:pPr>
            <w:r w:rsidRPr="00780E96">
              <w:rPr>
                <w:rFonts w:asciiTheme="minorBidi" w:hAnsiTheme="minorBidi" w:cstheme="minorBidi"/>
                <w:shd w:val="clear" w:color="auto" w:fill="E6E6E6"/>
              </w:rPr>
              <w:fldChar w:fldCharType="begin">
                <w:ffData>
                  <w:name w:val=""/>
                  <w:enabled/>
                  <w:calcOnExit w:val="0"/>
                  <w:checkBox>
                    <w:size w:val="20"/>
                    <w:default w:val="1"/>
                  </w:checkBox>
                </w:ffData>
              </w:fldChar>
            </w:r>
            <w:r w:rsidRPr="00780E96">
              <w:rPr>
                <w:rFonts w:asciiTheme="minorBidi" w:hAnsiTheme="minorBidi" w:cstheme="minorBidi"/>
                <w:shd w:val="clear" w:color="auto" w:fill="E6E6E6"/>
              </w:rPr>
              <w:instrText xml:space="preserve"> FORMCHECKBOX </w:instrText>
            </w:r>
            <w:r w:rsidRPr="00780E96">
              <w:rPr>
                <w:rFonts w:asciiTheme="minorBidi" w:hAnsiTheme="minorBidi" w:cstheme="minorBidi"/>
                <w:shd w:val="clear" w:color="auto" w:fill="E6E6E6"/>
              </w:rPr>
            </w:r>
            <w:r w:rsidRPr="00780E96">
              <w:rPr>
                <w:rFonts w:asciiTheme="minorBidi" w:hAnsiTheme="minorBidi" w:cstheme="minorBidi"/>
                <w:shd w:val="clear" w:color="auto" w:fill="E6E6E6"/>
              </w:rPr>
              <w:fldChar w:fldCharType="separate"/>
            </w:r>
            <w:r w:rsidRPr="00780E96">
              <w:rPr>
                <w:rFonts w:asciiTheme="minorBidi" w:hAnsiTheme="minorBidi" w:cstheme="minorBidi"/>
                <w:shd w:val="clear" w:color="auto" w:fill="E6E6E6"/>
              </w:rPr>
              <w:fldChar w:fldCharType="end"/>
            </w:r>
            <w:r w:rsidRPr="00780E96">
              <w:rPr>
                <w:rFonts w:asciiTheme="minorBidi" w:hAnsiTheme="minorBidi" w:cstheme="minorBidi"/>
              </w:rPr>
              <w:fldChar w:fldCharType="begin"/>
            </w:r>
            <w:r w:rsidRPr="00780E96">
              <w:rPr>
                <w:rFonts w:asciiTheme="minorBidi" w:hAnsiTheme="minorBidi" w:cstheme="minorBidi"/>
              </w:rPr>
              <w:instrText xml:space="preserve"> FORMCHECKBOX </w:instrText>
            </w:r>
            <w:r w:rsidRPr="00780E96">
              <w:rPr>
                <w:rFonts w:asciiTheme="minorBidi" w:hAnsiTheme="minorBidi" w:cstheme="minorBidi"/>
              </w:rPr>
              <w:fldChar w:fldCharType="separate"/>
            </w:r>
            <w:r w:rsidRPr="00780E96">
              <w:rPr>
                <w:rFonts w:asciiTheme="minorBidi" w:hAnsiTheme="minorBidi" w:cstheme="minorBidi"/>
              </w:rPr>
              <w:fldChar w:fldCharType="end"/>
            </w:r>
            <w:r w:rsidRPr="00780E96">
              <w:rPr>
                <w:rFonts w:asciiTheme="minorBidi" w:hAnsiTheme="minorBidi" w:cstheme="minorBidi"/>
              </w:rPr>
              <w:t xml:space="preserve"> </w:t>
            </w:r>
            <w:r w:rsidRPr="00780E96">
              <w:rPr>
                <w:rFonts w:asciiTheme="minorBidi" w:eastAsia="MS Mincho" w:hAnsiTheme="minorBidi" w:cstheme="minorBidi"/>
                <w:lang w:eastAsia="ja-JP"/>
              </w:rPr>
              <w:t>Activity</w:t>
            </w:r>
            <w:r w:rsidRPr="00780E96">
              <w:rPr>
                <w:rFonts w:asciiTheme="minorBidi" w:eastAsia="MS Mincho" w:hAnsiTheme="minorBidi" w:cstheme="minorBidi" w:hint="eastAsia"/>
                <w:lang w:eastAsia="ja-JP"/>
              </w:rPr>
              <w:t xml:space="preserve"> </w:t>
            </w:r>
            <w:r w:rsidR="00461FEF" w:rsidRPr="00780E96">
              <w:rPr>
                <w:rFonts w:asciiTheme="minorBidi" w:eastAsia="MS Mincho" w:hAnsiTheme="minorBidi" w:cstheme="minorBidi" w:hint="eastAsia"/>
                <w:lang w:eastAsia="ja-JP"/>
              </w:rPr>
              <w:t>Scenario</w:t>
            </w:r>
          </w:p>
        </w:tc>
        <w:tc>
          <w:tcPr>
            <w:tcW w:w="1962" w:type="dxa"/>
            <w:tcBorders>
              <w:left w:val="nil"/>
            </w:tcBorders>
          </w:tcPr>
          <w:p w14:paraId="48E582DC" w14:textId="57BCE1FD" w:rsidR="00B60137" w:rsidRPr="007D099B" w:rsidRDefault="00B60137" w:rsidP="00B60137">
            <w:pPr>
              <w:pStyle w:val="SDMTableBoxParaNotNumbered"/>
              <w:spacing w:before="60" w:after="60"/>
              <w:rPr>
                <w:rFonts w:eastAsia="MS Mincho"/>
                <w:lang w:eastAsia="ja-JP"/>
              </w:rPr>
            </w:pPr>
            <w:r w:rsidRPr="005D7E1B">
              <w:rPr>
                <w:rFonts w:asciiTheme="minorBidi" w:hAnsiTheme="minorBidi" w:cstheme="minorBidi"/>
                <w:shd w:val="clear" w:color="auto" w:fill="E6E6E6"/>
              </w:rPr>
              <w:fldChar w:fldCharType="begin">
                <w:ffData>
                  <w:name w:val=""/>
                  <w:enabled/>
                  <w:calcOnExit w:val="0"/>
                  <w:checkBox>
                    <w:size w:val="20"/>
                    <w:default w:val="1"/>
                  </w:checkBox>
                </w:ffData>
              </w:fldChar>
            </w:r>
            <w:r w:rsidRPr="005D7E1B">
              <w:rPr>
                <w:rFonts w:asciiTheme="minorBidi" w:hAnsiTheme="minorBidi" w:cstheme="minorBidi"/>
                <w:shd w:val="clear" w:color="auto" w:fill="E6E6E6"/>
              </w:rPr>
              <w:instrText xml:space="preserve"> FORMCHECKBOX </w:instrText>
            </w:r>
            <w:r w:rsidRPr="005D7E1B">
              <w:rPr>
                <w:rFonts w:asciiTheme="minorBidi" w:hAnsiTheme="minorBidi" w:cstheme="minorBidi"/>
                <w:shd w:val="clear" w:color="auto" w:fill="E6E6E6"/>
              </w:rPr>
            </w:r>
            <w:r w:rsidRPr="005D7E1B">
              <w:rPr>
                <w:rFonts w:asciiTheme="minorBidi" w:hAnsiTheme="minorBidi" w:cstheme="minorBidi"/>
                <w:shd w:val="clear" w:color="auto" w:fill="E6E6E6"/>
              </w:rPr>
              <w:fldChar w:fldCharType="separate"/>
            </w:r>
            <w:r w:rsidRPr="005D7E1B">
              <w:rPr>
                <w:rFonts w:asciiTheme="minorBidi" w:hAnsiTheme="minorBidi" w:cstheme="minorBidi"/>
                <w:shd w:val="clear" w:color="auto" w:fill="E6E6E6"/>
              </w:rPr>
              <w:fldChar w:fldCharType="end"/>
            </w:r>
            <w:r w:rsidRPr="3161B3F5">
              <w:rPr>
                <w:rFonts w:asciiTheme="minorBidi" w:hAnsiTheme="minorBidi" w:cstheme="minorBidi"/>
              </w:rPr>
              <w:fldChar w:fldCharType="begin"/>
            </w:r>
            <w:r w:rsidRPr="3161B3F5">
              <w:rPr>
                <w:rFonts w:asciiTheme="minorBidi" w:hAnsiTheme="minorBidi" w:cstheme="minorBidi"/>
              </w:rPr>
              <w:instrText xml:space="preserve"> FORMCHECKBOX </w:instrText>
            </w:r>
            <w:r w:rsidRPr="3161B3F5">
              <w:rPr>
                <w:rFonts w:asciiTheme="minorBidi" w:hAnsiTheme="minorBidi" w:cstheme="minorBidi"/>
              </w:rPr>
              <w:fldChar w:fldCharType="separate"/>
            </w:r>
            <w:r w:rsidRPr="3161B3F5">
              <w:rPr>
                <w:rFonts w:asciiTheme="minorBidi" w:hAnsiTheme="minorBidi" w:cstheme="minorBidi"/>
              </w:rPr>
              <w:fldChar w:fldCharType="end"/>
            </w:r>
            <w:r w:rsidRPr="005D7E1B">
              <w:rPr>
                <w:rFonts w:asciiTheme="minorBidi" w:hAnsiTheme="minorBidi" w:cstheme="minorBidi"/>
              </w:rPr>
              <w:t xml:space="preserve"> Leakage </w:t>
            </w:r>
          </w:p>
        </w:tc>
      </w:tr>
      <w:tr w:rsidR="00DF58B9" w:rsidRPr="00A17BEE" w14:paraId="62AC6D4F" w14:textId="77777777" w:rsidTr="009F15A7">
        <w:trPr>
          <w:trHeight w:val="300"/>
        </w:trPr>
        <w:tc>
          <w:tcPr>
            <w:tcW w:w="2411" w:type="dxa"/>
            <w:shd w:val="clear" w:color="auto" w:fill="D9D9D9" w:themeFill="background1" w:themeFillShade="D9"/>
          </w:tcPr>
          <w:p w14:paraId="6E274CD8" w14:textId="77777777" w:rsidR="00DF58B9" w:rsidRPr="00A17BEE" w:rsidRDefault="00DF58B9" w:rsidP="00F36908">
            <w:pPr>
              <w:pStyle w:val="SDMTableBoxParaNotNumbered"/>
              <w:spacing w:before="60" w:after="60"/>
            </w:pPr>
            <w:r>
              <w:t>Measurement and updating frequency</w:t>
            </w:r>
          </w:p>
        </w:tc>
        <w:tc>
          <w:tcPr>
            <w:tcW w:w="6118" w:type="dxa"/>
            <w:gridSpan w:val="4"/>
          </w:tcPr>
          <w:p w14:paraId="74BBF978" w14:textId="4AD79722" w:rsidR="00DF58B9" w:rsidRPr="008A6BFA" w:rsidRDefault="00DF58B9" w:rsidP="00F36908">
            <w:pPr>
              <w:pStyle w:val="SDMTableBoxParaNotNumbered"/>
              <w:spacing w:before="60" w:after="60"/>
            </w:pPr>
            <w:r w:rsidRPr="008A6BFA">
              <w:rPr>
                <w:u w:val="single"/>
              </w:rPr>
              <w:t>Option</w:t>
            </w:r>
            <w:r w:rsidR="004C17BF">
              <w:rPr>
                <w:u w:val="single"/>
              </w:rPr>
              <w:t> </w:t>
            </w:r>
            <w:r w:rsidRPr="008A6BFA">
              <w:rPr>
                <w:u w:val="single"/>
              </w:rPr>
              <w:t>1:</w:t>
            </w:r>
            <w:r w:rsidRPr="008A6BFA">
              <w:t xml:space="preserve"> </w:t>
            </w:r>
            <w:r>
              <w:t xml:space="preserve">At </w:t>
            </w:r>
            <w:r w:rsidR="00593924">
              <w:t xml:space="preserve">each </w:t>
            </w:r>
            <w:r>
              <w:t xml:space="preserve">fuel </w:t>
            </w:r>
            <w:r w:rsidR="00E421A6">
              <w:t>delivery</w:t>
            </w:r>
            <w:r w:rsidRPr="008A6BFA">
              <w:t>;</w:t>
            </w:r>
          </w:p>
          <w:p w14:paraId="6A5E6C4C" w14:textId="33DADBBB" w:rsidR="00DF58B9" w:rsidRPr="008A6BFA" w:rsidRDefault="00DF58B9" w:rsidP="00F36908">
            <w:pPr>
              <w:pStyle w:val="SDMTableBoxParaNotNumbered"/>
              <w:spacing w:before="60" w:after="60"/>
            </w:pPr>
            <w:r w:rsidRPr="008A6BFA">
              <w:rPr>
                <w:u w:val="single"/>
              </w:rPr>
              <w:t>Option</w:t>
            </w:r>
            <w:r w:rsidR="004C17BF">
              <w:rPr>
                <w:u w:val="single"/>
              </w:rPr>
              <w:t> </w:t>
            </w:r>
            <w:r w:rsidRPr="008A6BFA">
              <w:rPr>
                <w:u w:val="single"/>
              </w:rPr>
              <w:t>2:</w:t>
            </w:r>
            <w:r w:rsidRPr="008A6BFA">
              <w:t xml:space="preserve"> </w:t>
            </w:r>
            <w:r>
              <w:t xml:space="preserve">At </w:t>
            </w:r>
            <w:r w:rsidR="00593924">
              <w:t xml:space="preserve">each </w:t>
            </w:r>
            <w:r>
              <w:t xml:space="preserve">fuel </w:t>
            </w:r>
            <w:r w:rsidR="00E421A6">
              <w:t>delivery</w:t>
            </w:r>
            <w:r w:rsidRPr="008A6BFA">
              <w:t>;</w:t>
            </w:r>
          </w:p>
          <w:p w14:paraId="436D9B9E" w14:textId="39E490A1" w:rsidR="00DF58B9" w:rsidRPr="008A6BFA" w:rsidRDefault="00DF58B9" w:rsidP="00F36908">
            <w:pPr>
              <w:pStyle w:val="SDMTableBoxParaNotNumbered"/>
              <w:spacing w:before="60" w:after="60"/>
            </w:pPr>
            <w:r w:rsidRPr="008A6BFA">
              <w:rPr>
                <w:u w:val="single"/>
              </w:rPr>
              <w:t>Option</w:t>
            </w:r>
            <w:r w:rsidR="004C17BF">
              <w:rPr>
                <w:u w:val="single"/>
              </w:rPr>
              <w:t> </w:t>
            </w:r>
            <w:r w:rsidRPr="008A6BFA">
              <w:rPr>
                <w:u w:val="single"/>
              </w:rPr>
              <w:t>3:</w:t>
            </w:r>
            <w:r w:rsidRPr="008A6BFA">
              <w:t xml:space="preserve"> </w:t>
            </w:r>
            <w:r>
              <w:t>A</w:t>
            </w:r>
            <w:r w:rsidRPr="008A6BFA">
              <w:t>nnually;</w:t>
            </w:r>
          </w:p>
          <w:p w14:paraId="5EF7C77A" w14:textId="14A62A01" w:rsidR="00DF58B9" w:rsidRPr="00A17BEE" w:rsidRDefault="00DF58B9" w:rsidP="00F36908">
            <w:pPr>
              <w:pStyle w:val="SDMTableBoxParaNotNumbered"/>
              <w:spacing w:before="60" w:after="60"/>
            </w:pPr>
            <w:r w:rsidRPr="6F0C2E03">
              <w:rPr>
                <w:u w:val="single"/>
              </w:rPr>
              <w:t>Option</w:t>
            </w:r>
            <w:r w:rsidR="004C17BF">
              <w:rPr>
                <w:u w:val="single"/>
              </w:rPr>
              <w:t> </w:t>
            </w:r>
            <w:r w:rsidRPr="6F0C2E03">
              <w:rPr>
                <w:u w:val="single"/>
              </w:rPr>
              <w:t>4:</w:t>
            </w:r>
            <w:r>
              <w:t xml:space="preserve"> </w:t>
            </w:r>
            <w:r w:rsidRPr="008A6BFA">
              <w:t>Update</w:t>
            </w:r>
            <w:r w:rsidR="000C6BE5">
              <w:t>d</w:t>
            </w:r>
            <w:r w:rsidRPr="008A6BFA">
              <w:t xml:space="preserve"> based on future revisions of the IPCC Guidelines</w:t>
            </w:r>
          </w:p>
        </w:tc>
      </w:tr>
      <w:tr w:rsidR="00DF58B9" w:rsidRPr="00A17BEE" w14:paraId="3FD1818F" w14:textId="77777777" w:rsidTr="009F15A7">
        <w:trPr>
          <w:trHeight w:val="300"/>
        </w:trPr>
        <w:tc>
          <w:tcPr>
            <w:tcW w:w="2411" w:type="dxa"/>
            <w:shd w:val="clear" w:color="auto" w:fill="D9D9D9" w:themeFill="background1" w:themeFillShade="D9"/>
          </w:tcPr>
          <w:p w14:paraId="0BEA4F50" w14:textId="77777777" w:rsidR="00DF58B9" w:rsidRPr="00A17BEE" w:rsidRDefault="00DF58B9" w:rsidP="00F36908">
            <w:pPr>
              <w:pStyle w:val="SDMTableBoxParaNotNumbered"/>
              <w:spacing w:before="60" w:after="60"/>
            </w:pPr>
            <w:r w:rsidRPr="00131981">
              <w:t>Measurement methods and procedures</w:t>
            </w:r>
          </w:p>
        </w:tc>
        <w:tc>
          <w:tcPr>
            <w:tcW w:w="6118" w:type="dxa"/>
            <w:gridSpan w:val="4"/>
          </w:tcPr>
          <w:p w14:paraId="36F15AD9" w14:textId="12E83D5D" w:rsidR="000070EB" w:rsidRDefault="000070EB" w:rsidP="00F36908">
            <w:pPr>
              <w:pStyle w:val="SDMTableBoxParaNotNumbered"/>
              <w:spacing w:before="60" w:after="60"/>
            </w:pPr>
            <w:r w:rsidRPr="00AB67A2">
              <w:rPr>
                <w:u w:val="single"/>
              </w:rPr>
              <w:t>Option</w:t>
            </w:r>
            <w:r w:rsidR="004C17BF">
              <w:rPr>
                <w:u w:val="single"/>
              </w:rPr>
              <w:t> </w:t>
            </w:r>
            <w:r>
              <w:rPr>
                <w:u w:val="single"/>
              </w:rPr>
              <w:t>1</w:t>
            </w:r>
            <w:r w:rsidRPr="00AB67A2">
              <w:rPr>
                <w:u w:val="single"/>
              </w:rPr>
              <w:t>:</w:t>
            </w:r>
            <w:r>
              <w:t xml:space="preserve"> Values provided by the </w:t>
            </w:r>
            <w:r w:rsidR="000C6BE5">
              <w:t xml:space="preserve">fuel </w:t>
            </w:r>
            <w:r>
              <w:t>supplier (preferred source)</w:t>
            </w:r>
            <w:r w:rsidR="000C6BE5">
              <w:t>,</w:t>
            </w:r>
            <w:r>
              <w:t xml:space="preserve"> in line with national or international fuel standards;</w:t>
            </w:r>
          </w:p>
          <w:p w14:paraId="643705CE" w14:textId="399329C9" w:rsidR="000070EB" w:rsidRPr="00F81725" w:rsidRDefault="000070EB" w:rsidP="00F36908">
            <w:pPr>
              <w:pStyle w:val="SDMTableBoxParaNotNumbered"/>
              <w:spacing w:before="60" w:after="60"/>
            </w:pPr>
            <w:r w:rsidRPr="00AB67A2">
              <w:rPr>
                <w:u w:val="single"/>
              </w:rPr>
              <w:t>Option</w:t>
            </w:r>
            <w:r w:rsidR="004C17BF">
              <w:t> </w:t>
            </w:r>
            <w:r>
              <w:rPr>
                <w:u w:val="single"/>
              </w:rPr>
              <w:t>2</w:t>
            </w:r>
            <w:r w:rsidRPr="00AB67A2">
              <w:rPr>
                <w:u w:val="single"/>
              </w:rPr>
              <w:t>:</w:t>
            </w:r>
            <w:r>
              <w:t xml:space="preserve"> Measurements by activity participants undertaken in line with national or international fuel standards (if </w:t>
            </w:r>
            <w:r w:rsidR="0078537B">
              <w:t>supplier-</w:t>
            </w:r>
            <w:r>
              <w:t>provided</w:t>
            </w:r>
            <w:r w:rsidR="0078537B">
              <w:t xml:space="preserve"> values</w:t>
            </w:r>
            <w:r>
              <w:t xml:space="preserve"> are not available);</w:t>
            </w:r>
          </w:p>
          <w:p w14:paraId="2DE69AE9" w14:textId="4C670736" w:rsidR="000070EB" w:rsidRPr="00204B8F" w:rsidRDefault="000070EB" w:rsidP="00F36908">
            <w:pPr>
              <w:pStyle w:val="SDMTableBoxParaNotNumbered"/>
              <w:spacing w:before="60" w:after="60"/>
            </w:pPr>
            <w:r w:rsidRPr="00AB67A2">
              <w:rPr>
                <w:u w:val="single"/>
              </w:rPr>
              <w:t>Option</w:t>
            </w:r>
            <w:r w:rsidR="004C17BF">
              <w:rPr>
                <w:u w:val="single"/>
              </w:rPr>
              <w:t> </w:t>
            </w:r>
            <w:r>
              <w:rPr>
                <w:u w:val="single"/>
              </w:rPr>
              <w:t>3</w:t>
            </w:r>
            <w:r w:rsidRPr="00AB67A2">
              <w:rPr>
                <w:u w:val="single"/>
              </w:rPr>
              <w:t>:</w:t>
            </w:r>
            <w:r>
              <w:t xml:space="preserve"> Regional or national default values (if </w:t>
            </w:r>
            <w:r w:rsidR="0078537B">
              <w:t>supplier</w:t>
            </w:r>
            <w:r w:rsidR="00E07082">
              <w:t>-</w:t>
            </w:r>
            <w:r>
              <w:t xml:space="preserve">provided </w:t>
            </w:r>
            <w:r w:rsidR="00E07082">
              <w:t xml:space="preserve">values </w:t>
            </w:r>
            <w:r>
              <w:t>are not available and only for liquid fuels). Values shall be reviewed annually;</w:t>
            </w:r>
          </w:p>
          <w:p w14:paraId="02D1A5C7" w14:textId="6FCAB5C2" w:rsidR="00DF58B9" w:rsidRPr="00A17BEE" w:rsidRDefault="114F00D7" w:rsidP="00F36908">
            <w:pPr>
              <w:pStyle w:val="SDMTableBoxParaNotNumbered"/>
              <w:spacing w:before="60" w:after="60"/>
            </w:pPr>
            <w:r w:rsidRPr="55FC4291">
              <w:rPr>
                <w:u w:val="single"/>
              </w:rPr>
              <w:t>Option</w:t>
            </w:r>
            <w:r w:rsidR="2F18C9CC" w:rsidRPr="55FC4291">
              <w:rPr>
                <w:u w:val="single"/>
              </w:rPr>
              <w:t> </w:t>
            </w:r>
            <w:r w:rsidRPr="55FC4291">
              <w:rPr>
                <w:u w:val="single"/>
              </w:rPr>
              <w:t>4:</w:t>
            </w:r>
            <w:r>
              <w:t xml:space="preserve"> Upper bound for </w:t>
            </w:r>
            <w:r w:rsidR="491D8B14" w:rsidRPr="007B3A6B">
              <w:rPr>
                <w:b/>
                <w:bCs/>
              </w:rPr>
              <w:t>case</w:t>
            </w:r>
            <w:r w:rsidR="2F18C9CC" w:rsidRPr="007B3A6B">
              <w:rPr>
                <w:b/>
                <w:bCs/>
              </w:rPr>
              <w:t> </w:t>
            </w:r>
            <w:r w:rsidRPr="007B3A6B">
              <w:rPr>
                <w:b/>
                <w:bCs/>
              </w:rPr>
              <w:t>1</w:t>
            </w:r>
            <w:r>
              <w:t xml:space="preserve"> and lower bound for </w:t>
            </w:r>
            <w:r w:rsidR="491D8B14" w:rsidRPr="007B3A6B">
              <w:rPr>
                <w:b/>
                <w:bCs/>
              </w:rPr>
              <w:t>case</w:t>
            </w:r>
            <w:r w:rsidR="2F18C9CC" w:rsidRPr="007B3A6B">
              <w:rPr>
                <w:b/>
                <w:bCs/>
              </w:rPr>
              <w:t> </w:t>
            </w:r>
            <w:r w:rsidRPr="007B3A6B">
              <w:rPr>
                <w:b/>
                <w:bCs/>
              </w:rPr>
              <w:t>2</w:t>
            </w:r>
            <w:r w:rsidR="491D8B14">
              <w:t>,</w:t>
            </w:r>
            <w:r>
              <w:t xml:space="preserve"> at a 95 per cent confidence interval</w:t>
            </w:r>
            <w:r w:rsidR="491D8B14">
              <w:t>,</w:t>
            </w:r>
            <w:r>
              <w:t xml:space="preserve"> from IPCC default values provided in the 2019 Refinement to the 2006 IPCC Guidelines on National GHG Inventories (if </w:t>
            </w:r>
            <w:r w:rsidR="78059352">
              <w:t xml:space="preserve">supplier-provided </w:t>
            </w:r>
            <w:r>
              <w:t>values are not available). Update based on future revisions of the IPCC Guidelines</w:t>
            </w:r>
          </w:p>
        </w:tc>
      </w:tr>
      <w:tr w:rsidR="00DF58B9" w:rsidRPr="00A17BEE" w14:paraId="38CD0AF2" w14:textId="77777777" w:rsidTr="009F15A7">
        <w:trPr>
          <w:trHeight w:val="107"/>
        </w:trPr>
        <w:tc>
          <w:tcPr>
            <w:tcW w:w="2411" w:type="dxa"/>
            <w:shd w:val="clear" w:color="auto" w:fill="D9D9D9" w:themeFill="background1" w:themeFillShade="D9"/>
          </w:tcPr>
          <w:p w14:paraId="6364229E" w14:textId="77777777" w:rsidR="00DF58B9" w:rsidRPr="00A17BEE" w:rsidRDefault="00DF58B9" w:rsidP="00F36908">
            <w:pPr>
              <w:pStyle w:val="SDMTableBoxParaNotNumbered"/>
              <w:spacing w:before="60" w:after="60"/>
            </w:pPr>
            <w:r w:rsidRPr="00131981">
              <w:t>Entity/person responsible for the measurement</w:t>
            </w:r>
          </w:p>
        </w:tc>
        <w:tc>
          <w:tcPr>
            <w:tcW w:w="6118" w:type="dxa"/>
            <w:gridSpan w:val="4"/>
          </w:tcPr>
          <w:p w14:paraId="1390E5D0" w14:textId="6755AEC7" w:rsidR="00DF58B9" w:rsidRPr="00A17BEE" w:rsidRDefault="486AF2D8" w:rsidP="00F36908">
            <w:pPr>
              <w:pStyle w:val="SDMTableBoxParaNotNumbered"/>
              <w:spacing w:before="60" w:after="60"/>
            </w:pPr>
            <w:r>
              <w:t>Activity participants</w:t>
            </w:r>
          </w:p>
        </w:tc>
      </w:tr>
      <w:tr w:rsidR="00DF58B9" w:rsidRPr="00014C3A" w14:paraId="34B937C5" w14:textId="77777777" w:rsidTr="009F15A7">
        <w:trPr>
          <w:trHeight w:val="107"/>
        </w:trPr>
        <w:tc>
          <w:tcPr>
            <w:tcW w:w="2411" w:type="dxa"/>
            <w:vMerge w:val="restart"/>
            <w:shd w:val="clear" w:color="auto" w:fill="D9D9D9" w:themeFill="background1" w:themeFillShade="D9"/>
          </w:tcPr>
          <w:p w14:paraId="2D29AA1A" w14:textId="77777777" w:rsidR="00DF58B9" w:rsidRPr="00A17BEE" w:rsidRDefault="00DF58B9" w:rsidP="00F36908">
            <w:pPr>
              <w:pStyle w:val="SDMTableBoxParaNotNumbered"/>
              <w:spacing w:before="60" w:after="60"/>
            </w:pPr>
            <w:r w:rsidRPr="00A17BEE">
              <w:t>Measuring instrument(s)</w:t>
            </w:r>
          </w:p>
        </w:tc>
        <w:tc>
          <w:tcPr>
            <w:tcW w:w="1568" w:type="dxa"/>
          </w:tcPr>
          <w:p w14:paraId="326F6629" w14:textId="77777777" w:rsidR="00DF58B9" w:rsidRPr="00014C3A" w:rsidRDefault="00DF58B9" w:rsidP="00F36908">
            <w:pPr>
              <w:pStyle w:val="SDMTableBoxParaNotNumbered"/>
              <w:spacing w:before="60" w:after="60"/>
              <w:rPr>
                <w:i/>
                <w:iCs/>
              </w:rPr>
            </w:pPr>
            <w:r w:rsidRPr="00014C3A">
              <w:rPr>
                <w:i/>
                <w:iCs/>
              </w:rPr>
              <w:t>Type of instrument</w:t>
            </w:r>
          </w:p>
        </w:tc>
        <w:tc>
          <w:tcPr>
            <w:tcW w:w="4550" w:type="dxa"/>
            <w:gridSpan w:val="3"/>
          </w:tcPr>
          <w:p w14:paraId="76AF0E01" w14:textId="77777777" w:rsidR="00DF58B9" w:rsidRPr="00014C3A" w:rsidRDefault="00DF58B9" w:rsidP="00F36908">
            <w:pPr>
              <w:pStyle w:val="SDMTableBoxParaNotNumbered"/>
              <w:spacing w:before="60" w:after="60"/>
            </w:pPr>
            <w:r>
              <w:t>N/A</w:t>
            </w:r>
          </w:p>
        </w:tc>
      </w:tr>
      <w:tr w:rsidR="00DF58B9" w:rsidRPr="00014C3A" w14:paraId="00A390BE" w14:textId="77777777" w:rsidTr="009F15A7">
        <w:trPr>
          <w:trHeight w:val="104"/>
        </w:trPr>
        <w:tc>
          <w:tcPr>
            <w:tcW w:w="2411" w:type="dxa"/>
            <w:vMerge/>
            <w:shd w:val="clear" w:color="auto" w:fill="D9D9D9" w:themeFill="background1" w:themeFillShade="D9"/>
          </w:tcPr>
          <w:p w14:paraId="409D60B3" w14:textId="77777777" w:rsidR="00DF58B9" w:rsidRPr="00C87E19" w:rsidRDefault="00DF58B9" w:rsidP="00F36908">
            <w:pPr>
              <w:pStyle w:val="SDMTableBoxParaNotNumbered"/>
              <w:spacing w:before="60" w:after="60"/>
              <w:rPr>
                <w:highlight w:val="yellow"/>
              </w:rPr>
            </w:pPr>
          </w:p>
        </w:tc>
        <w:tc>
          <w:tcPr>
            <w:tcW w:w="1568" w:type="dxa"/>
          </w:tcPr>
          <w:p w14:paraId="70938E96" w14:textId="77777777" w:rsidR="00DF58B9" w:rsidRPr="00014C3A" w:rsidRDefault="00DF58B9" w:rsidP="00F36908">
            <w:pPr>
              <w:pStyle w:val="SDMTableBoxParaNotNumbered"/>
              <w:spacing w:before="60" w:after="60"/>
              <w:rPr>
                <w:i/>
                <w:iCs/>
              </w:rPr>
            </w:pPr>
            <w:r w:rsidRPr="00014C3A">
              <w:rPr>
                <w:i/>
                <w:iCs/>
              </w:rPr>
              <w:t>Accuracy class</w:t>
            </w:r>
          </w:p>
        </w:tc>
        <w:tc>
          <w:tcPr>
            <w:tcW w:w="4550" w:type="dxa"/>
            <w:gridSpan w:val="3"/>
          </w:tcPr>
          <w:p w14:paraId="67D20F58" w14:textId="77777777" w:rsidR="00DF58B9" w:rsidRPr="00014C3A" w:rsidRDefault="00DF58B9" w:rsidP="00F36908">
            <w:pPr>
              <w:pStyle w:val="SDMTableBoxParaNotNumbered"/>
              <w:spacing w:before="60" w:after="60"/>
            </w:pPr>
            <w:r w:rsidRPr="00014C3A">
              <w:t>N/A</w:t>
            </w:r>
          </w:p>
        </w:tc>
      </w:tr>
      <w:tr w:rsidR="00DF58B9" w:rsidRPr="00014C3A" w14:paraId="3B3D80F5" w14:textId="77777777" w:rsidTr="009F15A7">
        <w:trPr>
          <w:trHeight w:val="104"/>
        </w:trPr>
        <w:tc>
          <w:tcPr>
            <w:tcW w:w="2411" w:type="dxa"/>
            <w:vMerge/>
            <w:shd w:val="clear" w:color="auto" w:fill="D9D9D9" w:themeFill="background1" w:themeFillShade="D9"/>
          </w:tcPr>
          <w:p w14:paraId="1DF48079" w14:textId="77777777" w:rsidR="00DF58B9" w:rsidRPr="00C87E19" w:rsidRDefault="00DF58B9" w:rsidP="00F36908">
            <w:pPr>
              <w:pStyle w:val="SDMTableBoxParaNotNumbered"/>
              <w:spacing w:before="60" w:after="60"/>
              <w:rPr>
                <w:highlight w:val="yellow"/>
              </w:rPr>
            </w:pPr>
          </w:p>
        </w:tc>
        <w:tc>
          <w:tcPr>
            <w:tcW w:w="1568" w:type="dxa"/>
          </w:tcPr>
          <w:p w14:paraId="47F16552" w14:textId="77777777" w:rsidR="00DF58B9" w:rsidRPr="00014C3A" w:rsidRDefault="00DF58B9" w:rsidP="00F36908">
            <w:pPr>
              <w:pStyle w:val="SDMTableBoxParaNotNumbered"/>
              <w:spacing w:before="60" w:after="60"/>
              <w:rPr>
                <w:i/>
                <w:iCs/>
              </w:rPr>
            </w:pPr>
            <w:r w:rsidRPr="00014C3A">
              <w:rPr>
                <w:i/>
                <w:iCs/>
              </w:rPr>
              <w:t>Calibration requirements</w:t>
            </w:r>
          </w:p>
        </w:tc>
        <w:tc>
          <w:tcPr>
            <w:tcW w:w="4550" w:type="dxa"/>
            <w:gridSpan w:val="3"/>
          </w:tcPr>
          <w:p w14:paraId="12C8C515" w14:textId="77777777" w:rsidR="00DF58B9" w:rsidRPr="00014C3A" w:rsidRDefault="00DF58B9" w:rsidP="00F36908">
            <w:pPr>
              <w:pStyle w:val="SDMTableBoxParaNotNumbered"/>
              <w:spacing w:before="60" w:after="60"/>
            </w:pPr>
            <w:r>
              <w:t>N/A</w:t>
            </w:r>
          </w:p>
        </w:tc>
      </w:tr>
      <w:tr w:rsidR="00DF58B9" w:rsidRPr="00014C3A" w14:paraId="71A96348" w14:textId="77777777" w:rsidTr="009F15A7">
        <w:trPr>
          <w:trHeight w:val="104"/>
        </w:trPr>
        <w:tc>
          <w:tcPr>
            <w:tcW w:w="2411" w:type="dxa"/>
            <w:vMerge/>
            <w:shd w:val="clear" w:color="auto" w:fill="D9D9D9" w:themeFill="background1" w:themeFillShade="D9"/>
          </w:tcPr>
          <w:p w14:paraId="41891809" w14:textId="77777777" w:rsidR="00DF58B9" w:rsidRPr="00C87E19" w:rsidRDefault="00DF58B9" w:rsidP="00F36908">
            <w:pPr>
              <w:pStyle w:val="SDMTableBoxParaNotNumbered"/>
              <w:spacing w:before="60" w:after="60"/>
              <w:rPr>
                <w:highlight w:val="yellow"/>
              </w:rPr>
            </w:pPr>
          </w:p>
        </w:tc>
        <w:tc>
          <w:tcPr>
            <w:tcW w:w="1568" w:type="dxa"/>
          </w:tcPr>
          <w:p w14:paraId="436BF3BA" w14:textId="77777777" w:rsidR="00DF58B9" w:rsidRPr="00014C3A" w:rsidRDefault="00DF58B9" w:rsidP="00F36908">
            <w:pPr>
              <w:pStyle w:val="SDMTableBoxParaNotNumbered"/>
              <w:spacing w:before="60" w:after="60"/>
              <w:rPr>
                <w:i/>
                <w:iCs/>
              </w:rPr>
            </w:pPr>
            <w:r w:rsidRPr="00014C3A">
              <w:rPr>
                <w:i/>
                <w:iCs/>
              </w:rPr>
              <w:t>Location</w:t>
            </w:r>
          </w:p>
        </w:tc>
        <w:tc>
          <w:tcPr>
            <w:tcW w:w="4550" w:type="dxa"/>
            <w:gridSpan w:val="3"/>
          </w:tcPr>
          <w:p w14:paraId="1F71F3F9" w14:textId="77777777" w:rsidR="00DF58B9" w:rsidRPr="00014C3A" w:rsidRDefault="00DF58B9" w:rsidP="00F36908">
            <w:pPr>
              <w:pStyle w:val="SDMTableBoxParaNotNumbered"/>
              <w:spacing w:before="60" w:after="60"/>
            </w:pPr>
            <w:r w:rsidRPr="00014C3A">
              <w:t>N/A</w:t>
            </w:r>
          </w:p>
        </w:tc>
      </w:tr>
      <w:tr w:rsidR="00DF58B9" w:rsidRPr="00917C78" w14:paraId="77E81C09" w14:textId="77777777" w:rsidTr="009F15A7">
        <w:trPr>
          <w:trHeight w:val="300"/>
        </w:trPr>
        <w:tc>
          <w:tcPr>
            <w:tcW w:w="2411" w:type="dxa"/>
            <w:shd w:val="clear" w:color="auto" w:fill="D9D9D9" w:themeFill="background1" w:themeFillShade="D9"/>
          </w:tcPr>
          <w:p w14:paraId="0A52BA78" w14:textId="77777777" w:rsidR="00DF58B9" w:rsidRPr="00917C78" w:rsidRDefault="00DF58B9" w:rsidP="00F36908">
            <w:pPr>
              <w:pStyle w:val="SDMTableBoxParaNotNumbered"/>
              <w:spacing w:before="60" w:after="60"/>
            </w:pPr>
            <w:r w:rsidRPr="00917C78">
              <w:t>QA/QC procedures</w:t>
            </w:r>
          </w:p>
        </w:tc>
        <w:tc>
          <w:tcPr>
            <w:tcW w:w="6118" w:type="dxa"/>
            <w:gridSpan w:val="4"/>
          </w:tcPr>
          <w:p w14:paraId="22C84412" w14:textId="2055BFC1" w:rsidR="00DF58B9" w:rsidRPr="00917C78" w:rsidRDefault="000F7724" w:rsidP="00F36908">
            <w:pPr>
              <w:pStyle w:val="SDMTableBoxParaNotNumbered"/>
              <w:spacing w:before="60" w:after="60"/>
            </w:pPr>
            <w:r>
              <w:t>Laboratories in Options 1 and 2 sh</w:t>
            </w:r>
            <w:r w:rsidR="00A615EB">
              <w:t>all</w:t>
            </w:r>
            <w:r>
              <w:t xml:space="preserve"> have ISO17025 accreditation, or justify compliance with equivalent quality standards</w:t>
            </w:r>
          </w:p>
        </w:tc>
      </w:tr>
      <w:tr w:rsidR="00C617AF" w:rsidRPr="00C87E19" w14:paraId="7C643305" w14:textId="77777777" w:rsidTr="009F15A7">
        <w:trPr>
          <w:trHeight w:val="300"/>
        </w:trPr>
        <w:tc>
          <w:tcPr>
            <w:tcW w:w="2411" w:type="dxa"/>
            <w:shd w:val="clear" w:color="auto" w:fill="D9D9D9" w:themeFill="background1" w:themeFillShade="D9"/>
          </w:tcPr>
          <w:p w14:paraId="1E8879A3" w14:textId="77777777" w:rsidR="00C617AF" w:rsidRPr="00D1376F" w:rsidRDefault="00C617AF" w:rsidP="0038031D">
            <w:pPr>
              <w:pStyle w:val="SDMTableBoxParaNotNumbered"/>
              <w:keepNext/>
              <w:spacing w:before="60" w:after="60"/>
            </w:pPr>
            <w:r w:rsidRPr="00D1376F">
              <w:t>Treatment of uncertaint</w:t>
            </w:r>
            <w:r>
              <w:t>ies</w:t>
            </w:r>
          </w:p>
        </w:tc>
        <w:tc>
          <w:tcPr>
            <w:tcW w:w="6118" w:type="dxa"/>
            <w:gridSpan w:val="4"/>
          </w:tcPr>
          <w:p w14:paraId="74AF1922" w14:textId="0A5C3463" w:rsidR="00C617AF" w:rsidRPr="00C87E19" w:rsidRDefault="4F2604FC" w:rsidP="0038031D">
            <w:pPr>
              <w:pStyle w:val="SDMTableBoxParaNotNumbered"/>
              <w:keepNext/>
              <w:spacing w:before="60" w:after="60"/>
              <w:rPr>
                <w:highlight w:val="yellow"/>
              </w:rPr>
            </w:pPr>
            <w:r>
              <w:t xml:space="preserve">Verify </w:t>
            </w:r>
            <w:r w:rsidR="78059352">
              <w:t xml:space="preserve">whether </w:t>
            </w:r>
            <w:r>
              <w:t xml:space="preserve">the values under </w:t>
            </w:r>
            <w:r w:rsidR="73ECF984">
              <w:t>o</w:t>
            </w:r>
            <w:r>
              <w:t>ptions 1, 2</w:t>
            </w:r>
            <w:r w:rsidR="78059352">
              <w:t>,</w:t>
            </w:r>
            <w:r>
              <w:t xml:space="preserve"> and 3 </w:t>
            </w:r>
            <w:r w:rsidR="78059352">
              <w:t xml:space="preserve">fall </w:t>
            </w:r>
            <w:r>
              <w:t xml:space="preserve">within the uncertainty range of the IPCC default values as provided in </w:t>
            </w:r>
            <w:r w:rsidR="6D2B8F49">
              <w:t>t</w:t>
            </w:r>
            <w:r>
              <w:t>able 1.2, Vol.</w:t>
            </w:r>
            <w:r w:rsidR="233A5C61">
              <w:t> </w:t>
            </w:r>
            <w:r>
              <w:t xml:space="preserve">2 of the 2019 Refinement to the 2006 IPCC Guidelines. If the values fall </w:t>
            </w:r>
            <w:r w:rsidR="4A6915A7">
              <w:t>outside of</w:t>
            </w:r>
            <w:r>
              <w:t xml:space="preserve"> this range</w:t>
            </w:r>
            <w:r w:rsidR="4A6915A7">
              <w:t>,</w:t>
            </w:r>
            <w:r>
              <w:t xml:space="preserve"> collect additional information from the testing laboratory to justify the outcome or conduct additional measurements</w:t>
            </w:r>
          </w:p>
        </w:tc>
      </w:tr>
      <w:tr w:rsidR="00C617AF" w:rsidRPr="00131981" w14:paraId="17557575" w14:textId="77777777" w:rsidTr="009F15A7">
        <w:trPr>
          <w:trHeight w:val="300"/>
        </w:trPr>
        <w:tc>
          <w:tcPr>
            <w:tcW w:w="2411" w:type="dxa"/>
            <w:shd w:val="clear" w:color="auto" w:fill="D9D9D9" w:themeFill="background1" w:themeFillShade="D9"/>
          </w:tcPr>
          <w:p w14:paraId="2B0648D2" w14:textId="77777777" w:rsidR="00C617AF" w:rsidRPr="00D1376F" w:rsidRDefault="00C617AF" w:rsidP="00F36908">
            <w:pPr>
              <w:pStyle w:val="SDMTableBoxParaNotNumbered"/>
              <w:spacing w:before="60" w:after="60"/>
            </w:pPr>
            <w:r w:rsidRPr="00D1376F">
              <w:t>Additional comment</w:t>
            </w:r>
          </w:p>
        </w:tc>
        <w:tc>
          <w:tcPr>
            <w:tcW w:w="6118" w:type="dxa"/>
            <w:gridSpan w:val="4"/>
          </w:tcPr>
          <w:p w14:paraId="2B245976" w14:textId="74A299DA" w:rsidR="00C617AF" w:rsidRPr="0065190C" w:rsidRDefault="00C617AF" w:rsidP="00F36908">
            <w:pPr>
              <w:pStyle w:val="SDMTableBoxParaNotNumbered"/>
              <w:spacing w:before="60" w:after="60"/>
            </w:pPr>
            <w:r w:rsidRPr="0065190C">
              <w:t xml:space="preserve">For </w:t>
            </w:r>
            <w:r w:rsidR="007C59E3">
              <w:t>o</w:t>
            </w:r>
            <w:r w:rsidR="007C59E3" w:rsidRPr="0065190C">
              <w:t>ption</w:t>
            </w:r>
            <w:r w:rsidR="004C17BF">
              <w:t> </w:t>
            </w:r>
            <w:r w:rsidRPr="0065190C">
              <w:t>1, if the fuel supplier provide</w:t>
            </w:r>
            <w:r w:rsidR="00F26072">
              <w:t>s both</w:t>
            </w:r>
            <w:r w:rsidRPr="0065190C">
              <w:t xml:space="preserve"> the NCV and</w:t>
            </w:r>
            <w:r w:rsidRPr="0065190C" w:rsidDel="00A81A9C">
              <w:t xml:space="preserve"> </w:t>
            </w:r>
            <w:r w:rsidRPr="0065190C">
              <w:t>CO</w:t>
            </w:r>
            <w:r w:rsidRPr="0065190C">
              <w:rPr>
                <w:vertAlign w:val="subscript"/>
              </w:rPr>
              <w:t>2</w:t>
            </w:r>
            <w:r w:rsidRPr="0065190C">
              <w:t xml:space="preserve"> emission factor on the invoice and these values are based on measurements for </w:t>
            </w:r>
            <w:r w:rsidR="00A81A9C">
              <w:t xml:space="preserve">the </w:t>
            </w:r>
            <w:r w:rsidRPr="0065190C">
              <w:t>specific fuel</w:t>
            </w:r>
            <w:r w:rsidR="00A81A9C">
              <w:t xml:space="preserve"> delivered</w:t>
            </w:r>
            <w:r w:rsidRPr="0065190C">
              <w:t xml:space="preserve">, </w:t>
            </w:r>
            <w:r w:rsidR="00DA0946">
              <w:t xml:space="preserve">the </w:t>
            </w:r>
            <w:r w:rsidR="00606CEB">
              <w:t xml:space="preserve">provided </w:t>
            </w:r>
            <w:r w:rsidRPr="0065190C">
              <w:t>CO</w:t>
            </w:r>
            <w:r w:rsidRPr="00781492">
              <w:rPr>
                <w:vertAlign w:val="subscript"/>
              </w:rPr>
              <w:t>2</w:t>
            </w:r>
            <w:r w:rsidRPr="0065190C">
              <w:t xml:space="preserve"> </w:t>
            </w:r>
            <w:r w:rsidR="00606CEB">
              <w:t xml:space="preserve">emission </w:t>
            </w:r>
            <w:r w:rsidRPr="0065190C">
              <w:t xml:space="preserve">factor </w:t>
            </w:r>
            <w:r w:rsidR="00606CEB">
              <w:t xml:space="preserve">shall </w:t>
            </w:r>
            <w:r w:rsidRPr="0065190C">
              <w:t xml:space="preserve">be used. If another source </w:t>
            </w:r>
            <w:r w:rsidR="00417804">
              <w:t xml:space="preserve">is used </w:t>
            </w:r>
            <w:r w:rsidRPr="0065190C">
              <w:t>for the CO</w:t>
            </w:r>
            <w:r w:rsidRPr="00781492">
              <w:rPr>
                <w:vertAlign w:val="subscript"/>
              </w:rPr>
              <w:t>2</w:t>
            </w:r>
            <w:r w:rsidRPr="0065190C">
              <w:t xml:space="preserve"> emission factor</w:t>
            </w:r>
            <w:r w:rsidR="00417804">
              <w:t>,</w:t>
            </w:r>
            <w:r w:rsidRPr="0065190C">
              <w:t xml:space="preserve"> or no CO</w:t>
            </w:r>
            <w:r w:rsidRPr="0065190C">
              <w:rPr>
                <w:vertAlign w:val="subscript"/>
              </w:rPr>
              <w:t>2</w:t>
            </w:r>
            <w:r w:rsidRPr="0065190C">
              <w:t xml:space="preserve"> emission factor is provided, Options 2, 3</w:t>
            </w:r>
            <w:r w:rsidR="00417804">
              <w:t>,</w:t>
            </w:r>
            <w:r w:rsidRPr="0065190C">
              <w:t xml:space="preserve"> </w:t>
            </w:r>
            <w:r w:rsidR="00417804">
              <w:t>or</w:t>
            </w:r>
            <w:r w:rsidR="00417804" w:rsidRPr="0065190C">
              <w:t xml:space="preserve"> </w:t>
            </w:r>
            <w:r w:rsidRPr="0065190C">
              <w:t xml:space="preserve">4 </w:t>
            </w:r>
            <w:r w:rsidR="00EE6F51">
              <w:t>shall</w:t>
            </w:r>
            <w:r w:rsidR="00EE6F51" w:rsidRPr="0065190C">
              <w:t xml:space="preserve"> </w:t>
            </w:r>
            <w:r w:rsidRPr="0065190C">
              <w:t>be used.</w:t>
            </w:r>
          </w:p>
          <w:p w14:paraId="2C88CE0C" w14:textId="56AF6F92" w:rsidR="003C6C34" w:rsidRPr="00131981" w:rsidRDefault="7C8867F4" w:rsidP="00F36908">
            <w:pPr>
              <w:pStyle w:val="SDMTableBoxParaNotNumbered"/>
              <w:spacing w:before="60" w:after="60"/>
            </w:pPr>
            <w:r>
              <w:t xml:space="preserve">For Article 6.4 activities under </w:t>
            </w:r>
            <w:r w:rsidR="4093ED5C">
              <w:t>scenario</w:t>
            </w:r>
            <w:r w:rsidR="2F18C9CC">
              <w:t> </w:t>
            </w:r>
            <w:r>
              <w:t xml:space="preserve">A or </w:t>
            </w:r>
            <w:r w:rsidR="4093ED5C">
              <w:t>scenario</w:t>
            </w:r>
            <w:r w:rsidR="2F18C9CC">
              <w:t> </w:t>
            </w:r>
            <w:r>
              <w:t xml:space="preserve">C, this parameter </w:t>
            </w:r>
            <w:r w:rsidR="4093ED5C">
              <w:t>shall</w:t>
            </w:r>
            <w:r>
              <w:t xml:space="preserve"> be updated </w:t>
            </w:r>
            <w:r w:rsidR="35EC6226">
              <w:t xml:space="preserve">in accordance with the provisions in section </w:t>
            </w:r>
            <w:r w:rsidR="000415D4">
              <w:fldChar w:fldCharType="begin"/>
            </w:r>
            <w:r w:rsidR="000415D4">
              <w:instrText xml:space="preserve"> REF _Ref219921825 \n \h </w:instrText>
            </w:r>
            <w:r w:rsidR="00DC7BA0">
              <w:instrText xml:space="preserve"> \* MERGEFORMAT </w:instrText>
            </w:r>
            <w:r w:rsidR="000415D4">
              <w:fldChar w:fldCharType="separate"/>
            </w:r>
            <w:r w:rsidR="003B0135">
              <w:t>5.7.1.2</w:t>
            </w:r>
            <w:r w:rsidR="000415D4">
              <w:fldChar w:fldCharType="end"/>
            </w:r>
            <w:r w:rsidR="35EC6226">
              <w:t xml:space="preserve"> </w:t>
            </w:r>
            <w:r>
              <w:t>at the renewal of the crediting period if activity participants cho</w:t>
            </w:r>
            <w:r w:rsidR="74C40274">
              <w:t>o</w:t>
            </w:r>
            <w:r>
              <w:t xml:space="preserve">se to determine </w:t>
            </w:r>
            <w:r w:rsidR="74C40274">
              <w:t xml:space="preserve">the </w:t>
            </w:r>
            <w:r>
              <w:t xml:space="preserve">OM </w:t>
            </w:r>
            <w:r w:rsidR="74C40274">
              <w:t>emission factor</w:t>
            </w:r>
            <w:r>
              <w:t xml:space="preserve"> ex</w:t>
            </w:r>
            <w:r w:rsidR="5F610C61">
              <w:t>-</w:t>
            </w:r>
            <w:r>
              <w:t>ante</w:t>
            </w:r>
          </w:p>
        </w:tc>
      </w:tr>
    </w:tbl>
    <w:p w14:paraId="4487CDD7" w14:textId="7CB77985" w:rsidR="00925217" w:rsidRPr="008A6BFA" w:rsidRDefault="00925217" w:rsidP="00F32C6C">
      <w:pPr>
        <w:pStyle w:val="Caption"/>
      </w:pPr>
      <w:bookmarkStart w:id="946" w:name="_Ref220958411"/>
      <w:r w:rsidRPr="008A6BFA">
        <w:t>Data / Parameter table</w:t>
      </w:r>
      <w:r w:rsidR="004C17BF">
        <w:t> </w:t>
      </w:r>
      <w:r>
        <w:fldChar w:fldCharType="begin"/>
      </w:r>
      <w:r>
        <w:instrText>SEQ Data_/_Parameter_table \* ARABIC</w:instrText>
      </w:r>
      <w:r>
        <w:fldChar w:fldCharType="separate"/>
      </w:r>
      <w:r w:rsidR="003B0135">
        <w:rPr>
          <w:noProof/>
        </w:rPr>
        <w:t>6</w:t>
      </w:r>
      <w:r>
        <w:fldChar w:fldCharType="end"/>
      </w:r>
      <w:bookmarkEnd w:id="946"/>
      <w:r w:rsidRPr="008A6BFA">
        <w:t>.</w:t>
      </w:r>
    </w:p>
    <w:tbl>
      <w:tblPr>
        <w:tblStyle w:val="TableGrid"/>
        <w:tblW w:w="8529" w:type="dxa"/>
        <w:tblInd w:w="8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6"/>
        <w:gridCol w:w="1473"/>
        <w:gridCol w:w="751"/>
        <w:gridCol w:w="1973"/>
        <w:gridCol w:w="1886"/>
      </w:tblGrid>
      <w:tr w:rsidR="00065EB4" w:rsidRPr="00B32E2B" w14:paraId="256B8220" w14:textId="77777777" w:rsidTr="00CC0FD5">
        <w:trPr>
          <w:trHeight w:val="300"/>
        </w:trPr>
        <w:tc>
          <w:tcPr>
            <w:tcW w:w="2446" w:type="dxa"/>
            <w:shd w:val="clear" w:color="auto" w:fill="D9D9D9" w:themeFill="background1" w:themeFillShade="D9"/>
          </w:tcPr>
          <w:p w14:paraId="28F07DC2" w14:textId="77777777" w:rsidR="00925217" w:rsidRPr="00B32E2B" w:rsidRDefault="00925217" w:rsidP="006A0691">
            <w:pPr>
              <w:pStyle w:val="SDMTableBoxParaNotNumbered"/>
              <w:keepNext/>
              <w:spacing w:before="60" w:after="60"/>
            </w:pPr>
            <w:r w:rsidRPr="00B32E2B">
              <w:t>Data/parameter</w:t>
            </w:r>
          </w:p>
        </w:tc>
        <w:tc>
          <w:tcPr>
            <w:tcW w:w="6083" w:type="dxa"/>
            <w:gridSpan w:val="4"/>
          </w:tcPr>
          <w:p w14:paraId="2D154E59" w14:textId="77777777" w:rsidR="00925217" w:rsidRPr="00754504" w:rsidRDefault="003F6646" w:rsidP="006A0691">
            <w:pPr>
              <w:pStyle w:val="SDMTableBoxParaNotNumbered"/>
              <w:keepNext/>
              <w:spacing w:before="60" w:after="60"/>
              <w:rPr>
                <w:i/>
                <w:iCs/>
              </w:rPr>
            </w:pPr>
            <m:oMath>
              <m:sSub>
                <m:sSubPr>
                  <m:ctrlPr>
                    <w:rPr>
                      <w:rFonts w:ascii="Cambria Math" w:hAnsi="Cambria Math"/>
                      <w:i/>
                    </w:rPr>
                  </m:ctrlPr>
                </m:sSubPr>
                <m:e>
                  <m:r>
                    <m:rPr>
                      <m:sty m:val="bi"/>
                    </m:rPr>
                    <w:rPr>
                      <w:rFonts w:ascii="Cambria Math" w:hAnsi="Cambria Math"/>
                    </w:rPr>
                    <m:t>EG</m:t>
                  </m:r>
                </m:e>
                <m:sub>
                  <m:r>
                    <m:rPr>
                      <m:sty m:val="bi"/>
                    </m:rPr>
                    <w:rPr>
                      <w:rFonts w:ascii="Cambria Math" w:hAnsi="Cambria Math"/>
                    </w:rPr>
                    <m:t>p</m:t>
                  </m:r>
                  <m:r>
                    <w:rPr>
                      <w:rFonts w:ascii="Cambria Math" w:hAnsi="Cambria Math"/>
                    </w:rPr>
                    <m:t>,</m:t>
                  </m:r>
                  <m:r>
                    <m:rPr>
                      <m:sty m:val="bi"/>
                    </m:rPr>
                    <w:rPr>
                      <w:rFonts w:ascii="Cambria Math" w:hAnsi="Cambria Math"/>
                    </w:rPr>
                    <m:t>t</m:t>
                  </m:r>
                </m:sub>
              </m:sSub>
            </m:oMath>
            <w:r w:rsidR="00170A34" w:rsidRPr="00754504">
              <w:rPr>
                <w:i/>
              </w:rPr>
              <w:t xml:space="preserve"> ; </w:t>
            </w:r>
            <m:oMath>
              <m:sSub>
                <m:sSubPr>
                  <m:ctrlPr>
                    <w:rPr>
                      <w:rFonts w:ascii="Cambria Math" w:hAnsi="Cambria Math"/>
                      <w:i/>
                    </w:rPr>
                  </m:ctrlPr>
                </m:sSubPr>
                <m:e>
                  <m:r>
                    <m:rPr>
                      <m:sty m:val="bi"/>
                    </m:rPr>
                    <w:rPr>
                      <w:rFonts w:ascii="Cambria Math" w:hAnsi="Cambria Math"/>
                    </w:rPr>
                    <m:t>EG</m:t>
                  </m:r>
                </m:e>
                <m:sub>
                  <m:r>
                    <m:rPr>
                      <m:sty m:val="bi"/>
                    </m:rPr>
                    <w:rPr>
                      <w:rFonts w:ascii="Cambria Math" w:hAnsi="Cambria Math"/>
                    </w:rPr>
                    <m:t>p</m:t>
                  </m:r>
                  <m:r>
                    <w:rPr>
                      <w:rFonts w:ascii="Cambria Math" w:hAnsi="Cambria Math"/>
                    </w:rPr>
                    <m:t>,h</m:t>
                  </m:r>
                </m:sub>
              </m:sSub>
            </m:oMath>
          </w:p>
        </w:tc>
      </w:tr>
      <w:tr w:rsidR="00065EB4" w:rsidRPr="00B32E2B" w14:paraId="05AB1EB3" w14:textId="77777777" w:rsidTr="00CC0FD5">
        <w:trPr>
          <w:trHeight w:val="300"/>
        </w:trPr>
        <w:tc>
          <w:tcPr>
            <w:tcW w:w="2446" w:type="dxa"/>
            <w:shd w:val="clear" w:color="auto" w:fill="D9D9D9" w:themeFill="background1" w:themeFillShade="D9"/>
          </w:tcPr>
          <w:p w14:paraId="286BDEA4" w14:textId="77777777" w:rsidR="00925217" w:rsidRPr="00B32E2B" w:rsidRDefault="00925217" w:rsidP="00F36908">
            <w:pPr>
              <w:pStyle w:val="SDMTableBoxParaNotNumbered"/>
              <w:spacing w:before="60" w:after="60"/>
            </w:pPr>
            <w:r w:rsidRPr="00B32E2B">
              <w:t>Description</w:t>
            </w:r>
          </w:p>
        </w:tc>
        <w:tc>
          <w:tcPr>
            <w:tcW w:w="6083" w:type="dxa"/>
            <w:gridSpan w:val="4"/>
          </w:tcPr>
          <w:p w14:paraId="4D490B53" w14:textId="6A83354F" w:rsidR="00170A34" w:rsidRPr="00754504" w:rsidRDefault="003F6646" w:rsidP="00F36908">
            <w:pPr>
              <w:pStyle w:val="SDMTableBoxParaNotNumbered"/>
              <w:spacing w:before="60" w:after="60"/>
              <w:rPr>
                <w:rFonts w:ascii="Cambria Math" w:hAnsi="Cambria Math"/>
              </w:rPr>
            </w:pPr>
            <m:oMath>
              <m:sSub>
                <m:sSubPr>
                  <m:ctrlPr>
                    <w:rPr>
                      <w:rFonts w:ascii="Cambria Math" w:hAnsi="Cambria Math"/>
                      <w:i/>
                    </w:rPr>
                  </m:ctrlPr>
                </m:sSubPr>
                <m:e>
                  <m:r>
                    <m:rPr>
                      <m:sty m:val="bi"/>
                    </m:rPr>
                    <w:rPr>
                      <w:rFonts w:ascii="Cambria Math" w:hAnsi="Cambria Math"/>
                    </w:rPr>
                    <m:t>EG</m:t>
                  </m:r>
                </m:e>
                <m:sub>
                  <m:r>
                    <m:rPr>
                      <m:sty m:val="bi"/>
                    </m:rPr>
                    <w:rPr>
                      <w:rFonts w:ascii="Cambria Math" w:hAnsi="Cambria Math"/>
                    </w:rPr>
                    <m:t>p</m:t>
                  </m:r>
                  <m:r>
                    <w:rPr>
                      <w:rFonts w:ascii="Cambria Math" w:hAnsi="Cambria Math"/>
                    </w:rPr>
                    <m:t>,</m:t>
                  </m:r>
                  <m:r>
                    <m:rPr>
                      <m:sty m:val="bi"/>
                    </m:rPr>
                    <w:rPr>
                      <w:rFonts w:ascii="Cambria Math" w:hAnsi="Cambria Math"/>
                    </w:rPr>
                    <m:t>t</m:t>
                  </m:r>
                </m:sub>
              </m:sSub>
            </m:oMath>
            <w:r w:rsidR="00A787AE" w:rsidRPr="00754504">
              <w:rPr>
                <w:b/>
                <w:bCs/>
                <w:i/>
                <w:iCs/>
              </w:rPr>
              <w:t>:</w:t>
            </w:r>
            <w:r w:rsidR="00A787AE" w:rsidRPr="00754504">
              <w:rPr>
                <w:i/>
                <w:iCs/>
              </w:rPr>
              <w:t xml:space="preserve"> </w:t>
            </w:r>
            <w:r w:rsidR="4B6088EE" w:rsidRPr="00754504">
              <w:t xml:space="preserve">Net quantity of </w:t>
            </w:r>
            <w:r w:rsidR="3E99BECA" w:rsidRPr="00754504">
              <w:rPr>
                <w:lang w:eastAsia="en-US"/>
              </w:rPr>
              <w:t>e</w:t>
            </w:r>
            <w:r w:rsidR="00A787AE" w:rsidRPr="00754504">
              <w:rPr>
                <w:lang w:eastAsia="en-US"/>
              </w:rPr>
              <w:t xml:space="preserve">lectricity generated </w:t>
            </w:r>
            <w:r w:rsidR="6B2E5E90" w:rsidRPr="00754504">
              <w:rPr>
                <w:lang w:eastAsia="en-US"/>
              </w:rPr>
              <w:t xml:space="preserve">and delivered to the electricity system </w:t>
            </w:r>
            <w:r w:rsidR="36C57C20" w:rsidRPr="00754504">
              <w:rPr>
                <w:lang w:eastAsia="en-US"/>
              </w:rPr>
              <w:t xml:space="preserve">by </w:t>
            </w:r>
            <w:r w:rsidR="00A787AE" w:rsidRPr="00754504">
              <w:rPr>
                <w:lang w:eastAsia="en-US"/>
              </w:rPr>
              <w:t>power plant</w:t>
            </w:r>
            <w:r w:rsidR="004C17BF" w:rsidRPr="00754504">
              <w:t> </w:t>
            </w:r>
            <w:r w:rsidR="00A787AE" w:rsidRPr="00754504">
              <w:rPr>
                <w:i/>
                <w:iCs/>
                <w:lang w:eastAsia="en-US"/>
              </w:rPr>
              <w:t>p</w:t>
            </w:r>
            <w:r w:rsidR="00A787AE" w:rsidRPr="00754504">
              <w:rPr>
                <w:lang w:eastAsia="en-US"/>
              </w:rPr>
              <w:t xml:space="preserve"> in period</w:t>
            </w:r>
            <w:r w:rsidR="004C17BF" w:rsidRPr="00754504">
              <w:rPr>
                <w:lang w:eastAsia="en-US"/>
              </w:rPr>
              <w:t> </w:t>
            </w:r>
            <w:r w:rsidR="00A787AE" w:rsidRPr="00754504">
              <w:rPr>
                <w:i/>
                <w:iCs/>
                <w:lang w:eastAsia="en-US"/>
              </w:rPr>
              <w:t>t</w:t>
            </w:r>
            <w:r w:rsidR="0CB58A87" w:rsidRPr="00754504">
              <w:rPr>
                <w:lang w:eastAsia="en-US"/>
              </w:rPr>
              <w:t xml:space="preserve"> </w:t>
            </w:r>
            <w:r w:rsidR="009823DD" w:rsidRPr="00754504">
              <w:rPr>
                <w:lang w:eastAsia="en-US"/>
              </w:rPr>
              <w:t>or, where applicable, the q</w:t>
            </w:r>
            <w:r w:rsidR="325DA46F" w:rsidRPr="00754504">
              <w:t xml:space="preserve">uantity of electricity generated </w:t>
            </w:r>
            <w:r w:rsidR="009823DD" w:rsidRPr="00754504">
              <w:t xml:space="preserve">by </w:t>
            </w:r>
            <w:r w:rsidR="08043241" w:rsidRPr="00754504">
              <w:t xml:space="preserve">fossil-fuel fired </w:t>
            </w:r>
            <w:r w:rsidR="325DA46F" w:rsidRPr="00754504">
              <w:t>captive power plant</w:t>
            </w:r>
            <w:r w:rsidR="325DA46F" w:rsidRPr="00754504">
              <w:rPr>
                <w:i/>
                <w:iCs/>
              </w:rPr>
              <w:t xml:space="preserve"> p </w:t>
            </w:r>
            <w:r w:rsidR="325DA46F" w:rsidRPr="00754504">
              <w:t>in period</w:t>
            </w:r>
            <w:r w:rsidR="325DA46F" w:rsidRPr="00754504">
              <w:rPr>
                <w:i/>
                <w:iCs/>
              </w:rPr>
              <w:t> t</w:t>
            </w:r>
            <w:r w:rsidR="000E7BD0" w:rsidRPr="00754504">
              <w:rPr>
                <w:i/>
                <w:iCs/>
              </w:rPr>
              <w:t>.</w:t>
            </w:r>
          </w:p>
          <w:p w14:paraId="06444F84" w14:textId="29445121" w:rsidR="00925217" w:rsidRPr="00754504" w:rsidRDefault="003F6646" w:rsidP="00F36908">
            <w:pPr>
              <w:pStyle w:val="SDMTableBoxParaNotNumbered"/>
              <w:spacing w:before="60" w:after="60"/>
              <w:rPr>
                <w:lang w:eastAsia="en-US"/>
              </w:rPr>
            </w:pPr>
            <m:oMath>
              <m:sSub>
                <m:sSubPr>
                  <m:ctrlPr>
                    <w:rPr>
                      <w:rFonts w:ascii="Cambria Math" w:hAnsi="Cambria Math"/>
                      <w:i/>
                    </w:rPr>
                  </m:ctrlPr>
                </m:sSubPr>
                <m:e>
                  <m:r>
                    <m:rPr>
                      <m:sty m:val="bi"/>
                    </m:rPr>
                    <w:rPr>
                      <w:rFonts w:ascii="Cambria Math" w:hAnsi="Cambria Math"/>
                    </w:rPr>
                    <m:t>EG</m:t>
                  </m:r>
                </m:e>
                <m:sub>
                  <m:r>
                    <m:rPr>
                      <m:sty m:val="bi"/>
                    </m:rPr>
                    <w:rPr>
                      <w:rFonts w:ascii="Cambria Math" w:hAnsi="Cambria Math"/>
                    </w:rPr>
                    <m:t>p</m:t>
                  </m:r>
                  <m:r>
                    <w:rPr>
                      <w:rFonts w:ascii="Cambria Math" w:hAnsi="Cambria Math"/>
                    </w:rPr>
                    <m:t>,h</m:t>
                  </m:r>
                </m:sub>
              </m:sSub>
            </m:oMath>
            <w:r w:rsidR="00A787AE" w:rsidRPr="00754504">
              <w:rPr>
                <w:b/>
                <w:bCs/>
                <w:i/>
                <w:iCs/>
              </w:rPr>
              <w:t>:</w:t>
            </w:r>
            <w:r w:rsidR="00A787AE" w:rsidRPr="00754504">
              <w:t xml:space="preserve"> </w:t>
            </w:r>
            <w:r w:rsidR="3E99BECA" w:rsidRPr="00754504">
              <w:t xml:space="preserve">Net quantity of </w:t>
            </w:r>
            <w:r w:rsidR="3E99BECA" w:rsidRPr="00754504">
              <w:rPr>
                <w:lang w:eastAsia="en-US"/>
              </w:rPr>
              <w:t>e</w:t>
            </w:r>
            <w:r w:rsidR="0C93E0BB" w:rsidRPr="00754504">
              <w:rPr>
                <w:lang w:eastAsia="en-US"/>
              </w:rPr>
              <w:t xml:space="preserve">lectricity generated </w:t>
            </w:r>
            <w:r w:rsidR="325DA46F" w:rsidRPr="00754504">
              <w:rPr>
                <w:lang w:eastAsia="en-US"/>
              </w:rPr>
              <w:t xml:space="preserve">and delivered to the electricity system </w:t>
            </w:r>
            <w:r w:rsidR="51314454" w:rsidRPr="00754504">
              <w:rPr>
                <w:lang w:eastAsia="en-US"/>
              </w:rPr>
              <w:t xml:space="preserve">by </w:t>
            </w:r>
            <w:r w:rsidR="0C93E0BB" w:rsidRPr="00754504">
              <w:rPr>
                <w:lang w:eastAsia="en-US"/>
              </w:rPr>
              <w:t>power plant</w:t>
            </w:r>
            <w:r w:rsidR="004C17BF" w:rsidRPr="00754504">
              <w:t> </w:t>
            </w:r>
            <w:r w:rsidR="0C93E0BB" w:rsidRPr="00754504">
              <w:rPr>
                <w:i/>
                <w:iCs/>
                <w:lang w:eastAsia="en-US"/>
              </w:rPr>
              <w:t>p</w:t>
            </w:r>
            <w:r w:rsidR="0C93E0BB" w:rsidRPr="00754504">
              <w:rPr>
                <w:lang w:eastAsia="en-US"/>
              </w:rPr>
              <w:t xml:space="preserve"> in hour</w:t>
            </w:r>
            <w:r w:rsidR="004C17BF" w:rsidRPr="00754504">
              <w:rPr>
                <w:lang w:eastAsia="en-US"/>
              </w:rPr>
              <w:t> </w:t>
            </w:r>
            <w:r w:rsidR="0C93E0BB" w:rsidRPr="00754504">
              <w:rPr>
                <w:i/>
                <w:iCs/>
                <w:lang w:eastAsia="en-US"/>
              </w:rPr>
              <w:t>h</w:t>
            </w:r>
            <w:r w:rsidR="325DA46F" w:rsidRPr="00754504">
              <w:rPr>
                <w:lang w:eastAsia="en-US"/>
              </w:rPr>
              <w:t xml:space="preserve"> </w:t>
            </w:r>
            <w:r w:rsidR="000E7BD0" w:rsidRPr="00754504">
              <w:rPr>
                <w:lang w:eastAsia="en-US"/>
              </w:rPr>
              <w:t>or, where applicable, the q</w:t>
            </w:r>
            <w:r w:rsidR="325DA46F" w:rsidRPr="00754504">
              <w:t xml:space="preserve">uantity of electricity generated in </w:t>
            </w:r>
            <w:r w:rsidR="2E45C98B" w:rsidRPr="00754504">
              <w:t xml:space="preserve">fossil-fuel fired </w:t>
            </w:r>
            <w:r w:rsidR="325DA46F" w:rsidRPr="00754504">
              <w:t>captive power plant</w:t>
            </w:r>
            <w:r w:rsidR="325DA46F" w:rsidRPr="00754504">
              <w:rPr>
                <w:i/>
                <w:iCs/>
              </w:rPr>
              <w:t xml:space="preserve"> p </w:t>
            </w:r>
            <w:r w:rsidR="325DA46F" w:rsidRPr="00754504">
              <w:t>in hour</w:t>
            </w:r>
            <w:r w:rsidR="005A1BB7" w:rsidRPr="00754504">
              <w:t> </w:t>
            </w:r>
            <w:r w:rsidR="325DA46F" w:rsidRPr="00754504">
              <w:rPr>
                <w:i/>
                <w:iCs/>
              </w:rPr>
              <w:t>h</w:t>
            </w:r>
          </w:p>
        </w:tc>
      </w:tr>
      <w:tr w:rsidR="00065EB4" w:rsidRPr="00B32E2B" w14:paraId="0592CD2B" w14:textId="77777777" w:rsidTr="00CC0FD5">
        <w:trPr>
          <w:trHeight w:val="300"/>
        </w:trPr>
        <w:tc>
          <w:tcPr>
            <w:tcW w:w="2446" w:type="dxa"/>
            <w:shd w:val="clear" w:color="auto" w:fill="D9D9D9" w:themeFill="background1" w:themeFillShade="D9"/>
          </w:tcPr>
          <w:p w14:paraId="10C55ECB" w14:textId="77777777" w:rsidR="00925217" w:rsidRPr="00B32E2B" w:rsidRDefault="00925217" w:rsidP="00F36908">
            <w:pPr>
              <w:pStyle w:val="SDMTableBoxParaNotNumbered"/>
              <w:spacing w:before="60" w:after="60"/>
            </w:pPr>
            <w:r w:rsidRPr="00B32E2B">
              <w:t>Data unit</w:t>
            </w:r>
          </w:p>
        </w:tc>
        <w:tc>
          <w:tcPr>
            <w:tcW w:w="6083" w:type="dxa"/>
            <w:gridSpan w:val="4"/>
          </w:tcPr>
          <w:p w14:paraId="083BEBF5" w14:textId="77777777" w:rsidR="00924518" w:rsidRPr="00754504" w:rsidRDefault="003F6646" w:rsidP="00F36908">
            <w:pPr>
              <w:pStyle w:val="SDMTableBoxParaNotNumbered"/>
              <w:spacing w:before="60" w:after="60"/>
              <w:rPr>
                <w:lang w:eastAsia="en-US"/>
              </w:rPr>
            </w:pPr>
            <m:oMath>
              <m:sSub>
                <m:sSubPr>
                  <m:ctrlPr>
                    <w:rPr>
                      <w:rFonts w:ascii="Cambria Math" w:hAnsi="Cambria Math"/>
                      <w:i/>
                    </w:rPr>
                  </m:ctrlPr>
                </m:sSubPr>
                <m:e>
                  <m:r>
                    <m:rPr>
                      <m:sty m:val="bi"/>
                    </m:rPr>
                    <w:rPr>
                      <w:rFonts w:ascii="Cambria Math" w:hAnsi="Cambria Math"/>
                    </w:rPr>
                    <m:t>EG</m:t>
                  </m:r>
                </m:e>
                <m:sub>
                  <m:r>
                    <m:rPr>
                      <m:sty m:val="bi"/>
                    </m:rPr>
                    <w:rPr>
                      <w:rFonts w:ascii="Cambria Math" w:hAnsi="Cambria Math"/>
                    </w:rPr>
                    <m:t>p</m:t>
                  </m:r>
                  <m:r>
                    <w:rPr>
                      <w:rFonts w:ascii="Cambria Math" w:hAnsi="Cambria Math"/>
                    </w:rPr>
                    <m:t>,</m:t>
                  </m:r>
                  <m:r>
                    <m:rPr>
                      <m:sty m:val="bi"/>
                    </m:rPr>
                    <w:rPr>
                      <w:rFonts w:ascii="Cambria Math" w:hAnsi="Cambria Math"/>
                    </w:rPr>
                    <m:t>t</m:t>
                  </m:r>
                </m:sub>
              </m:sSub>
            </m:oMath>
            <w:r w:rsidR="0009052F" w:rsidRPr="00754504">
              <w:rPr>
                <w:b/>
                <w:bCs/>
                <w:i/>
              </w:rPr>
              <w:t>:</w:t>
            </w:r>
            <w:r w:rsidR="0009052F" w:rsidRPr="00754504">
              <w:rPr>
                <w:i/>
              </w:rPr>
              <w:t xml:space="preserve"> </w:t>
            </w:r>
            <w:r w:rsidR="0009052F" w:rsidRPr="00754504">
              <w:rPr>
                <w:lang w:eastAsia="en-US"/>
              </w:rPr>
              <w:t>MWh</w:t>
            </w:r>
            <w:r w:rsidR="009E68DE" w:rsidRPr="00754504">
              <w:rPr>
                <w:lang w:eastAsia="en-US"/>
              </w:rPr>
              <w:t xml:space="preserve"> </w:t>
            </w:r>
            <w:r w:rsidR="009E68DE" w:rsidRPr="00754504">
              <w:t>in period</w:t>
            </w:r>
            <w:r w:rsidR="009E68DE" w:rsidRPr="00754504">
              <w:rPr>
                <w:i/>
                <w:iCs/>
              </w:rPr>
              <w:t> t</w:t>
            </w:r>
          </w:p>
          <w:p w14:paraId="66DB492A" w14:textId="34FA7A8B" w:rsidR="00925217" w:rsidRPr="00754504" w:rsidRDefault="003F6646" w:rsidP="00F36908">
            <w:pPr>
              <w:pStyle w:val="SDMTableBoxParaNotNumbered"/>
              <w:spacing w:before="60" w:after="60"/>
            </w:pPr>
            <m:oMath>
              <m:sSub>
                <m:sSubPr>
                  <m:ctrlPr>
                    <w:rPr>
                      <w:rFonts w:ascii="Cambria Math" w:hAnsi="Cambria Math"/>
                      <w:i/>
                    </w:rPr>
                  </m:ctrlPr>
                </m:sSubPr>
                <m:e>
                  <m:r>
                    <m:rPr>
                      <m:sty m:val="bi"/>
                    </m:rPr>
                    <w:rPr>
                      <w:rFonts w:ascii="Cambria Math" w:hAnsi="Cambria Math"/>
                    </w:rPr>
                    <m:t>EG</m:t>
                  </m:r>
                </m:e>
                <m:sub>
                  <m:r>
                    <m:rPr>
                      <m:sty m:val="bi"/>
                    </m:rPr>
                    <w:rPr>
                      <w:rFonts w:ascii="Cambria Math" w:hAnsi="Cambria Math"/>
                    </w:rPr>
                    <m:t>p</m:t>
                  </m:r>
                  <m:r>
                    <w:rPr>
                      <w:rFonts w:ascii="Cambria Math" w:hAnsi="Cambria Math"/>
                    </w:rPr>
                    <m:t>,h</m:t>
                  </m:r>
                </m:sub>
              </m:sSub>
            </m:oMath>
            <w:r w:rsidR="0009052F" w:rsidRPr="00754504">
              <w:rPr>
                <w:b/>
                <w:bCs/>
                <w:i/>
                <w:iCs/>
              </w:rPr>
              <w:t>:</w:t>
            </w:r>
            <w:r w:rsidR="0009052F" w:rsidRPr="00754504">
              <w:t xml:space="preserve"> </w:t>
            </w:r>
            <w:r w:rsidR="00216E40" w:rsidRPr="00754504">
              <w:rPr>
                <w:lang w:eastAsia="en-US"/>
              </w:rPr>
              <w:t>MWh</w:t>
            </w:r>
            <w:r w:rsidR="009E68DE" w:rsidRPr="00754504">
              <w:t xml:space="preserve"> in hour</w:t>
            </w:r>
            <w:r w:rsidR="004C17BF" w:rsidRPr="00754504">
              <w:t> </w:t>
            </w:r>
            <w:r w:rsidR="009E68DE" w:rsidRPr="00754504">
              <w:rPr>
                <w:i/>
                <w:iCs/>
              </w:rPr>
              <w:t>h</w:t>
            </w:r>
          </w:p>
        </w:tc>
      </w:tr>
      <w:tr w:rsidR="00065EB4" w:rsidRPr="00B32E2B" w14:paraId="6D0BB50E" w14:textId="77777777" w:rsidTr="00CC0FD5">
        <w:trPr>
          <w:trHeight w:val="300"/>
        </w:trPr>
        <w:tc>
          <w:tcPr>
            <w:tcW w:w="2446" w:type="dxa"/>
            <w:shd w:val="clear" w:color="auto" w:fill="D9D9D9" w:themeFill="background1" w:themeFillShade="D9"/>
          </w:tcPr>
          <w:p w14:paraId="6BD5963A" w14:textId="77777777" w:rsidR="00925217" w:rsidRPr="00B32E2B" w:rsidRDefault="00925217" w:rsidP="00F36908">
            <w:pPr>
              <w:pStyle w:val="SDMTableBoxParaNotNumbered"/>
              <w:spacing w:before="60" w:after="60"/>
            </w:pPr>
            <w:r w:rsidRPr="00B32E2B">
              <w:t>Equations referred</w:t>
            </w:r>
          </w:p>
        </w:tc>
        <w:tc>
          <w:tcPr>
            <w:tcW w:w="6083" w:type="dxa"/>
            <w:gridSpan w:val="4"/>
            <w:tcBorders>
              <w:bottom w:val="single" w:sz="4" w:space="0" w:color="auto"/>
            </w:tcBorders>
          </w:tcPr>
          <w:p w14:paraId="7BF12454" w14:textId="77777777" w:rsidR="00925217" w:rsidRPr="00B32E2B" w:rsidRDefault="00925217" w:rsidP="00F36908">
            <w:pPr>
              <w:pStyle w:val="SDMTableBoxParaNotNumbered"/>
              <w:spacing w:before="60" w:after="60"/>
            </w:pPr>
          </w:p>
        </w:tc>
      </w:tr>
      <w:tr w:rsidR="00B60137" w:rsidRPr="00131981" w14:paraId="3238A00A" w14:textId="77777777" w:rsidTr="00CC0FD5">
        <w:trPr>
          <w:trHeight w:val="300"/>
        </w:trPr>
        <w:tc>
          <w:tcPr>
            <w:tcW w:w="2446" w:type="dxa"/>
            <w:tcBorders>
              <w:right w:val="single" w:sz="4" w:space="0" w:color="auto"/>
            </w:tcBorders>
            <w:shd w:val="clear" w:color="auto" w:fill="D9D9D9" w:themeFill="background1" w:themeFillShade="D9"/>
          </w:tcPr>
          <w:p w14:paraId="6D8FEA7C" w14:textId="77777777" w:rsidR="00B60137" w:rsidRPr="00131981" w:rsidRDefault="00B60137" w:rsidP="00B60137">
            <w:pPr>
              <w:pStyle w:val="SDMTableBoxParaNotNumbered"/>
              <w:spacing w:before="60" w:after="60"/>
            </w:pPr>
            <w:r w:rsidRPr="00131981">
              <w:t>Purpose of data</w:t>
            </w:r>
          </w:p>
        </w:tc>
        <w:tc>
          <w:tcPr>
            <w:tcW w:w="2224" w:type="dxa"/>
            <w:gridSpan w:val="2"/>
            <w:tcBorders>
              <w:left w:val="single" w:sz="4" w:space="0" w:color="auto"/>
              <w:right w:val="nil"/>
            </w:tcBorders>
          </w:tcPr>
          <w:p w14:paraId="4523784E" w14:textId="6CD3D953" w:rsidR="00B60137" w:rsidRPr="00780E96" w:rsidRDefault="00B60137" w:rsidP="00B60137">
            <w:pPr>
              <w:pStyle w:val="SDMTableBoxParaNotNumbered"/>
              <w:spacing w:before="60" w:after="60"/>
            </w:pPr>
            <w:r w:rsidRPr="00780E96">
              <w:rPr>
                <w:rFonts w:asciiTheme="minorBidi" w:hAnsiTheme="minorBidi" w:cstheme="minorBidi"/>
                <w:shd w:val="clear" w:color="auto" w:fill="E6E6E6"/>
              </w:rPr>
              <w:fldChar w:fldCharType="begin">
                <w:ffData>
                  <w:name w:val=""/>
                  <w:enabled/>
                  <w:calcOnExit w:val="0"/>
                  <w:checkBox>
                    <w:size w:val="20"/>
                    <w:default w:val="1"/>
                  </w:checkBox>
                </w:ffData>
              </w:fldChar>
            </w:r>
            <w:r w:rsidRPr="00780E96">
              <w:rPr>
                <w:rFonts w:asciiTheme="minorBidi" w:hAnsiTheme="minorBidi" w:cstheme="minorBidi"/>
                <w:shd w:val="clear" w:color="auto" w:fill="E6E6E6"/>
              </w:rPr>
              <w:instrText xml:space="preserve"> FORMCHECKBOX </w:instrText>
            </w:r>
            <w:r w:rsidRPr="00780E96">
              <w:rPr>
                <w:rFonts w:asciiTheme="minorBidi" w:hAnsiTheme="minorBidi" w:cstheme="minorBidi"/>
                <w:shd w:val="clear" w:color="auto" w:fill="E6E6E6"/>
              </w:rPr>
            </w:r>
            <w:r w:rsidRPr="00780E96">
              <w:rPr>
                <w:rFonts w:asciiTheme="minorBidi" w:hAnsiTheme="minorBidi" w:cstheme="minorBidi"/>
                <w:shd w:val="clear" w:color="auto" w:fill="E6E6E6"/>
              </w:rPr>
              <w:fldChar w:fldCharType="separate"/>
            </w:r>
            <w:r w:rsidRPr="00780E96">
              <w:rPr>
                <w:rFonts w:asciiTheme="minorBidi" w:hAnsiTheme="minorBidi" w:cstheme="minorBidi"/>
                <w:shd w:val="clear" w:color="auto" w:fill="E6E6E6"/>
              </w:rPr>
              <w:fldChar w:fldCharType="end"/>
            </w:r>
            <w:r w:rsidRPr="00780E96">
              <w:rPr>
                <w:rFonts w:asciiTheme="minorBidi" w:hAnsiTheme="minorBidi" w:cstheme="minorBidi"/>
                <w:shd w:val="clear" w:color="auto" w:fill="E6E6E6"/>
              </w:rPr>
              <w:t xml:space="preserve"> </w:t>
            </w:r>
            <w:r w:rsidRPr="00780E96">
              <w:rPr>
                <w:rFonts w:asciiTheme="minorBidi" w:hAnsiTheme="minorBidi" w:cstheme="minorBidi"/>
              </w:rPr>
              <w:t xml:space="preserve">Baseline </w:t>
            </w:r>
            <w:r w:rsidR="00461FEF" w:rsidRPr="00780E96">
              <w:rPr>
                <w:rFonts w:asciiTheme="minorBidi" w:eastAsia="MS Mincho" w:hAnsiTheme="minorBidi" w:cstheme="minorBidi" w:hint="eastAsia"/>
                <w:lang w:eastAsia="ja-JP"/>
              </w:rPr>
              <w:t>Scenario</w:t>
            </w:r>
          </w:p>
        </w:tc>
        <w:tc>
          <w:tcPr>
            <w:tcW w:w="1973" w:type="dxa"/>
            <w:tcBorders>
              <w:left w:val="nil"/>
              <w:right w:val="nil"/>
            </w:tcBorders>
          </w:tcPr>
          <w:p w14:paraId="7CCB197B" w14:textId="235821A9" w:rsidR="00B60137" w:rsidRPr="00780E96" w:rsidRDefault="00B60137" w:rsidP="00B60137">
            <w:pPr>
              <w:pStyle w:val="SDMTableBoxParaNotNumbered"/>
              <w:spacing w:before="60" w:after="60"/>
            </w:pPr>
            <w:r w:rsidRPr="00780E96">
              <w:rPr>
                <w:rFonts w:asciiTheme="minorBidi" w:hAnsiTheme="minorBidi" w:cstheme="minorBidi"/>
                <w:shd w:val="clear" w:color="auto" w:fill="E6E6E6"/>
              </w:rPr>
              <w:fldChar w:fldCharType="begin">
                <w:ffData>
                  <w:name w:val=""/>
                  <w:enabled/>
                  <w:calcOnExit w:val="0"/>
                  <w:checkBox>
                    <w:size w:val="20"/>
                    <w:default w:val="1"/>
                  </w:checkBox>
                </w:ffData>
              </w:fldChar>
            </w:r>
            <w:r w:rsidRPr="00780E96">
              <w:rPr>
                <w:rFonts w:asciiTheme="minorBidi" w:hAnsiTheme="minorBidi" w:cstheme="minorBidi"/>
                <w:shd w:val="clear" w:color="auto" w:fill="E6E6E6"/>
              </w:rPr>
              <w:instrText xml:space="preserve"> FORMCHECKBOX </w:instrText>
            </w:r>
            <w:r w:rsidRPr="00780E96">
              <w:rPr>
                <w:rFonts w:asciiTheme="minorBidi" w:hAnsiTheme="minorBidi" w:cstheme="minorBidi"/>
                <w:shd w:val="clear" w:color="auto" w:fill="E6E6E6"/>
              </w:rPr>
            </w:r>
            <w:r w:rsidRPr="00780E96">
              <w:rPr>
                <w:rFonts w:asciiTheme="minorBidi" w:hAnsiTheme="minorBidi" w:cstheme="minorBidi"/>
                <w:shd w:val="clear" w:color="auto" w:fill="E6E6E6"/>
              </w:rPr>
              <w:fldChar w:fldCharType="separate"/>
            </w:r>
            <w:r w:rsidRPr="00780E96">
              <w:rPr>
                <w:rFonts w:asciiTheme="minorBidi" w:hAnsiTheme="minorBidi" w:cstheme="minorBidi"/>
                <w:shd w:val="clear" w:color="auto" w:fill="E6E6E6"/>
              </w:rPr>
              <w:fldChar w:fldCharType="end"/>
            </w:r>
            <w:r w:rsidRPr="00780E96">
              <w:rPr>
                <w:rFonts w:asciiTheme="minorBidi" w:hAnsiTheme="minorBidi" w:cstheme="minorBidi"/>
              </w:rPr>
              <w:fldChar w:fldCharType="begin"/>
            </w:r>
            <w:r w:rsidRPr="00780E96">
              <w:rPr>
                <w:rFonts w:asciiTheme="minorBidi" w:hAnsiTheme="minorBidi" w:cstheme="minorBidi"/>
              </w:rPr>
              <w:instrText xml:space="preserve"> FORMCHECKBOX </w:instrText>
            </w:r>
            <w:r w:rsidRPr="00780E96">
              <w:rPr>
                <w:rFonts w:asciiTheme="minorBidi" w:hAnsiTheme="minorBidi" w:cstheme="minorBidi"/>
              </w:rPr>
              <w:fldChar w:fldCharType="separate"/>
            </w:r>
            <w:r w:rsidRPr="00780E96">
              <w:rPr>
                <w:rFonts w:asciiTheme="minorBidi" w:hAnsiTheme="minorBidi" w:cstheme="minorBidi"/>
              </w:rPr>
              <w:fldChar w:fldCharType="end"/>
            </w:r>
            <w:r w:rsidRPr="00780E96">
              <w:rPr>
                <w:rFonts w:asciiTheme="minorBidi" w:hAnsiTheme="minorBidi" w:cstheme="minorBidi"/>
              </w:rPr>
              <w:t xml:space="preserve"> </w:t>
            </w:r>
            <w:r w:rsidRPr="00780E96">
              <w:rPr>
                <w:rFonts w:asciiTheme="minorBidi" w:eastAsia="MS Mincho" w:hAnsiTheme="minorBidi" w:cstheme="minorBidi" w:hint="eastAsia"/>
                <w:lang w:eastAsia="ja-JP"/>
              </w:rPr>
              <w:t xml:space="preserve">Activity </w:t>
            </w:r>
            <w:r w:rsidR="00461FEF" w:rsidRPr="00780E96">
              <w:rPr>
                <w:rFonts w:asciiTheme="minorBidi" w:eastAsia="MS Mincho" w:hAnsiTheme="minorBidi" w:cstheme="minorBidi" w:hint="eastAsia"/>
                <w:lang w:eastAsia="ja-JP"/>
              </w:rPr>
              <w:t>Scenario</w:t>
            </w:r>
          </w:p>
        </w:tc>
        <w:tc>
          <w:tcPr>
            <w:tcW w:w="1886" w:type="dxa"/>
            <w:tcBorders>
              <w:left w:val="nil"/>
            </w:tcBorders>
          </w:tcPr>
          <w:p w14:paraId="169D7906" w14:textId="7A4EC821" w:rsidR="00B60137" w:rsidRPr="005D7E1B" w:rsidRDefault="00B60137" w:rsidP="00B60137">
            <w:pPr>
              <w:pStyle w:val="SDMTableBoxParaNotNumbered"/>
              <w:spacing w:before="60" w:after="60"/>
            </w:pPr>
            <w:r w:rsidRPr="005D7E1B">
              <w:rPr>
                <w:rFonts w:asciiTheme="minorBidi" w:hAnsiTheme="minorBidi" w:cstheme="minorBidi"/>
                <w:shd w:val="clear" w:color="auto" w:fill="E6E6E6"/>
              </w:rPr>
              <w:fldChar w:fldCharType="begin">
                <w:ffData>
                  <w:name w:val=""/>
                  <w:enabled/>
                  <w:calcOnExit w:val="0"/>
                  <w:checkBox>
                    <w:size w:val="20"/>
                    <w:default w:val="1"/>
                  </w:checkBox>
                </w:ffData>
              </w:fldChar>
            </w:r>
            <w:r w:rsidRPr="005D7E1B">
              <w:rPr>
                <w:rFonts w:asciiTheme="minorBidi" w:hAnsiTheme="minorBidi" w:cstheme="minorBidi"/>
                <w:shd w:val="clear" w:color="auto" w:fill="E6E6E6"/>
              </w:rPr>
              <w:instrText xml:space="preserve"> FORMCHECKBOX </w:instrText>
            </w:r>
            <w:r w:rsidRPr="005D7E1B">
              <w:rPr>
                <w:rFonts w:asciiTheme="minorBidi" w:hAnsiTheme="minorBidi" w:cstheme="minorBidi"/>
                <w:shd w:val="clear" w:color="auto" w:fill="E6E6E6"/>
              </w:rPr>
            </w:r>
            <w:r w:rsidRPr="005D7E1B">
              <w:rPr>
                <w:rFonts w:asciiTheme="minorBidi" w:hAnsiTheme="minorBidi" w:cstheme="minorBidi"/>
                <w:shd w:val="clear" w:color="auto" w:fill="E6E6E6"/>
              </w:rPr>
              <w:fldChar w:fldCharType="separate"/>
            </w:r>
            <w:r w:rsidRPr="005D7E1B">
              <w:rPr>
                <w:rFonts w:asciiTheme="minorBidi" w:hAnsiTheme="minorBidi" w:cstheme="minorBidi"/>
                <w:shd w:val="clear" w:color="auto" w:fill="E6E6E6"/>
              </w:rPr>
              <w:fldChar w:fldCharType="end"/>
            </w:r>
            <w:r w:rsidRPr="3161B3F5">
              <w:rPr>
                <w:rFonts w:asciiTheme="minorBidi" w:hAnsiTheme="minorBidi" w:cstheme="minorBidi"/>
              </w:rPr>
              <w:fldChar w:fldCharType="begin"/>
            </w:r>
            <w:r w:rsidRPr="3161B3F5">
              <w:rPr>
                <w:rFonts w:asciiTheme="minorBidi" w:hAnsiTheme="minorBidi" w:cstheme="minorBidi"/>
              </w:rPr>
              <w:instrText xml:space="preserve"> FORMCHECKBOX </w:instrText>
            </w:r>
            <w:r w:rsidRPr="3161B3F5">
              <w:rPr>
                <w:rFonts w:asciiTheme="minorBidi" w:hAnsiTheme="minorBidi" w:cstheme="minorBidi"/>
              </w:rPr>
              <w:fldChar w:fldCharType="separate"/>
            </w:r>
            <w:r w:rsidRPr="3161B3F5">
              <w:rPr>
                <w:rFonts w:asciiTheme="minorBidi" w:hAnsiTheme="minorBidi" w:cstheme="minorBidi"/>
              </w:rPr>
              <w:fldChar w:fldCharType="end"/>
            </w:r>
            <w:r w:rsidRPr="005D7E1B">
              <w:rPr>
                <w:rFonts w:asciiTheme="minorBidi" w:hAnsiTheme="minorBidi" w:cstheme="minorBidi"/>
              </w:rPr>
              <w:t xml:space="preserve"> Leakage </w:t>
            </w:r>
          </w:p>
        </w:tc>
      </w:tr>
      <w:tr w:rsidR="00065EB4" w:rsidRPr="00B32E2B" w14:paraId="2D79BFFC" w14:textId="77777777" w:rsidTr="00CC0FD5">
        <w:trPr>
          <w:trHeight w:val="300"/>
        </w:trPr>
        <w:tc>
          <w:tcPr>
            <w:tcW w:w="2446" w:type="dxa"/>
            <w:shd w:val="clear" w:color="auto" w:fill="D9D9D9" w:themeFill="background1" w:themeFillShade="D9"/>
          </w:tcPr>
          <w:p w14:paraId="380D9DE6" w14:textId="77777777" w:rsidR="00925217" w:rsidRPr="00B32E2B" w:rsidRDefault="71BBC291" w:rsidP="00F36908">
            <w:pPr>
              <w:pStyle w:val="SDMTableBoxParaNotNumbered"/>
              <w:spacing w:before="60" w:after="60"/>
            </w:pPr>
            <w:r>
              <w:t>Measurement and updating frequency</w:t>
            </w:r>
          </w:p>
        </w:tc>
        <w:tc>
          <w:tcPr>
            <w:tcW w:w="6083" w:type="dxa"/>
            <w:gridSpan w:val="4"/>
          </w:tcPr>
          <w:p w14:paraId="3377CC38" w14:textId="77777777" w:rsidR="00F74E46" w:rsidRPr="00754504" w:rsidRDefault="003F6646" w:rsidP="00F36908">
            <w:pPr>
              <w:pStyle w:val="SDMTableBoxParaNotNumbered"/>
              <w:spacing w:before="60" w:after="60"/>
              <w:rPr>
                <w:i/>
                <w:iCs/>
                <w:lang w:eastAsia="en-US"/>
              </w:rPr>
            </w:pPr>
            <m:oMath>
              <m:sSub>
                <m:sSubPr>
                  <m:ctrlPr>
                    <w:rPr>
                      <w:rFonts w:ascii="Cambria Math" w:hAnsi="Cambria Math"/>
                      <w:i/>
                    </w:rPr>
                  </m:ctrlPr>
                </m:sSubPr>
                <m:e>
                  <m:r>
                    <m:rPr>
                      <m:sty m:val="bi"/>
                    </m:rPr>
                    <w:rPr>
                      <w:rFonts w:ascii="Cambria Math" w:hAnsi="Cambria Math"/>
                    </w:rPr>
                    <m:t>EG</m:t>
                  </m:r>
                </m:e>
                <m:sub>
                  <m:r>
                    <m:rPr>
                      <m:sty m:val="bi"/>
                    </m:rPr>
                    <w:rPr>
                      <w:rFonts w:ascii="Cambria Math" w:hAnsi="Cambria Math"/>
                    </w:rPr>
                    <m:t>p,t</m:t>
                  </m:r>
                </m:sub>
              </m:sSub>
            </m:oMath>
            <w:r w:rsidR="6DC055E6" w:rsidRPr="00754504">
              <w:rPr>
                <w:b/>
                <w:bCs/>
                <w:i/>
                <w:iCs/>
              </w:rPr>
              <w:t>:</w:t>
            </w:r>
            <w:r w:rsidR="6DC055E6" w:rsidRPr="00754504">
              <w:t xml:space="preserve"> Continuous measurement and at least monthly recording</w:t>
            </w:r>
          </w:p>
          <w:p w14:paraId="33A3C999" w14:textId="3CA8D172" w:rsidR="00925217" w:rsidRPr="00754504" w:rsidRDefault="003F6646" w:rsidP="00F36908">
            <w:pPr>
              <w:pStyle w:val="SDMTableBoxParaNotNumbered"/>
              <w:spacing w:before="60" w:after="60"/>
            </w:pPr>
            <m:oMath>
              <m:sSub>
                <m:sSubPr>
                  <m:ctrlPr>
                    <w:rPr>
                      <w:rFonts w:ascii="Cambria Math" w:hAnsi="Cambria Math"/>
                      <w:i/>
                    </w:rPr>
                  </m:ctrlPr>
                </m:sSubPr>
                <m:e>
                  <m:r>
                    <m:rPr>
                      <m:sty m:val="bi"/>
                    </m:rPr>
                    <w:rPr>
                      <w:rFonts w:ascii="Cambria Math" w:hAnsi="Cambria Math"/>
                    </w:rPr>
                    <m:t>EG</m:t>
                  </m:r>
                </m:e>
                <m:sub>
                  <m:r>
                    <m:rPr>
                      <m:sty m:val="bi"/>
                    </m:rPr>
                    <w:rPr>
                      <w:rFonts w:ascii="Cambria Math" w:hAnsi="Cambria Math"/>
                    </w:rPr>
                    <m:t>p</m:t>
                  </m:r>
                  <m:r>
                    <w:rPr>
                      <w:rFonts w:ascii="Cambria Math" w:hAnsi="Cambria Math"/>
                    </w:rPr>
                    <m:t>,</m:t>
                  </m:r>
                  <m:r>
                    <m:rPr>
                      <m:sty m:val="bi"/>
                    </m:rPr>
                    <w:rPr>
                      <w:rFonts w:ascii="Cambria Math" w:hAnsi="Cambria Math"/>
                    </w:rPr>
                    <m:t>h</m:t>
                  </m:r>
                </m:sub>
              </m:sSub>
            </m:oMath>
            <w:r w:rsidR="6DC055E6" w:rsidRPr="00754504">
              <w:rPr>
                <w:b/>
                <w:bCs/>
                <w:i/>
                <w:iCs/>
              </w:rPr>
              <w:t>:</w:t>
            </w:r>
            <w:r w:rsidR="6DC055E6" w:rsidRPr="00754504">
              <w:rPr>
                <w:i/>
                <w:iCs/>
              </w:rPr>
              <w:t xml:space="preserve"> </w:t>
            </w:r>
            <w:r w:rsidR="6DC055E6" w:rsidRPr="00754504">
              <w:t>Continuous measurement and at least hourly recording</w:t>
            </w:r>
          </w:p>
        </w:tc>
      </w:tr>
      <w:tr w:rsidR="00065EB4" w:rsidRPr="00B32E2B" w14:paraId="4ACA980D" w14:textId="77777777" w:rsidTr="00CC0FD5">
        <w:trPr>
          <w:trHeight w:val="300"/>
        </w:trPr>
        <w:tc>
          <w:tcPr>
            <w:tcW w:w="2446" w:type="dxa"/>
            <w:shd w:val="clear" w:color="auto" w:fill="D9D9D9" w:themeFill="background1" w:themeFillShade="D9"/>
          </w:tcPr>
          <w:p w14:paraId="32C6F260" w14:textId="77777777" w:rsidR="00925217" w:rsidRPr="00B32E2B" w:rsidRDefault="00925217" w:rsidP="00F36908">
            <w:pPr>
              <w:pStyle w:val="SDMTableBoxParaNotNumbered"/>
              <w:spacing w:before="60" w:after="60"/>
            </w:pPr>
            <w:r w:rsidRPr="00B32E2B">
              <w:t>Measurement methods and procedures</w:t>
            </w:r>
          </w:p>
        </w:tc>
        <w:tc>
          <w:tcPr>
            <w:tcW w:w="6083" w:type="dxa"/>
            <w:gridSpan w:val="4"/>
          </w:tcPr>
          <w:p w14:paraId="154D1FD3" w14:textId="0B27CD07" w:rsidR="00925217" w:rsidRPr="00B32E2B" w:rsidRDefault="00925217" w:rsidP="00F36908">
            <w:pPr>
              <w:pStyle w:val="SDMTableBoxParaNotNumbered"/>
              <w:spacing w:before="60" w:after="60"/>
            </w:pPr>
            <w:r w:rsidRPr="00B32E2B">
              <w:t xml:space="preserve">Direct measurement or </w:t>
            </w:r>
            <w:r w:rsidR="00DE589D" w:rsidRPr="00B32E2B">
              <w:t>calculat</w:t>
            </w:r>
            <w:r w:rsidR="00DE589D">
              <w:t>ion</w:t>
            </w:r>
            <w:r w:rsidR="00DE589D" w:rsidRPr="00B32E2B">
              <w:t xml:space="preserve"> </w:t>
            </w:r>
            <w:r w:rsidRPr="00B32E2B">
              <w:t>based on measurements from more than one electricity meter</w:t>
            </w:r>
          </w:p>
        </w:tc>
      </w:tr>
      <w:tr w:rsidR="00065EB4" w:rsidRPr="00B32E2B" w14:paraId="07772528" w14:textId="77777777" w:rsidTr="00CC0FD5">
        <w:trPr>
          <w:trHeight w:val="107"/>
        </w:trPr>
        <w:tc>
          <w:tcPr>
            <w:tcW w:w="2446" w:type="dxa"/>
            <w:shd w:val="clear" w:color="auto" w:fill="D9D9D9" w:themeFill="background1" w:themeFillShade="D9"/>
          </w:tcPr>
          <w:p w14:paraId="5937FF9D" w14:textId="77777777" w:rsidR="00925217" w:rsidRPr="00B32E2B" w:rsidRDefault="00925217" w:rsidP="00F36908">
            <w:pPr>
              <w:pStyle w:val="SDMTableBoxParaNotNumbered"/>
              <w:spacing w:before="60" w:after="60"/>
            </w:pPr>
            <w:r w:rsidRPr="00B32E2B">
              <w:t>Entity/person responsible for the measurement</w:t>
            </w:r>
          </w:p>
        </w:tc>
        <w:tc>
          <w:tcPr>
            <w:tcW w:w="6083" w:type="dxa"/>
            <w:gridSpan w:val="4"/>
          </w:tcPr>
          <w:p w14:paraId="54562285" w14:textId="77777777" w:rsidR="00925217" w:rsidRPr="00B32E2B" w:rsidRDefault="00925217" w:rsidP="00F36908">
            <w:pPr>
              <w:pStyle w:val="SDMTableBoxParaNotNumbered"/>
              <w:spacing w:before="60" w:after="60"/>
            </w:pPr>
            <w:r w:rsidRPr="00B32E2B">
              <w:t>Activity participants</w:t>
            </w:r>
          </w:p>
        </w:tc>
      </w:tr>
      <w:tr w:rsidR="00F412BF" w:rsidRPr="00B32E2B" w14:paraId="4976FB9D" w14:textId="77777777" w:rsidTr="00CC0FD5">
        <w:trPr>
          <w:trHeight w:val="107"/>
        </w:trPr>
        <w:tc>
          <w:tcPr>
            <w:tcW w:w="2446" w:type="dxa"/>
            <w:vMerge w:val="restart"/>
            <w:shd w:val="clear" w:color="auto" w:fill="D9D9D9" w:themeFill="background1" w:themeFillShade="D9"/>
          </w:tcPr>
          <w:p w14:paraId="00D92509" w14:textId="77777777" w:rsidR="00925217" w:rsidRPr="00B32E2B" w:rsidRDefault="00925217" w:rsidP="00F36908">
            <w:pPr>
              <w:pStyle w:val="SDMTableBoxParaNotNumbered"/>
              <w:spacing w:before="60" w:after="60"/>
            </w:pPr>
            <w:r w:rsidRPr="00B32E2B">
              <w:t>Measuring instrument(s)</w:t>
            </w:r>
          </w:p>
        </w:tc>
        <w:tc>
          <w:tcPr>
            <w:tcW w:w="1473" w:type="dxa"/>
          </w:tcPr>
          <w:p w14:paraId="256E71E9" w14:textId="77777777" w:rsidR="00925217" w:rsidRPr="00B32E2B" w:rsidRDefault="00925217" w:rsidP="00F36908">
            <w:pPr>
              <w:pStyle w:val="SDMTableBoxParaNotNumbered"/>
              <w:spacing w:before="60" w:after="60"/>
              <w:rPr>
                <w:i/>
                <w:iCs/>
              </w:rPr>
            </w:pPr>
            <w:r w:rsidRPr="00B32E2B">
              <w:rPr>
                <w:i/>
                <w:iCs/>
              </w:rPr>
              <w:t>Type of instrument</w:t>
            </w:r>
          </w:p>
        </w:tc>
        <w:tc>
          <w:tcPr>
            <w:tcW w:w="4610" w:type="dxa"/>
            <w:gridSpan w:val="3"/>
          </w:tcPr>
          <w:p w14:paraId="1914AE7F" w14:textId="77777777" w:rsidR="00925217" w:rsidRPr="00B32E2B" w:rsidRDefault="00925217" w:rsidP="00F36908">
            <w:pPr>
              <w:pStyle w:val="SDMTableBoxParaNotNumbered"/>
              <w:spacing w:before="60" w:after="60"/>
            </w:pPr>
            <w:r w:rsidRPr="00B32E2B">
              <w:t>Electricity-meter(s)</w:t>
            </w:r>
          </w:p>
        </w:tc>
      </w:tr>
      <w:tr w:rsidR="00F412BF" w:rsidRPr="00B32E2B" w14:paraId="6D88956E" w14:textId="77777777" w:rsidTr="00CC0FD5">
        <w:trPr>
          <w:trHeight w:val="104"/>
        </w:trPr>
        <w:tc>
          <w:tcPr>
            <w:tcW w:w="2446" w:type="dxa"/>
            <w:vMerge/>
            <w:shd w:val="clear" w:color="auto" w:fill="D9D9D9" w:themeFill="background1" w:themeFillShade="D9"/>
          </w:tcPr>
          <w:p w14:paraId="749FA470" w14:textId="77777777" w:rsidR="00925217" w:rsidRPr="00B32E2B" w:rsidRDefault="00925217" w:rsidP="00F36908">
            <w:pPr>
              <w:pStyle w:val="SDMTableBoxParaNotNumbered"/>
              <w:spacing w:before="60" w:after="60"/>
            </w:pPr>
          </w:p>
        </w:tc>
        <w:tc>
          <w:tcPr>
            <w:tcW w:w="1473" w:type="dxa"/>
          </w:tcPr>
          <w:p w14:paraId="2B746283" w14:textId="77777777" w:rsidR="00925217" w:rsidRPr="00B32E2B" w:rsidRDefault="00925217" w:rsidP="00F36908">
            <w:pPr>
              <w:pStyle w:val="SDMTableBoxParaNotNumbered"/>
              <w:spacing w:before="60" w:after="60"/>
              <w:rPr>
                <w:i/>
                <w:iCs/>
              </w:rPr>
            </w:pPr>
            <w:r w:rsidRPr="00B32E2B">
              <w:rPr>
                <w:i/>
                <w:iCs/>
              </w:rPr>
              <w:t>Accuracy class</w:t>
            </w:r>
          </w:p>
        </w:tc>
        <w:tc>
          <w:tcPr>
            <w:tcW w:w="4610" w:type="dxa"/>
            <w:gridSpan w:val="3"/>
          </w:tcPr>
          <w:p w14:paraId="2AF3FEF4" w14:textId="120739E5" w:rsidR="00925217" w:rsidRPr="00B32E2B" w:rsidRDefault="12865A3D" w:rsidP="00F36908">
            <w:pPr>
              <w:pStyle w:val="SDMTableBoxParaNotNumbered"/>
              <w:spacing w:before="60" w:after="60"/>
            </w:pPr>
            <w:r>
              <w:t xml:space="preserve">At least </w:t>
            </w:r>
            <w:r w:rsidR="00DE589D">
              <w:t xml:space="preserve">accuracy class </w:t>
            </w:r>
            <w:r>
              <w:t xml:space="preserve">0.5, or in accordance with the </w:t>
            </w:r>
            <w:r w:rsidR="00DE589D">
              <w:t xml:space="preserve">specifications </w:t>
            </w:r>
            <w:r>
              <w:t>of the meter supplier or national requirements</w:t>
            </w:r>
          </w:p>
        </w:tc>
      </w:tr>
      <w:tr w:rsidR="00F412BF" w:rsidRPr="00B32E2B" w14:paraId="764495CC" w14:textId="77777777" w:rsidTr="00CC0FD5">
        <w:trPr>
          <w:trHeight w:val="104"/>
        </w:trPr>
        <w:tc>
          <w:tcPr>
            <w:tcW w:w="2446" w:type="dxa"/>
            <w:vMerge/>
            <w:shd w:val="clear" w:color="auto" w:fill="D9D9D9" w:themeFill="background1" w:themeFillShade="D9"/>
          </w:tcPr>
          <w:p w14:paraId="2BD97F0B" w14:textId="77777777" w:rsidR="00925217" w:rsidRPr="00B32E2B" w:rsidRDefault="00925217" w:rsidP="00F36908">
            <w:pPr>
              <w:pStyle w:val="SDMTableBoxParaNotNumbered"/>
              <w:spacing w:before="60" w:after="60"/>
            </w:pPr>
          </w:p>
        </w:tc>
        <w:tc>
          <w:tcPr>
            <w:tcW w:w="1473" w:type="dxa"/>
          </w:tcPr>
          <w:p w14:paraId="51EB99FE" w14:textId="77777777" w:rsidR="00925217" w:rsidRPr="00B32E2B" w:rsidRDefault="00925217" w:rsidP="00F36908">
            <w:pPr>
              <w:pStyle w:val="SDMTableBoxParaNotNumbered"/>
              <w:spacing w:before="60" w:after="60"/>
              <w:rPr>
                <w:i/>
                <w:iCs/>
              </w:rPr>
            </w:pPr>
            <w:r w:rsidRPr="00B32E2B">
              <w:rPr>
                <w:i/>
                <w:iCs/>
              </w:rPr>
              <w:t>Calibration requirements</w:t>
            </w:r>
          </w:p>
        </w:tc>
        <w:tc>
          <w:tcPr>
            <w:tcW w:w="4610" w:type="dxa"/>
            <w:gridSpan w:val="3"/>
          </w:tcPr>
          <w:p w14:paraId="567F8CAC" w14:textId="3A44BC84" w:rsidR="00925217" w:rsidRPr="00B32E2B" w:rsidRDefault="12865A3D" w:rsidP="00F36908">
            <w:pPr>
              <w:pStyle w:val="SDMTableBoxParaNotNumbered"/>
              <w:spacing w:before="60" w:after="60"/>
              <w:rPr>
                <w:rFonts w:ascii="Calibri" w:hAnsi="Calibri" w:cs="Calibri"/>
              </w:rPr>
            </w:pPr>
            <w:r>
              <w:t>Every</w:t>
            </w:r>
            <w:r w:rsidDel="00DE589D">
              <w:t xml:space="preserve"> </w:t>
            </w:r>
            <w:r w:rsidR="00DE589D">
              <w:t xml:space="preserve">three </w:t>
            </w:r>
            <w:r>
              <w:t>years or in accordance with national standards or requirements set by the meter supplier, including the</w:t>
            </w:r>
            <w:r w:rsidR="002B3545">
              <w:t xml:space="preserve"> required calibration</w:t>
            </w:r>
            <w:r>
              <w:t xml:space="preserve"> frequency</w:t>
            </w:r>
          </w:p>
        </w:tc>
      </w:tr>
      <w:tr w:rsidR="00F412BF" w:rsidRPr="00B32E2B" w14:paraId="624E10B3" w14:textId="77777777" w:rsidTr="00CC0FD5">
        <w:trPr>
          <w:trHeight w:val="104"/>
        </w:trPr>
        <w:tc>
          <w:tcPr>
            <w:tcW w:w="2446" w:type="dxa"/>
            <w:vMerge/>
            <w:shd w:val="clear" w:color="auto" w:fill="D9D9D9" w:themeFill="background1" w:themeFillShade="D9"/>
          </w:tcPr>
          <w:p w14:paraId="4033A1DB" w14:textId="77777777" w:rsidR="00925217" w:rsidRPr="00B32E2B" w:rsidRDefault="00925217" w:rsidP="00F36908">
            <w:pPr>
              <w:pStyle w:val="SDMTableBoxParaNotNumbered"/>
              <w:spacing w:before="60" w:after="60"/>
            </w:pPr>
          </w:p>
        </w:tc>
        <w:tc>
          <w:tcPr>
            <w:tcW w:w="1473" w:type="dxa"/>
          </w:tcPr>
          <w:p w14:paraId="17D51405" w14:textId="77777777" w:rsidR="00925217" w:rsidRPr="00B32E2B" w:rsidRDefault="00925217" w:rsidP="00F36908">
            <w:pPr>
              <w:pStyle w:val="SDMTableBoxParaNotNumbered"/>
              <w:spacing w:before="60" w:after="60"/>
              <w:rPr>
                <w:i/>
                <w:iCs/>
              </w:rPr>
            </w:pPr>
            <w:r w:rsidRPr="00B32E2B">
              <w:rPr>
                <w:i/>
                <w:iCs/>
              </w:rPr>
              <w:t>Location</w:t>
            </w:r>
          </w:p>
        </w:tc>
        <w:tc>
          <w:tcPr>
            <w:tcW w:w="4610" w:type="dxa"/>
            <w:gridSpan w:val="3"/>
          </w:tcPr>
          <w:p w14:paraId="646DC5E7" w14:textId="34926A4C" w:rsidR="00925217" w:rsidRPr="00B32E2B" w:rsidRDefault="12865A3D" w:rsidP="00F36908">
            <w:pPr>
              <w:pStyle w:val="SDMTableBoxParaNotNumbered"/>
              <w:spacing w:before="60" w:after="60"/>
            </w:pPr>
            <w:r>
              <w:t>Entrance of the captive consumer</w:t>
            </w:r>
            <w:r w:rsidR="002B3545">
              <w:t>, where applicable</w:t>
            </w:r>
          </w:p>
        </w:tc>
      </w:tr>
      <w:tr w:rsidR="00065EB4" w:rsidRPr="00B32E2B" w14:paraId="2F68B032" w14:textId="77777777" w:rsidTr="00CC0FD5">
        <w:trPr>
          <w:trHeight w:val="300"/>
        </w:trPr>
        <w:tc>
          <w:tcPr>
            <w:tcW w:w="2446" w:type="dxa"/>
            <w:shd w:val="clear" w:color="auto" w:fill="D9D9D9" w:themeFill="background1" w:themeFillShade="D9"/>
          </w:tcPr>
          <w:p w14:paraId="67E37E70" w14:textId="77777777" w:rsidR="00925217" w:rsidRPr="00B32E2B" w:rsidRDefault="00925217" w:rsidP="00F36908">
            <w:pPr>
              <w:pStyle w:val="SDMTableBoxParaNotNumbered"/>
              <w:spacing w:before="60" w:after="60"/>
            </w:pPr>
            <w:r w:rsidRPr="00B32E2B">
              <w:t>QA/QC procedures</w:t>
            </w:r>
          </w:p>
        </w:tc>
        <w:tc>
          <w:tcPr>
            <w:tcW w:w="6083" w:type="dxa"/>
            <w:gridSpan w:val="4"/>
          </w:tcPr>
          <w:p w14:paraId="1D767F9B" w14:textId="3389C718" w:rsidR="00925217" w:rsidRPr="00B32E2B" w:rsidRDefault="00925217" w:rsidP="00F36908">
            <w:pPr>
              <w:pStyle w:val="SDMTableBoxParaNotNumbered"/>
              <w:spacing w:before="60" w:after="60"/>
            </w:pPr>
            <w:r w:rsidRPr="00B32E2B">
              <w:t xml:space="preserve">The electricity meter </w:t>
            </w:r>
            <w:r w:rsidR="00A50279">
              <w:t>shall</w:t>
            </w:r>
            <w:r w:rsidRPr="00B32E2B">
              <w:t xml:space="preserve"> be subject to regular maintenance and testing in accordance with the stipulation of the meter supplier or national requirements.</w:t>
            </w:r>
          </w:p>
          <w:p w14:paraId="660A2CE1" w14:textId="748ED97E" w:rsidR="00925217" w:rsidRPr="00B32E2B" w:rsidRDefault="12865A3D" w:rsidP="00F36908">
            <w:pPr>
              <w:pStyle w:val="SDMTableBoxParaNotNumbered"/>
              <w:spacing w:before="60" w:after="60"/>
            </w:pPr>
            <w:r>
              <w:t>The electricity generation (gross or net) shall be cross-checked with records of electricity sale (e.g.</w:t>
            </w:r>
            <w:r w:rsidR="1D9FD470">
              <w:t>,</w:t>
            </w:r>
            <w:r>
              <w:t xml:space="preserve"> sales receipt</w:t>
            </w:r>
            <w:r w:rsidR="002B3545">
              <w:t>s</w:t>
            </w:r>
            <w:r>
              <w:t>)</w:t>
            </w:r>
          </w:p>
        </w:tc>
      </w:tr>
      <w:tr w:rsidR="00065EB4" w:rsidRPr="00B32E2B" w14:paraId="06885D2C" w14:textId="77777777" w:rsidTr="00CC0FD5">
        <w:trPr>
          <w:trHeight w:val="300"/>
        </w:trPr>
        <w:tc>
          <w:tcPr>
            <w:tcW w:w="2446" w:type="dxa"/>
            <w:shd w:val="clear" w:color="auto" w:fill="D9D9D9" w:themeFill="background1" w:themeFillShade="D9"/>
          </w:tcPr>
          <w:p w14:paraId="5E3C3CB0" w14:textId="77777777" w:rsidR="00925217" w:rsidRPr="00B32E2B" w:rsidRDefault="00925217" w:rsidP="0038031D">
            <w:pPr>
              <w:pStyle w:val="SDMTableBoxParaNotNumbered"/>
              <w:keepNext/>
              <w:spacing w:before="60" w:after="60"/>
            </w:pPr>
            <w:r w:rsidRPr="00B32E2B">
              <w:t>Treatment of uncertainty</w:t>
            </w:r>
          </w:p>
        </w:tc>
        <w:tc>
          <w:tcPr>
            <w:tcW w:w="6083" w:type="dxa"/>
            <w:gridSpan w:val="4"/>
          </w:tcPr>
          <w:p w14:paraId="47F11390" w14:textId="772859DD" w:rsidR="00925217" w:rsidRPr="00B32E2B" w:rsidRDefault="12865A3D" w:rsidP="0038031D">
            <w:pPr>
              <w:pStyle w:val="SDMTableBoxParaNotNumbered"/>
              <w:keepNext/>
              <w:spacing w:before="60" w:after="60"/>
            </w:pPr>
            <w:r>
              <w:t>Uncertainties are determined based on the measuring instruments</w:t>
            </w:r>
          </w:p>
        </w:tc>
      </w:tr>
      <w:tr w:rsidR="00065EB4" w:rsidRPr="00131981" w14:paraId="5D67E30E" w14:textId="77777777" w:rsidTr="00CC0FD5">
        <w:trPr>
          <w:trHeight w:val="300"/>
        </w:trPr>
        <w:tc>
          <w:tcPr>
            <w:tcW w:w="2446" w:type="dxa"/>
            <w:shd w:val="clear" w:color="auto" w:fill="D9D9D9" w:themeFill="background1" w:themeFillShade="D9"/>
          </w:tcPr>
          <w:p w14:paraId="386B1D01" w14:textId="77777777" w:rsidR="00925217" w:rsidRPr="00B32E2B" w:rsidRDefault="00925217" w:rsidP="00F36908">
            <w:pPr>
              <w:pStyle w:val="SDMTableBoxParaNotNumbered"/>
              <w:spacing w:before="60" w:after="60"/>
            </w:pPr>
            <w:r w:rsidRPr="00B32E2B">
              <w:t>Additional comment</w:t>
            </w:r>
          </w:p>
        </w:tc>
        <w:tc>
          <w:tcPr>
            <w:tcW w:w="6083" w:type="dxa"/>
            <w:gridSpan w:val="4"/>
          </w:tcPr>
          <w:p w14:paraId="004475CD" w14:textId="00D6D6C1" w:rsidR="00925217" w:rsidRPr="008C2BFB" w:rsidRDefault="7C8867F4" w:rsidP="00F36908">
            <w:pPr>
              <w:pStyle w:val="SDMTableBoxParaNotNumbered"/>
              <w:spacing w:before="60" w:after="60"/>
            </w:pPr>
            <w:r>
              <w:t xml:space="preserve">For Article 6.4 activities under </w:t>
            </w:r>
            <w:r w:rsidR="34B48645">
              <w:t>scenario</w:t>
            </w:r>
            <w:r w:rsidR="4037A346">
              <w:t> </w:t>
            </w:r>
            <w:r>
              <w:t xml:space="preserve">A or </w:t>
            </w:r>
            <w:r w:rsidR="34B48645">
              <w:t>scenario</w:t>
            </w:r>
            <w:r w:rsidR="4037A346">
              <w:t> </w:t>
            </w:r>
            <w:r>
              <w:t xml:space="preserve">C, this parameter </w:t>
            </w:r>
            <w:r w:rsidR="34B48645">
              <w:t>shall</w:t>
            </w:r>
            <w:r>
              <w:t xml:space="preserve"> be updated </w:t>
            </w:r>
            <w:r w:rsidR="34B48645">
              <w:t xml:space="preserve">in accordance with the provisions in section </w:t>
            </w:r>
            <w:r w:rsidR="00442A5D">
              <w:fldChar w:fldCharType="begin"/>
            </w:r>
            <w:r w:rsidR="00442A5D">
              <w:instrText xml:space="preserve"> REF _Ref219921825 \n \h  \* MERGEFORMAT </w:instrText>
            </w:r>
            <w:r w:rsidR="00442A5D">
              <w:fldChar w:fldCharType="separate"/>
            </w:r>
            <w:r w:rsidR="003B0135">
              <w:rPr>
                <w:cs/>
              </w:rPr>
              <w:t>‎</w:t>
            </w:r>
            <w:r w:rsidR="003B0135">
              <w:t>5.7.1.2</w:t>
            </w:r>
            <w:r w:rsidR="00442A5D">
              <w:fldChar w:fldCharType="end"/>
            </w:r>
            <w:r w:rsidR="34B48645">
              <w:t xml:space="preserve"> </w:t>
            </w:r>
            <w:r>
              <w:t>at the renewal of the crediting period if activity participants cho</w:t>
            </w:r>
            <w:r w:rsidR="3998016B">
              <w:t>o</w:t>
            </w:r>
            <w:r>
              <w:t xml:space="preserve">se to determine </w:t>
            </w:r>
            <w:r w:rsidR="3998016B">
              <w:t xml:space="preserve">the </w:t>
            </w:r>
            <w:r>
              <w:t xml:space="preserve">OM </w:t>
            </w:r>
            <w:r w:rsidR="3998016B">
              <w:t xml:space="preserve">emission factor </w:t>
            </w:r>
            <w:r>
              <w:t>ex</w:t>
            </w:r>
            <w:r w:rsidR="6E977885">
              <w:t>-</w:t>
            </w:r>
            <w:r>
              <w:t>ante</w:t>
            </w:r>
          </w:p>
        </w:tc>
      </w:tr>
    </w:tbl>
    <w:p w14:paraId="757E8905" w14:textId="12CF86CF" w:rsidR="00925217" w:rsidRPr="004A0D82" w:rsidRDefault="00925217" w:rsidP="00F32C6C">
      <w:pPr>
        <w:pStyle w:val="Caption"/>
      </w:pPr>
      <w:r w:rsidRPr="004A0D82">
        <w:t>Data / Parameter table</w:t>
      </w:r>
      <w:r w:rsidR="004C17BF">
        <w:t> </w:t>
      </w:r>
      <w:r>
        <w:fldChar w:fldCharType="begin"/>
      </w:r>
      <w:r>
        <w:instrText>SEQ Data_/_Parameter_table \* ARABIC</w:instrText>
      </w:r>
      <w:r>
        <w:fldChar w:fldCharType="separate"/>
      </w:r>
      <w:r w:rsidR="003B0135">
        <w:rPr>
          <w:noProof/>
        </w:rPr>
        <w:t>7</w:t>
      </w:r>
      <w:r>
        <w:fldChar w:fldCharType="end"/>
      </w:r>
      <w:r w:rsidRPr="004A0D82">
        <w:t>.</w:t>
      </w:r>
    </w:p>
    <w:tbl>
      <w:tblPr>
        <w:tblStyle w:val="TableGrid"/>
        <w:tblW w:w="8529" w:type="dxa"/>
        <w:tblInd w:w="8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6"/>
        <w:gridCol w:w="1475"/>
        <w:gridCol w:w="749"/>
        <w:gridCol w:w="1973"/>
        <w:gridCol w:w="1886"/>
      </w:tblGrid>
      <w:tr w:rsidR="00815B88" w:rsidRPr="004A0D82" w14:paraId="5C45C441" w14:textId="77777777" w:rsidTr="00CC0FD5">
        <w:trPr>
          <w:trHeight w:val="300"/>
        </w:trPr>
        <w:tc>
          <w:tcPr>
            <w:tcW w:w="2446" w:type="dxa"/>
            <w:shd w:val="clear" w:color="auto" w:fill="D9D9D9" w:themeFill="background1" w:themeFillShade="D9"/>
          </w:tcPr>
          <w:p w14:paraId="125B737D" w14:textId="77777777" w:rsidR="00925217" w:rsidRPr="004A0D82" w:rsidRDefault="00925217" w:rsidP="0038031D">
            <w:pPr>
              <w:pStyle w:val="SDMTableBoxParaNotNumbered"/>
              <w:keepNext/>
              <w:spacing w:before="60" w:after="60"/>
            </w:pPr>
            <w:r w:rsidRPr="004A0D82">
              <w:t>Data/parameter</w:t>
            </w:r>
          </w:p>
        </w:tc>
        <w:tc>
          <w:tcPr>
            <w:tcW w:w="6083" w:type="dxa"/>
            <w:gridSpan w:val="4"/>
          </w:tcPr>
          <w:p w14:paraId="596A40D3" w14:textId="6B3879F6" w:rsidR="00925217" w:rsidRPr="00AD2370" w:rsidRDefault="003F6646" w:rsidP="0038031D">
            <w:pPr>
              <w:pStyle w:val="SDMTableBoxParaNotNumbered"/>
              <w:keepNext/>
              <w:spacing w:before="60" w:after="60"/>
              <w:rPr>
                <w:i/>
                <w:iCs/>
                <w:highlight w:val="yellow"/>
              </w:rPr>
            </w:pPr>
            <m:oMathPara>
              <m:oMathParaPr>
                <m:jc m:val="left"/>
              </m:oMathParaPr>
              <m:oMath>
                <m:sSub>
                  <m:sSubPr>
                    <m:ctrlPr>
                      <w:rPr>
                        <w:rFonts w:ascii="Cambria Math" w:hAnsi="Cambria Math"/>
                        <w:i/>
                      </w:rPr>
                    </m:ctrlPr>
                  </m:sSubPr>
                  <m:e>
                    <m:r>
                      <m:rPr>
                        <m:sty m:val="bi"/>
                      </m:rPr>
                      <w:rPr>
                        <w:rFonts w:ascii="Cambria Math" w:hAnsi="Cambria Math"/>
                      </w:rPr>
                      <m:t>HG</m:t>
                    </m:r>
                  </m:e>
                  <m:sub>
                    <m:r>
                      <m:rPr>
                        <m:sty m:val="bi"/>
                      </m:rPr>
                      <w:rPr>
                        <w:rFonts w:ascii="Cambria Math" w:hAnsi="Cambria Math"/>
                      </w:rPr>
                      <m:t>p</m:t>
                    </m:r>
                    <m:r>
                      <w:rPr>
                        <w:rFonts w:ascii="Cambria Math" w:hAnsi="Cambria Math"/>
                      </w:rPr>
                      <m:t>,</m:t>
                    </m:r>
                    <m:r>
                      <m:rPr>
                        <m:sty m:val="bi"/>
                      </m:rPr>
                      <w:rPr>
                        <w:rFonts w:ascii="Cambria Math" w:hAnsi="Cambria Math"/>
                      </w:rPr>
                      <m:t>t</m:t>
                    </m:r>
                  </m:sub>
                </m:sSub>
              </m:oMath>
            </m:oMathPara>
          </w:p>
        </w:tc>
      </w:tr>
      <w:tr w:rsidR="005B3CCA" w:rsidRPr="004A0D82" w14:paraId="1953760C" w14:textId="77777777" w:rsidTr="00CC0FD5">
        <w:trPr>
          <w:trHeight w:val="300"/>
        </w:trPr>
        <w:tc>
          <w:tcPr>
            <w:tcW w:w="2446" w:type="dxa"/>
            <w:shd w:val="clear" w:color="auto" w:fill="D9D9D9" w:themeFill="background1" w:themeFillShade="D9"/>
          </w:tcPr>
          <w:p w14:paraId="7B86D723" w14:textId="77777777" w:rsidR="00925217" w:rsidRPr="004A0D82" w:rsidRDefault="00925217" w:rsidP="00E12AF4">
            <w:pPr>
              <w:pStyle w:val="SDMTableBoxParaNotNumbered"/>
              <w:spacing w:before="60" w:after="60"/>
            </w:pPr>
            <w:r w:rsidRPr="004A0D82">
              <w:t>Description</w:t>
            </w:r>
          </w:p>
        </w:tc>
        <w:tc>
          <w:tcPr>
            <w:tcW w:w="6083" w:type="dxa"/>
            <w:gridSpan w:val="4"/>
          </w:tcPr>
          <w:p w14:paraId="7EF85EA2" w14:textId="276DDB26" w:rsidR="00925217" w:rsidRPr="004A0D82" w:rsidRDefault="00925217" w:rsidP="00E12AF4">
            <w:pPr>
              <w:pStyle w:val="SDMTableBoxParaNotNumbered"/>
              <w:spacing w:before="60" w:after="60"/>
            </w:pPr>
            <w:r w:rsidRPr="004A0D82">
              <w:rPr>
                <w:lang w:eastAsia="en-US"/>
              </w:rPr>
              <w:t xml:space="preserve">Quantity of heat co-generated </w:t>
            </w:r>
            <w:r w:rsidR="00CB3E64">
              <w:rPr>
                <w:lang w:eastAsia="en-US"/>
              </w:rPr>
              <w:t>by</w:t>
            </w:r>
            <w:r w:rsidR="00CB3E64" w:rsidRPr="004A0D82">
              <w:rPr>
                <w:lang w:eastAsia="en-US"/>
              </w:rPr>
              <w:t xml:space="preserve"> </w:t>
            </w:r>
            <w:r w:rsidR="71964A1E">
              <w:t>fossil-fuel fired</w:t>
            </w:r>
            <w:r w:rsidR="71964A1E" w:rsidRPr="140C7488">
              <w:rPr>
                <w:lang w:eastAsia="en-US"/>
              </w:rPr>
              <w:t xml:space="preserve"> </w:t>
            </w:r>
            <w:r w:rsidRPr="004A0D82">
              <w:rPr>
                <w:lang w:eastAsia="en-US"/>
              </w:rPr>
              <w:t>captive power plant</w:t>
            </w:r>
            <w:r w:rsidR="00B141B0">
              <w:rPr>
                <w:lang w:eastAsia="en-US"/>
              </w:rPr>
              <w:t> </w:t>
            </w:r>
            <w:r w:rsidR="595270C2" w:rsidRPr="1DF7F594">
              <w:rPr>
                <w:i/>
                <w:iCs/>
                <w:lang w:eastAsia="en-US"/>
              </w:rPr>
              <w:t>p</w:t>
            </w:r>
            <w:r w:rsidRPr="004A0D82">
              <w:rPr>
                <w:lang w:eastAsia="en-US"/>
              </w:rPr>
              <w:t xml:space="preserve"> in the period</w:t>
            </w:r>
            <w:r w:rsidR="00B141B0">
              <w:rPr>
                <w:lang w:eastAsia="en-US"/>
              </w:rPr>
              <w:t> </w:t>
            </w:r>
            <w:r w:rsidRPr="004A0D82">
              <w:rPr>
                <w:i/>
                <w:iCs/>
                <w:lang w:eastAsia="en-US"/>
              </w:rPr>
              <w:t>t</w:t>
            </w:r>
          </w:p>
        </w:tc>
      </w:tr>
      <w:tr w:rsidR="005B3CCA" w:rsidRPr="004A0D82" w14:paraId="06974F1A" w14:textId="77777777" w:rsidTr="00CC0FD5">
        <w:trPr>
          <w:trHeight w:val="300"/>
        </w:trPr>
        <w:tc>
          <w:tcPr>
            <w:tcW w:w="2446" w:type="dxa"/>
            <w:shd w:val="clear" w:color="auto" w:fill="D9D9D9" w:themeFill="background1" w:themeFillShade="D9"/>
          </w:tcPr>
          <w:p w14:paraId="31E47451" w14:textId="77777777" w:rsidR="00925217" w:rsidRPr="004A0D82" w:rsidRDefault="00925217" w:rsidP="00E12AF4">
            <w:pPr>
              <w:pStyle w:val="SDMTableBoxParaNotNumbered"/>
              <w:spacing w:before="60" w:after="60"/>
            </w:pPr>
            <w:r w:rsidRPr="004A0D82">
              <w:t>Data unit</w:t>
            </w:r>
          </w:p>
        </w:tc>
        <w:tc>
          <w:tcPr>
            <w:tcW w:w="6083" w:type="dxa"/>
            <w:gridSpan w:val="4"/>
          </w:tcPr>
          <w:p w14:paraId="244F059E" w14:textId="5322DA6C" w:rsidR="00925217" w:rsidRPr="004A0D82" w:rsidRDefault="12865A3D" w:rsidP="00E12AF4">
            <w:pPr>
              <w:pStyle w:val="SDMTableBoxParaNotNumbered"/>
              <w:spacing w:before="60" w:after="60"/>
            </w:pPr>
            <w:r>
              <w:t>GJ</w:t>
            </w:r>
            <w:r w:rsidR="009D2617" w:rsidRPr="007D447E">
              <w:t xml:space="preserve"> in period</w:t>
            </w:r>
            <w:r w:rsidR="009D2617" w:rsidRPr="6BB59D32">
              <w:rPr>
                <w:i/>
                <w:iCs/>
              </w:rPr>
              <w:t> t</w:t>
            </w:r>
          </w:p>
        </w:tc>
      </w:tr>
      <w:tr w:rsidR="00815B88" w:rsidRPr="004A0D82" w14:paraId="37FA6421" w14:textId="77777777" w:rsidTr="00CC0FD5">
        <w:trPr>
          <w:trHeight w:val="300"/>
        </w:trPr>
        <w:tc>
          <w:tcPr>
            <w:tcW w:w="2446" w:type="dxa"/>
            <w:shd w:val="clear" w:color="auto" w:fill="D9D9D9" w:themeFill="background1" w:themeFillShade="D9"/>
          </w:tcPr>
          <w:p w14:paraId="75C23D9B" w14:textId="77777777" w:rsidR="00925217" w:rsidRPr="004A0D82" w:rsidRDefault="00925217" w:rsidP="00E12AF4">
            <w:pPr>
              <w:pStyle w:val="SDMTableBoxParaNotNumbered"/>
              <w:spacing w:before="60" w:after="60"/>
            </w:pPr>
            <w:r w:rsidRPr="004A0D82">
              <w:t>Equations referred</w:t>
            </w:r>
          </w:p>
        </w:tc>
        <w:tc>
          <w:tcPr>
            <w:tcW w:w="6083" w:type="dxa"/>
            <w:gridSpan w:val="4"/>
          </w:tcPr>
          <w:p w14:paraId="37C2671C" w14:textId="77777777" w:rsidR="00925217" w:rsidRPr="004A0D82" w:rsidRDefault="00925217" w:rsidP="00E12AF4">
            <w:pPr>
              <w:pStyle w:val="SDMTableBoxParaNotNumbered"/>
              <w:spacing w:before="60" w:after="60"/>
            </w:pPr>
          </w:p>
        </w:tc>
      </w:tr>
      <w:tr w:rsidR="00F51087" w:rsidRPr="00131981" w14:paraId="7E7E65C4" w14:textId="77777777" w:rsidTr="00CC0FD5">
        <w:trPr>
          <w:trHeight w:val="300"/>
        </w:trPr>
        <w:tc>
          <w:tcPr>
            <w:tcW w:w="2446" w:type="dxa"/>
            <w:tcBorders>
              <w:right w:val="single" w:sz="4" w:space="0" w:color="auto"/>
            </w:tcBorders>
            <w:shd w:val="clear" w:color="auto" w:fill="D9D9D9" w:themeFill="background1" w:themeFillShade="D9"/>
          </w:tcPr>
          <w:p w14:paraId="03EF50F2" w14:textId="77777777" w:rsidR="00F51087" w:rsidRPr="00131981" w:rsidRDefault="00F51087" w:rsidP="00F51087">
            <w:pPr>
              <w:pStyle w:val="SDMTableBoxParaNotNumbered"/>
              <w:spacing w:before="60" w:after="60"/>
            </w:pPr>
            <w:r w:rsidRPr="00131981">
              <w:t>Purpose of data</w:t>
            </w:r>
          </w:p>
        </w:tc>
        <w:tc>
          <w:tcPr>
            <w:tcW w:w="2224" w:type="dxa"/>
            <w:gridSpan w:val="2"/>
            <w:tcBorders>
              <w:left w:val="single" w:sz="4" w:space="0" w:color="auto"/>
              <w:right w:val="nil"/>
            </w:tcBorders>
          </w:tcPr>
          <w:p w14:paraId="0F00F795" w14:textId="3B609E2A" w:rsidR="00F51087" w:rsidRPr="00780E96" w:rsidRDefault="00F51087" w:rsidP="00F51087">
            <w:pPr>
              <w:pStyle w:val="SDMTableBoxParaNotNumbered"/>
              <w:spacing w:before="60" w:after="60"/>
            </w:pPr>
            <w:r w:rsidRPr="00780E96">
              <w:rPr>
                <w:rFonts w:asciiTheme="minorBidi" w:hAnsiTheme="minorBidi" w:cstheme="minorBidi"/>
                <w:shd w:val="clear" w:color="auto" w:fill="E6E6E6"/>
              </w:rPr>
              <w:fldChar w:fldCharType="begin">
                <w:ffData>
                  <w:name w:val=""/>
                  <w:enabled/>
                  <w:calcOnExit w:val="0"/>
                  <w:checkBox>
                    <w:size w:val="20"/>
                    <w:default w:val="1"/>
                  </w:checkBox>
                </w:ffData>
              </w:fldChar>
            </w:r>
            <w:r w:rsidRPr="00780E96">
              <w:rPr>
                <w:rFonts w:asciiTheme="minorBidi" w:hAnsiTheme="minorBidi" w:cstheme="minorBidi"/>
                <w:shd w:val="clear" w:color="auto" w:fill="E6E6E6"/>
              </w:rPr>
              <w:instrText xml:space="preserve"> FORMCHECKBOX </w:instrText>
            </w:r>
            <w:r w:rsidRPr="00780E96">
              <w:rPr>
                <w:rFonts w:asciiTheme="minorBidi" w:hAnsiTheme="minorBidi" w:cstheme="minorBidi"/>
                <w:shd w:val="clear" w:color="auto" w:fill="E6E6E6"/>
              </w:rPr>
            </w:r>
            <w:r w:rsidRPr="00780E96">
              <w:rPr>
                <w:rFonts w:asciiTheme="minorBidi" w:hAnsiTheme="minorBidi" w:cstheme="minorBidi"/>
                <w:shd w:val="clear" w:color="auto" w:fill="E6E6E6"/>
              </w:rPr>
              <w:fldChar w:fldCharType="separate"/>
            </w:r>
            <w:r w:rsidRPr="00780E96">
              <w:rPr>
                <w:rFonts w:asciiTheme="minorBidi" w:hAnsiTheme="minorBidi" w:cstheme="minorBidi"/>
                <w:shd w:val="clear" w:color="auto" w:fill="E6E6E6"/>
              </w:rPr>
              <w:fldChar w:fldCharType="end"/>
            </w:r>
            <w:r w:rsidRPr="00780E96">
              <w:rPr>
                <w:rFonts w:asciiTheme="minorBidi" w:hAnsiTheme="minorBidi" w:cstheme="minorBidi"/>
                <w:shd w:val="clear" w:color="auto" w:fill="E6E6E6"/>
              </w:rPr>
              <w:t xml:space="preserve"> </w:t>
            </w:r>
            <w:r w:rsidRPr="00780E96">
              <w:rPr>
                <w:rFonts w:asciiTheme="minorBidi" w:hAnsiTheme="minorBidi" w:cstheme="minorBidi"/>
              </w:rPr>
              <w:t xml:space="preserve">Baseline </w:t>
            </w:r>
            <w:r w:rsidR="00461FEF" w:rsidRPr="00780E96">
              <w:rPr>
                <w:rFonts w:asciiTheme="minorBidi" w:eastAsia="MS Mincho" w:hAnsiTheme="minorBidi" w:cstheme="minorBidi" w:hint="eastAsia"/>
                <w:lang w:eastAsia="ja-JP"/>
              </w:rPr>
              <w:t>Scenario</w:t>
            </w:r>
          </w:p>
        </w:tc>
        <w:tc>
          <w:tcPr>
            <w:tcW w:w="1973" w:type="dxa"/>
            <w:tcBorders>
              <w:left w:val="nil"/>
              <w:right w:val="nil"/>
            </w:tcBorders>
          </w:tcPr>
          <w:p w14:paraId="3326D44A" w14:textId="07102046" w:rsidR="00F51087" w:rsidRPr="00780E96" w:rsidRDefault="00F51087" w:rsidP="00F51087">
            <w:pPr>
              <w:pStyle w:val="SDMTableBoxParaNotNumbered"/>
              <w:spacing w:before="60" w:after="60"/>
            </w:pPr>
            <w:r w:rsidRPr="00780E96">
              <w:rPr>
                <w:rFonts w:asciiTheme="minorBidi" w:hAnsiTheme="minorBidi" w:cstheme="minorBidi"/>
                <w:shd w:val="clear" w:color="auto" w:fill="E6E6E6"/>
              </w:rPr>
              <w:fldChar w:fldCharType="begin">
                <w:ffData>
                  <w:name w:val=""/>
                  <w:enabled/>
                  <w:calcOnExit w:val="0"/>
                  <w:checkBox>
                    <w:size w:val="20"/>
                    <w:default w:val="1"/>
                  </w:checkBox>
                </w:ffData>
              </w:fldChar>
            </w:r>
            <w:r w:rsidRPr="00780E96">
              <w:rPr>
                <w:rFonts w:asciiTheme="minorBidi" w:hAnsiTheme="minorBidi" w:cstheme="minorBidi"/>
                <w:shd w:val="clear" w:color="auto" w:fill="E6E6E6"/>
              </w:rPr>
              <w:instrText xml:space="preserve"> FORMCHECKBOX </w:instrText>
            </w:r>
            <w:r w:rsidRPr="00780E96">
              <w:rPr>
                <w:rFonts w:asciiTheme="minorBidi" w:hAnsiTheme="minorBidi" w:cstheme="minorBidi"/>
                <w:shd w:val="clear" w:color="auto" w:fill="E6E6E6"/>
              </w:rPr>
            </w:r>
            <w:r w:rsidRPr="00780E96">
              <w:rPr>
                <w:rFonts w:asciiTheme="minorBidi" w:hAnsiTheme="minorBidi" w:cstheme="minorBidi"/>
                <w:shd w:val="clear" w:color="auto" w:fill="E6E6E6"/>
              </w:rPr>
              <w:fldChar w:fldCharType="separate"/>
            </w:r>
            <w:r w:rsidRPr="00780E96">
              <w:rPr>
                <w:rFonts w:asciiTheme="minorBidi" w:hAnsiTheme="minorBidi" w:cstheme="minorBidi"/>
                <w:shd w:val="clear" w:color="auto" w:fill="E6E6E6"/>
              </w:rPr>
              <w:fldChar w:fldCharType="end"/>
            </w:r>
            <w:r w:rsidRPr="00780E96">
              <w:rPr>
                <w:rFonts w:asciiTheme="minorBidi" w:hAnsiTheme="minorBidi" w:cstheme="minorBidi"/>
              </w:rPr>
              <w:fldChar w:fldCharType="begin"/>
            </w:r>
            <w:r w:rsidRPr="00780E96">
              <w:rPr>
                <w:rFonts w:asciiTheme="minorBidi" w:hAnsiTheme="minorBidi" w:cstheme="minorBidi"/>
              </w:rPr>
              <w:instrText xml:space="preserve"> FORMCHECKBOX </w:instrText>
            </w:r>
            <w:r w:rsidRPr="00780E96">
              <w:rPr>
                <w:rFonts w:asciiTheme="minorBidi" w:hAnsiTheme="minorBidi" w:cstheme="minorBidi"/>
              </w:rPr>
              <w:fldChar w:fldCharType="separate"/>
            </w:r>
            <w:r w:rsidRPr="00780E96">
              <w:rPr>
                <w:rFonts w:asciiTheme="minorBidi" w:hAnsiTheme="minorBidi" w:cstheme="minorBidi"/>
              </w:rPr>
              <w:fldChar w:fldCharType="end"/>
            </w:r>
            <w:r w:rsidRPr="00780E96">
              <w:rPr>
                <w:rFonts w:asciiTheme="minorBidi" w:hAnsiTheme="minorBidi" w:cstheme="minorBidi"/>
              </w:rPr>
              <w:t xml:space="preserve"> </w:t>
            </w:r>
            <w:r w:rsidR="00B60137" w:rsidRPr="00780E96">
              <w:rPr>
                <w:rFonts w:asciiTheme="minorBidi" w:eastAsia="MS Mincho" w:hAnsiTheme="minorBidi" w:cstheme="minorBidi" w:hint="eastAsia"/>
                <w:lang w:eastAsia="ja-JP"/>
              </w:rPr>
              <w:t xml:space="preserve">Activity </w:t>
            </w:r>
            <w:r w:rsidR="00461FEF" w:rsidRPr="00780E96">
              <w:rPr>
                <w:rFonts w:asciiTheme="minorBidi" w:eastAsia="MS Mincho" w:hAnsiTheme="minorBidi" w:cstheme="minorBidi" w:hint="eastAsia"/>
                <w:lang w:eastAsia="ja-JP"/>
              </w:rPr>
              <w:t>Scenario</w:t>
            </w:r>
          </w:p>
        </w:tc>
        <w:tc>
          <w:tcPr>
            <w:tcW w:w="1886" w:type="dxa"/>
            <w:tcBorders>
              <w:left w:val="nil"/>
            </w:tcBorders>
          </w:tcPr>
          <w:p w14:paraId="73AAE775" w14:textId="1AA6B68E" w:rsidR="00F51087" w:rsidRPr="005D7E1B" w:rsidRDefault="00F51087" w:rsidP="00F51087">
            <w:pPr>
              <w:pStyle w:val="SDMTableBoxParaNotNumbered"/>
              <w:spacing w:before="60" w:after="60"/>
            </w:pPr>
            <w:r w:rsidRPr="005D7E1B">
              <w:rPr>
                <w:rFonts w:asciiTheme="minorBidi" w:hAnsiTheme="minorBidi" w:cstheme="minorBidi"/>
                <w:shd w:val="clear" w:color="auto" w:fill="E6E6E6"/>
              </w:rPr>
              <w:fldChar w:fldCharType="begin">
                <w:ffData>
                  <w:name w:val=""/>
                  <w:enabled/>
                  <w:calcOnExit w:val="0"/>
                  <w:checkBox>
                    <w:size w:val="20"/>
                    <w:default w:val="1"/>
                  </w:checkBox>
                </w:ffData>
              </w:fldChar>
            </w:r>
            <w:r w:rsidRPr="005D7E1B">
              <w:rPr>
                <w:rFonts w:asciiTheme="minorBidi" w:hAnsiTheme="minorBidi" w:cstheme="minorBidi"/>
                <w:shd w:val="clear" w:color="auto" w:fill="E6E6E6"/>
              </w:rPr>
              <w:instrText xml:space="preserve"> FORMCHECKBOX </w:instrText>
            </w:r>
            <w:r w:rsidRPr="005D7E1B">
              <w:rPr>
                <w:rFonts w:asciiTheme="minorBidi" w:hAnsiTheme="minorBidi" w:cstheme="minorBidi"/>
                <w:shd w:val="clear" w:color="auto" w:fill="E6E6E6"/>
              </w:rPr>
            </w:r>
            <w:r w:rsidRPr="005D7E1B">
              <w:rPr>
                <w:rFonts w:asciiTheme="minorBidi" w:hAnsiTheme="minorBidi" w:cstheme="minorBidi"/>
                <w:shd w:val="clear" w:color="auto" w:fill="E6E6E6"/>
              </w:rPr>
              <w:fldChar w:fldCharType="separate"/>
            </w:r>
            <w:r w:rsidRPr="005D7E1B">
              <w:rPr>
                <w:rFonts w:asciiTheme="minorBidi" w:hAnsiTheme="minorBidi" w:cstheme="minorBidi"/>
                <w:shd w:val="clear" w:color="auto" w:fill="E6E6E6"/>
              </w:rPr>
              <w:fldChar w:fldCharType="end"/>
            </w:r>
            <w:r w:rsidRPr="3161B3F5">
              <w:rPr>
                <w:rFonts w:asciiTheme="minorBidi" w:hAnsiTheme="minorBidi" w:cstheme="minorBidi"/>
              </w:rPr>
              <w:fldChar w:fldCharType="begin"/>
            </w:r>
            <w:r w:rsidRPr="3161B3F5">
              <w:rPr>
                <w:rFonts w:asciiTheme="minorBidi" w:hAnsiTheme="minorBidi" w:cstheme="minorBidi"/>
              </w:rPr>
              <w:instrText xml:space="preserve"> FORMCHECKBOX </w:instrText>
            </w:r>
            <w:r w:rsidRPr="3161B3F5">
              <w:rPr>
                <w:rFonts w:asciiTheme="minorBidi" w:hAnsiTheme="minorBidi" w:cstheme="minorBidi"/>
              </w:rPr>
              <w:fldChar w:fldCharType="separate"/>
            </w:r>
            <w:r w:rsidRPr="3161B3F5">
              <w:rPr>
                <w:rFonts w:asciiTheme="minorBidi" w:hAnsiTheme="minorBidi" w:cstheme="minorBidi"/>
              </w:rPr>
              <w:fldChar w:fldCharType="end"/>
            </w:r>
            <w:r w:rsidRPr="005D7E1B">
              <w:rPr>
                <w:rFonts w:asciiTheme="minorBidi" w:hAnsiTheme="minorBidi" w:cstheme="minorBidi"/>
              </w:rPr>
              <w:t xml:space="preserve"> Leakage </w:t>
            </w:r>
          </w:p>
        </w:tc>
      </w:tr>
      <w:tr w:rsidR="00815B88" w:rsidRPr="004A0D82" w14:paraId="2C8DB49E" w14:textId="77777777" w:rsidTr="00CC0FD5">
        <w:trPr>
          <w:trHeight w:val="300"/>
        </w:trPr>
        <w:tc>
          <w:tcPr>
            <w:tcW w:w="2446" w:type="dxa"/>
            <w:shd w:val="clear" w:color="auto" w:fill="D9D9D9" w:themeFill="background1" w:themeFillShade="D9"/>
          </w:tcPr>
          <w:p w14:paraId="36441FD6" w14:textId="77777777" w:rsidR="00925217" w:rsidRPr="004A0D82" w:rsidRDefault="6DC055E6" w:rsidP="00E12AF4">
            <w:pPr>
              <w:pStyle w:val="SDMTableBoxParaNotNumbered"/>
              <w:spacing w:before="60" w:after="60"/>
            </w:pPr>
            <w:r>
              <w:t>Measurement and updating frequency</w:t>
            </w:r>
          </w:p>
        </w:tc>
        <w:tc>
          <w:tcPr>
            <w:tcW w:w="6083" w:type="dxa"/>
            <w:gridSpan w:val="4"/>
          </w:tcPr>
          <w:p w14:paraId="6E862D88" w14:textId="67E68832" w:rsidR="00925217" w:rsidRPr="004A0D82" w:rsidRDefault="007742B7" w:rsidP="00E12AF4">
            <w:pPr>
              <w:pStyle w:val="SDMTableBoxParaNotNumbered"/>
              <w:spacing w:before="60" w:after="60"/>
            </w:pPr>
            <w:r w:rsidRPr="004A0D82">
              <w:t>Continuous</w:t>
            </w:r>
            <w:r>
              <w:t xml:space="preserve"> measurement</w:t>
            </w:r>
            <w:r w:rsidR="00925217" w:rsidRPr="004A0D82">
              <w:t>, aggregated at least annually</w:t>
            </w:r>
          </w:p>
        </w:tc>
      </w:tr>
      <w:tr w:rsidR="00815B88" w:rsidRPr="004A0D82" w14:paraId="38A76EBE" w14:textId="77777777" w:rsidTr="00CC0FD5">
        <w:trPr>
          <w:trHeight w:val="300"/>
        </w:trPr>
        <w:tc>
          <w:tcPr>
            <w:tcW w:w="2446" w:type="dxa"/>
            <w:shd w:val="clear" w:color="auto" w:fill="D9D9D9" w:themeFill="background1" w:themeFillShade="D9"/>
          </w:tcPr>
          <w:p w14:paraId="5356CEC4" w14:textId="77777777" w:rsidR="00925217" w:rsidRPr="004A0D82" w:rsidRDefault="00925217" w:rsidP="00E12AF4">
            <w:pPr>
              <w:pStyle w:val="SDMTableBoxParaNotNumbered"/>
              <w:spacing w:before="60" w:after="60"/>
            </w:pPr>
            <w:r w:rsidRPr="004A0D82">
              <w:t>Measurement methods and procedures</w:t>
            </w:r>
          </w:p>
        </w:tc>
        <w:tc>
          <w:tcPr>
            <w:tcW w:w="6083" w:type="dxa"/>
            <w:gridSpan w:val="4"/>
          </w:tcPr>
          <w:p w14:paraId="444705FA" w14:textId="04E783A2" w:rsidR="00925217" w:rsidRPr="004A0D82" w:rsidRDefault="00925217" w:rsidP="00E12AF4">
            <w:pPr>
              <w:pStyle w:val="SDMTableBoxParaNotNumbered"/>
              <w:spacing w:before="60" w:after="60"/>
            </w:pPr>
            <w:r w:rsidRPr="004A0D82">
              <w:t xml:space="preserve">Determined as the difference </w:t>
            </w:r>
            <w:r w:rsidR="007742B7">
              <w:t xml:space="preserve">between </w:t>
            </w:r>
            <w:r w:rsidRPr="004A0D82">
              <w:t xml:space="preserve">the enthalpy of the steam or hot water generated </w:t>
            </w:r>
            <w:r w:rsidR="00D712C7">
              <w:t>and</w:t>
            </w:r>
            <w:r w:rsidR="00D712C7" w:rsidRPr="004A0D82">
              <w:t xml:space="preserve"> </w:t>
            </w:r>
            <w:r w:rsidRPr="004A0D82">
              <w:t xml:space="preserve">the enthalpy of the </w:t>
            </w:r>
            <w:r w:rsidR="002D52E5" w:rsidRPr="004A0D82">
              <w:t>feedwater</w:t>
            </w:r>
            <w:r w:rsidRPr="004A0D82">
              <w:t xml:space="preserve"> and any condensate return. The respective enthalpies</w:t>
            </w:r>
            <w:r w:rsidR="00A50279">
              <w:t xml:space="preserve"> </w:t>
            </w:r>
            <w:r w:rsidR="00D712C7">
              <w:t>shall</w:t>
            </w:r>
            <w:r w:rsidRPr="004A0D82">
              <w:t xml:space="preserve"> be determined based on the mass (or volume) flows, the temperatures</w:t>
            </w:r>
            <w:r w:rsidR="003A509A">
              <w:t>,</w:t>
            </w:r>
            <w:r w:rsidRPr="004A0D82">
              <w:t xml:space="preserve"> and, in case of superheated steam, the pressure.</w:t>
            </w:r>
          </w:p>
          <w:p w14:paraId="73BD1A50" w14:textId="1203C4A7" w:rsidR="00925217" w:rsidRPr="004A0D82" w:rsidRDefault="12865A3D" w:rsidP="00E12AF4">
            <w:pPr>
              <w:pStyle w:val="SDMTableBoxParaNotNumbered"/>
              <w:spacing w:before="60" w:after="60"/>
            </w:pPr>
            <w:r>
              <w:t>Steam tables or appropriate thermodynamic equations may be used to calculate the enthalpy as a function of temperature and pressure</w:t>
            </w:r>
          </w:p>
        </w:tc>
      </w:tr>
      <w:tr w:rsidR="00815B88" w:rsidRPr="004A0D82" w14:paraId="0E555683" w14:textId="77777777" w:rsidTr="00CC0FD5">
        <w:trPr>
          <w:trHeight w:val="107"/>
        </w:trPr>
        <w:tc>
          <w:tcPr>
            <w:tcW w:w="2446" w:type="dxa"/>
            <w:shd w:val="clear" w:color="auto" w:fill="D9D9D9" w:themeFill="background1" w:themeFillShade="D9"/>
          </w:tcPr>
          <w:p w14:paraId="0A503649" w14:textId="77777777" w:rsidR="00925217" w:rsidRPr="004A0D82" w:rsidRDefault="00925217" w:rsidP="00E12AF4">
            <w:pPr>
              <w:pStyle w:val="SDMTableBoxParaNotNumbered"/>
              <w:spacing w:before="60" w:after="60"/>
            </w:pPr>
            <w:r w:rsidRPr="004A0D82">
              <w:t>Entity/person responsible for the measurement</w:t>
            </w:r>
          </w:p>
        </w:tc>
        <w:tc>
          <w:tcPr>
            <w:tcW w:w="6083" w:type="dxa"/>
            <w:gridSpan w:val="4"/>
          </w:tcPr>
          <w:p w14:paraId="423F3808" w14:textId="77777777" w:rsidR="00925217" w:rsidRPr="004A0D82" w:rsidRDefault="00925217" w:rsidP="00E12AF4">
            <w:pPr>
              <w:pStyle w:val="SDMTableBoxParaNotNumbered"/>
              <w:spacing w:before="60" w:after="60"/>
            </w:pPr>
            <w:r w:rsidRPr="004A0D82">
              <w:t>Activity participants</w:t>
            </w:r>
          </w:p>
        </w:tc>
      </w:tr>
      <w:tr w:rsidR="00634EFD" w:rsidRPr="004A0D82" w14:paraId="23976F65" w14:textId="77777777" w:rsidTr="00CC0FD5">
        <w:trPr>
          <w:trHeight w:val="107"/>
        </w:trPr>
        <w:tc>
          <w:tcPr>
            <w:tcW w:w="2446" w:type="dxa"/>
            <w:vMerge w:val="restart"/>
            <w:shd w:val="clear" w:color="auto" w:fill="D9D9D9" w:themeFill="background1" w:themeFillShade="D9"/>
          </w:tcPr>
          <w:p w14:paraId="7AE49DA1" w14:textId="77777777" w:rsidR="00925217" w:rsidRPr="004A0D82" w:rsidRDefault="00925217" w:rsidP="00E12AF4">
            <w:pPr>
              <w:pStyle w:val="SDMTableBoxParaNotNumbered"/>
              <w:spacing w:before="60" w:after="60"/>
            </w:pPr>
            <w:r w:rsidRPr="004A0D82">
              <w:t>Measuring instrument(s)</w:t>
            </w:r>
          </w:p>
        </w:tc>
        <w:tc>
          <w:tcPr>
            <w:tcW w:w="1475" w:type="dxa"/>
          </w:tcPr>
          <w:p w14:paraId="2F80129D" w14:textId="77777777" w:rsidR="00925217" w:rsidRPr="004A0D82" w:rsidRDefault="00925217" w:rsidP="00E12AF4">
            <w:pPr>
              <w:pStyle w:val="SDMTableBoxParaNotNumbered"/>
              <w:spacing w:before="60" w:after="60"/>
              <w:rPr>
                <w:i/>
                <w:iCs/>
              </w:rPr>
            </w:pPr>
            <w:r w:rsidRPr="004A0D82">
              <w:rPr>
                <w:i/>
                <w:iCs/>
              </w:rPr>
              <w:t>Type of instrument</w:t>
            </w:r>
          </w:p>
        </w:tc>
        <w:tc>
          <w:tcPr>
            <w:tcW w:w="4608" w:type="dxa"/>
            <w:gridSpan w:val="3"/>
          </w:tcPr>
          <w:p w14:paraId="5F56E4E1" w14:textId="77777777" w:rsidR="00925217" w:rsidRPr="004A0D82" w:rsidRDefault="00925217" w:rsidP="00E12AF4">
            <w:pPr>
              <w:pStyle w:val="SDMTableBoxParaNotNumbered"/>
              <w:spacing w:before="60" w:after="60"/>
            </w:pPr>
            <w:r w:rsidRPr="004A0D82">
              <w:t>N/A</w:t>
            </w:r>
          </w:p>
        </w:tc>
      </w:tr>
      <w:tr w:rsidR="00593A00" w:rsidRPr="004A0D82" w14:paraId="599AFDDD" w14:textId="77777777" w:rsidTr="00CC0FD5">
        <w:trPr>
          <w:trHeight w:val="104"/>
        </w:trPr>
        <w:tc>
          <w:tcPr>
            <w:tcW w:w="2446" w:type="dxa"/>
            <w:vMerge/>
            <w:shd w:val="clear" w:color="auto" w:fill="D9D9D9" w:themeFill="background1" w:themeFillShade="D9"/>
          </w:tcPr>
          <w:p w14:paraId="03993F80" w14:textId="77777777" w:rsidR="00925217" w:rsidRPr="004A0D82" w:rsidRDefault="00925217" w:rsidP="00E12AF4">
            <w:pPr>
              <w:pStyle w:val="SDMTableBoxParaNotNumbered"/>
              <w:spacing w:before="60" w:after="60"/>
            </w:pPr>
          </w:p>
        </w:tc>
        <w:tc>
          <w:tcPr>
            <w:tcW w:w="1475" w:type="dxa"/>
          </w:tcPr>
          <w:p w14:paraId="2925C1C1" w14:textId="77777777" w:rsidR="00925217" w:rsidRPr="004A0D82" w:rsidRDefault="12865A3D" w:rsidP="00E12AF4">
            <w:pPr>
              <w:pStyle w:val="SDMTableBoxParaNotNumbered"/>
              <w:spacing w:before="60" w:after="60"/>
              <w:rPr>
                <w:i/>
                <w:iCs/>
              </w:rPr>
            </w:pPr>
            <w:r w:rsidRPr="6BB59D32">
              <w:rPr>
                <w:i/>
                <w:iCs/>
              </w:rPr>
              <w:t>Accuracy class</w:t>
            </w:r>
          </w:p>
        </w:tc>
        <w:tc>
          <w:tcPr>
            <w:tcW w:w="4608" w:type="dxa"/>
            <w:gridSpan w:val="3"/>
          </w:tcPr>
          <w:p w14:paraId="2886E20E" w14:textId="77777777" w:rsidR="00925217" w:rsidRPr="004A0D82" w:rsidRDefault="12865A3D" w:rsidP="00E12AF4">
            <w:pPr>
              <w:pStyle w:val="SDMTableBoxParaNotNumbered"/>
              <w:spacing w:before="60" w:after="60"/>
            </w:pPr>
            <w:r>
              <w:t>N/A</w:t>
            </w:r>
          </w:p>
        </w:tc>
      </w:tr>
      <w:tr w:rsidR="00593A00" w:rsidRPr="004A0D82" w14:paraId="41F41E05" w14:textId="77777777" w:rsidTr="00CC0FD5">
        <w:trPr>
          <w:trHeight w:val="104"/>
        </w:trPr>
        <w:tc>
          <w:tcPr>
            <w:tcW w:w="2446" w:type="dxa"/>
            <w:vMerge/>
            <w:shd w:val="clear" w:color="auto" w:fill="D9D9D9" w:themeFill="background1" w:themeFillShade="D9"/>
          </w:tcPr>
          <w:p w14:paraId="2A09EBC4" w14:textId="77777777" w:rsidR="00925217" w:rsidRPr="004A0D82" w:rsidRDefault="00925217" w:rsidP="00E12AF4">
            <w:pPr>
              <w:pStyle w:val="SDMTableBoxParaNotNumbered"/>
              <w:spacing w:before="60" w:after="60"/>
            </w:pPr>
          </w:p>
        </w:tc>
        <w:tc>
          <w:tcPr>
            <w:tcW w:w="1475" w:type="dxa"/>
          </w:tcPr>
          <w:p w14:paraId="59A687EE" w14:textId="77777777" w:rsidR="00925217" w:rsidRPr="004A0D82" w:rsidRDefault="12865A3D" w:rsidP="00E12AF4">
            <w:pPr>
              <w:pStyle w:val="SDMTableBoxParaNotNumbered"/>
              <w:spacing w:before="60" w:after="60"/>
              <w:rPr>
                <w:i/>
                <w:iCs/>
              </w:rPr>
            </w:pPr>
            <w:r w:rsidRPr="6BB59D32">
              <w:rPr>
                <w:i/>
                <w:iCs/>
              </w:rPr>
              <w:t>Calibration requirements</w:t>
            </w:r>
          </w:p>
        </w:tc>
        <w:tc>
          <w:tcPr>
            <w:tcW w:w="4608" w:type="dxa"/>
            <w:gridSpan w:val="3"/>
          </w:tcPr>
          <w:p w14:paraId="64B9AB79" w14:textId="77777777" w:rsidR="00925217" w:rsidRPr="004A0D82" w:rsidRDefault="12865A3D" w:rsidP="00E12AF4">
            <w:pPr>
              <w:pStyle w:val="SDMTableBoxParaNotNumbered"/>
              <w:spacing w:before="60" w:after="60"/>
              <w:rPr>
                <w:rFonts w:ascii="Calibri" w:hAnsi="Calibri" w:cs="Calibri"/>
              </w:rPr>
            </w:pPr>
            <w:r>
              <w:t>N/A</w:t>
            </w:r>
          </w:p>
        </w:tc>
      </w:tr>
      <w:tr w:rsidR="00593A00" w:rsidRPr="004A0D82" w14:paraId="2BEA701D" w14:textId="77777777" w:rsidTr="00CC0FD5">
        <w:trPr>
          <w:trHeight w:val="104"/>
        </w:trPr>
        <w:tc>
          <w:tcPr>
            <w:tcW w:w="2446" w:type="dxa"/>
            <w:vMerge/>
            <w:shd w:val="clear" w:color="auto" w:fill="D9D9D9" w:themeFill="background1" w:themeFillShade="D9"/>
          </w:tcPr>
          <w:p w14:paraId="4D307038" w14:textId="77777777" w:rsidR="00925217" w:rsidRPr="004A0D82" w:rsidRDefault="00925217" w:rsidP="00E12AF4">
            <w:pPr>
              <w:pStyle w:val="SDMTableBoxParaNotNumbered"/>
              <w:spacing w:before="60" w:after="60"/>
            </w:pPr>
          </w:p>
        </w:tc>
        <w:tc>
          <w:tcPr>
            <w:tcW w:w="1475" w:type="dxa"/>
          </w:tcPr>
          <w:p w14:paraId="564DFC58" w14:textId="77777777" w:rsidR="00925217" w:rsidRPr="004A0D82" w:rsidRDefault="12865A3D" w:rsidP="00E12AF4">
            <w:pPr>
              <w:pStyle w:val="SDMTableBoxParaNotNumbered"/>
              <w:spacing w:before="60" w:after="60"/>
              <w:rPr>
                <w:i/>
                <w:iCs/>
              </w:rPr>
            </w:pPr>
            <w:r w:rsidRPr="6BB59D32">
              <w:rPr>
                <w:i/>
                <w:iCs/>
              </w:rPr>
              <w:t>Location</w:t>
            </w:r>
          </w:p>
        </w:tc>
        <w:tc>
          <w:tcPr>
            <w:tcW w:w="4608" w:type="dxa"/>
            <w:gridSpan w:val="3"/>
          </w:tcPr>
          <w:p w14:paraId="08D69A4F" w14:textId="77777777" w:rsidR="00925217" w:rsidRPr="004A0D82" w:rsidRDefault="12865A3D" w:rsidP="00E12AF4">
            <w:pPr>
              <w:pStyle w:val="SDMTableBoxParaNotNumbered"/>
              <w:spacing w:before="60" w:after="60"/>
            </w:pPr>
            <w:r>
              <w:t>N/A</w:t>
            </w:r>
          </w:p>
        </w:tc>
      </w:tr>
      <w:tr w:rsidR="005B3CCA" w:rsidRPr="004A0D82" w14:paraId="44DD5FD5" w14:textId="77777777" w:rsidTr="00CC0FD5">
        <w:trPr>
          <w:trHeight w:val="300"/>
        </w:trPr>
        <w:tc>
          <w:tcPr>
            <w:tcW w:w="2446" w:type="dxa"/>
            <w:shd w:val="clear" w:color="auto" w:fill="D9D9D9" w:themeFill="background1" w:themeFillShade="D9"/>
          </w:tcPr>
          <w:p w14:paraId="5BDBD0D7" w14:textId="77777777" w:rsidR="00925217" w:rsidRPr="004A0D82" w:rsidRDefault="00925217" w:rsidP="00E12AF4">
            <w:pPr>
              <w:pStyle w:val="SDMTableBoxParaNotNumbered"/>
              <w:spacing w:before="60" w:after="60"/>
            </w:pPr>
            <w:r w:rsidRPr="004A0D82">
              <w:t>QA/QC procedures</w:t>
            </w:r>
          </w:p>
        </w:tc>
        <w:tc>
          <w:tcPr>
            <w:tcW w:w="6083" w:type="dxa"/>
            <w:gridSpan w:val="4"/>
          </w:tcPr>
          <w:p w14:paraId="1AE7ACD0" w14:textId="359BF005" w:rsidR="00925217" w:rsidRPr="004A0D82" w:rsidRDefault="12865A3D" w:rsidP="00E12AF4">
            <w:pPr>
              <w:pStyle w:val="SDMTableBoxParaNotNumbered"/>
              <w:spacing w:before="60" w:after="60"/>
            </w:pPr>
            <w:r>
              <w:t>Cross</w:t>
            </w:r>
            <w:r w:rsidR="002226E0">
              <w:t>-</w:t>
            </w:r>
            <w:r>
              <w:t xml:space="preserve">check measurement results with records for sold heat and other </w:t>
            </w:r>
            <w:r w:rsidR="00CC18AE">
              <w:t xml:space="preserve">relevant </w:t>
            </w:r>
            <w:r>
              <w:t>energy measurements</w:t>
            </w:r>
            <w:r w:rsidR="00CC18AE">
              <w:t>,</w:t>
            </w:r>
            <w:r>
              <w:t xml:space="preserve"> where </w:t>
            </w:r>
            <w:r w:rsidR="00CC18AE">
              <w:t>applicable</w:t>
            </w:r>
          </w:p>
        </w:tc>
      </w:tr>
      <w:tr w:rsidR="00585539" w:rsidRPr="004A0D82" w14:paraId="71F1DFD8" w14:textId="77777777" w:rsidTr="00CC0FD5">
        <w:trPr>
          <w:trHeight w:val="300"/>
        </w:trPr>
        <w:tc>
          <w:tcPr>
            <w:tcW w:w="2446" w:type="dxa"/>
            <w:shd w:val="clear" w:color="auto" w:fill="D9D9D9" w:themeFill="background1" w:themeFillShade="D9"/>
          </w:tcPr>
          <w:p w14:paraId="7BB25806" w14:textId="77777777" w:rsidR="00925217" w:rsidRPr="004A0D82" w:rsidRDefault="00925217" w:rsidP="0038031D">
            <w:pPr>
              <w:pStyle w:val="SDMTableBoxParaNotNumbered"/>
              <w:keepNext/>
              <w:spacing w:before="60" w:after="60"/>
            </w:pPr>
            <w:r w:rsidRPr="004A0D82">
              <w:t>Treatment of uncertainty</w:t>
            </w:r>
          </w:p>
        </w:tc>
        <w:tc>
          <w:tcPr>
            <w:tcW w:w="6083" w:type="dxa"/>
            <w:gridSpan w:val="4"/>
          </w:tcPr>
          <w:p w14:paraId="03E7E2BB" w14:textId="3A53AFE1" w:rsidR="00925217" w:rsidRPr="004A0D82" w:rsidRDefault="12865A3D" w:rsidP="0038031D">
            <w:pPr>
              <w:pStyle w:val="SDMTableBoxParaNotNumbered"/>
              <w:keepNext/>
              <w:spacing w:before="60" w:after="60"/>
            </w:pPr>
            <w:r>
              <w:t>Uncertainties are determined based on the measuring instruments</w:t>
            </w:r>
          </w:p>
        </w:tc>
      </w:tr>
      <w:tr w:rsidR="00585539" w:rsidRPr="00131981" w14:paraId="4C17664F" w14:textId="77777777" w:rsidTr="00CC0FD5">
        <w:trPr>
          <w:trHeight w:val="300"/>
        </w:trPr>
        <w:tc>
          <w:tcPr>
            <w:tcW w:w="2446" w:type="dxa"/>
            <w:shd w:val="clear" w:color="auto" w:fill="D9D9D9" w:themeFill="background1" w:themeFillShade="D9"/>
          </w:tcPr>
          <w:p w14:paraId="67255F59" w14:textId="77777777" w:rsidR="00925217" w:rsidRPr="004A0D82" w:rsidRDefault="00925217" w:rsidP="00E12AF4">
            <w:pPr>
              <w:pStyle w:val="SDMTableBoxParaNotNumbered"/>
              <w:spacing w:before="60" w:after="60"/>
            </w:pPr>
            <w:r w:rsidRPr="004A0D82">
              <w:t>Additional comment</w:t>
            </w:r>
          </w:p>
        </w:tc>
        <w:tc>
          <w:tcPr>
            <w:tcW w:w="6083" w:type="dxa"/>
            <w:gridSpan w:val="4"/>
          </w:tcPr>
          <w:p w14:paraId="1FC7B92B" w14:textId="60E58B7D" w:rsidR="00925217" w:rsidRPr="008C2BFB" w:rsidRDefault="00925217" w:rsidP="00E12AF4">
            <w:pPr>
              <w:pStyle w:val="SDMTableBoxParaNotNumbered"/>
              <w:spacing w:before="60" w:after="60"/>
            </w:pPr>
            <w:r w:rsidRPr="004A0D82">
              <w:t>-</w:t>
            </w:r>
          </w:p>
        </w:tc>
      </w:tr>
    </w:tbl>
    <w:p w14:paraId="38BCCDAD" w14:textId="43CF9266" w:rsidR="00925217" w:rsidRPr="00800962" w:rsidRDefault="00925217" w:rsidP="00F32C6C">
      <w:pPr>
        <w:pStyle w:val="Caption"/>
      </w:pPr>
      <w:r w:rsidRPr="00800962">
        <w:t>Data / Parameter table</w:t>
      </w:r>
      <w:r w:rsidR="004C17BF">
        <w:t> </w:t>
      </w:r>
      <w:r>
        <w:fldChar w:fldCharType="begin"/>
      </w:r>
      <w:r>
        <w:instrText>SEQ Data_/_Parameter_table \* ARABIC</w:instrText>
      </w:r>
      <w:r>
        <w:fldChar w:fldCharType="separate"/>
      </w:r>
      <w:r w:rsidR="003B0135">
        <w:rPr>
          <w:noProof/>
        </w:rPr>
        <w:t>8</w:t>
      </w:r>
      <w:r>
        <w:fldChar w:fldCharType="end"/>
      </w:r>
      <w:r w:rsidRPr="00800962">
        <w:t>.</w:t>
      </w:r>
    </w:p>
    <w:tbl>
      <w:tblPr>
        <w:tblStyle w:val="TableGrid"/>
        <w:tblW w:w="8618" w:type="dxa"/>
        <w:tblInd w:w="8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6"/>
        <w:gridCol w:w="1920"/>
        <w:gridCol w:w="304"/>
        <w:gridCol w:w="1973"/>
        <w:gridCol w:w="1975"/>
      </w:tblGrid>
      <w:tr w:rsidR="00925217" w:rsidRPr="00800962" w14:paraId="04AE0D42" w14:textId="77777777" w:rsidTr="009F15A7">
        <w:trPr>
          <w:trHeight w:val="300"/>
        </w:trPr>
        <w:tc>
          <w:tcPr>
            <w:tcW w:w="2420" w:type="dxa"/>
            <w:shd w:val="clear" w:color="auto" w:fill="D9D9D9" w:themeFill="background1" w:themeFillShade="D9"/>
          </w:tcPr>
          <w:p w14:paraId="3E2B2BAE" w14:textId="77777777" w:rsidR="00925217" w:rsidRPr="00800962" w:rsidRDefault="00925217" w:rsidP="0038031D">
            <w:pPr>
              <w:pStyle w:val="SDMTableBoxParaNotNumbered"/>
              <w:keepNext/>
              <w:spacing w:before="60" w:after="60"/>
              <w:rPr>
                <w:rFonts w:cs="Arial"/>
                <w:b/>
              </w:rPr>
            </w:pPr>
            <w:r w:rsidRPr="00800962">
              <w:t>Data/parameter</w:t>
            </w:r>
          </w:p>
        </w:tc>
        <w:tc>
          <w:tcPr>
            <w:tcW w:w="6109" w:type="dxa"/>
            <w:gridSpan w:val="4"/>
          </w:tcPr>
          <w:p w14:paraId="19379724" w14:textId="7B223AD8" w:rsidR="00925217" w:rsidRPr="00AD2370" w:rsidRDefault="003F6646" w:rsidP="0038031D">
            <w:pPr>
              <w:pStyle w:val="SDMTableBoxParaNotNumbered"/>
              <w:keepNext/>
              <w:spacing w:before="60" w:after="60"/>
              <w:rPr>
                <w:rFonts w:cs="Arial"/>
                <w:b/>
                <w:i/>
                <w:highlight w:val="yellow"/>
              </w:rPr>
            </w:pPr>
            <m:oMathPara>
              <m:oMathParaPr>
                <m:jc m:val="left"/>
              </m:oMathParaPr>
              <m:oMath>
                <m:sSub>
                  <m:sSubPr>
                    <m:ctrlPr>
                      <w:rPr>
                        <w:rFonts w:ascii="Cambria Math" w:hAnsi="Cambria Math"/>
                        <w:b/>
                        <w:bCs/>
                        <w:i/>
                      </w:rPr>
                    </m:ctrlPr>
                  </m:sSubPr>
                  <m:e>
                    <m:r>
                      <m:rPr>
                        <m:sty m:val="bi"/>
                      </m:rPr>
                      <w:rPr>
                        <w:rFonts w:ascii="Cambria Math" w:hAnsi="Cambria Math"/>
                      </w:rPr>
                      <m:t>η</m:t>
                    </m:r>
                  </m:e>
                  <m:sub>
                    <m:r>
                      <m:rPr>
                        <m:sty m:val="bi"/>
                      </m:rPr>
                      <w:rPr>
                        <w:rFonts w:ascii="Cambria Math" w:hAnsi="Cambria Math"/>
                      </w:rPr>
                      <m:t>boiler</m:t>
                    </m:r>
                  </m:sub>
                </m:sSub>
              </m:oMath>
            </m:oMathPara>
          </w:p>
        </w:tc>
      </w:tr>
      <w:tr w:rsidR="00925217" w:rsidRPr="00800962" w14:paraId="252362ED" w14:textId="77777777" w:rsidTr="009F15A7">
        <w:trPr>
          <w:trHeight w:val="300"/>
        </w:trPr>
        <w:tc>
          <w:tcPr>
            <w:tcW w:w="2420" w:type="dxa"/>
            <w:shd w:val="clear" w:color="auto" w:fill="D9D9D9" w:themeFill="background1" w:themeFillShade="D9"/>
          </w:tcPr>
          <w:p w14:paraId="243F53E7" w14:textId="77777777" w:rsidR="00925217" w:rsidRPr="00800962" w:rsidRDefault="00925217" w:rsidP="00E12AF4">
            <w:pPr>
              <w:pStyle w:val="SDMTableBoxParaNotNumbered"/>
              <w:spacing w:before="60" w:after="60"/>
            </w:pPr>
            <w:r w:rsidRPr="00800962">
              <w:t>Description</w:t>
            </w:r>
          </w:p>
        </w:tc>
        <w:tc>
          <w:tcPr>
            <w:tcW w:w="6109" w:type="dxa"/>
            <w:gridSpan w:val="4"/>
          </w:tcPr>
          <w:p w14:paraId="2C827DDD" w14:textId="3D3D4902" w:rsidR="00925217" w:rsidRPr="00800962" w:rsidRDefault="00925217" w:rsidP="00E12AF4">
            <w:pPr>
              <w:pStyle w:val="SDMTableBoxParaNotNumbered"/>
              <w:spacing w:before="60" w:after="60"/>
            </w:pPr>
            <w:r w:rsidRPr="00800962">
              <w:rPr>
                <w:lang w:eastAsia="en-US"/>
              </w:rPr>
              <w:t xml:space="preserve">Efficiency of the boiler in which heat is assumed to be generated in the absence of a </w:t>
            </w:r>
            <w:r w:rsidR="0BD52DFA">
              <w:t>fossil-fuel fired</w:t>
            </w:r>
            <w:r w:rsidR="0BD52DFA" w:rsidRPr="140C7488">
              <w:rPr>
                <w:lang w:eastAsia="en-US"/>
              </w:rPr>
              <w:t xml:space="preserve"> </w:t>
            </w:r>
            <w:r w:rsidR="3E077328" w:rsidRPr="02DD93C3">
              <w:rPr>
                <w:lang w:eastAsia="en-US"/>
              </w:rPr>
              <w:t xml:space="preserve">captive </w:t>
            </w:r>
            <w:r w:rsidRPr="00800962">
              <w:rPr>
                <w:lang w:eastAsia="en-US"/>
              </w:rPr>
              <w:t>cogeneration plant</w:t>
            </w:r>
          </w:p>
        </w:tc>
      </w:tr>
      <w:tr w:rsidR="00925217" w:rsidRPr="00800962" w14:paraId="1046A618" w14:textId="77777777" w:rsidTr="009F15A7">
        <w:trPr>
          <w:trHeight w:val="300"/>
        </w:trPr>
        <w:tc>
          <w:tcPr>
            <w:tcW w:w="2420" w:type="dxa"/>
            <w:shd w:val="clear" w:color="auto" w:fill="D9D9D9" w:themeFill="background1" w:themeFillShade="D9"/>
          </w:tcPr>
          <w:p w14:paraId="5996D731" w14:textId="77777777" w:rsidR="00925217" w:rsidRPr="00800962" w:rsidRDefault="00925217" w:rsidP="00E12AF4">
            <w:pPr>
              <w:pStyle w:val="SDMTableBoxParaNotNumbered"/>
              <w:spacing w:before="60" w:after="60"/>
            </w:pPr>
            <w:r w:rsidRPr="00800962">
              <w:t>Data unit</w:t>
            </w:r>
          </w:p>
        </w:tc>
        <w:tc>
          <w:tcPr>
            <w:tcW w:w="6109" w:type="dxa"/>
            <w:gridSpan w:val="4"/>
          </w:tcPr>
          <w:p w14:paraId="0ACA5C61" w14:textId="7ED47EF0" w:rsidR="00925217" w:rsidRPr="00800962" w:rsidRDefault="00807A84" w:rsidP="00E12AF4">
            <w:pPr>
              <w:pStyle w:val="SDMTableBoxParaNotNumbered"/>
              <w:spacing w:before="60" w:after="60"/>
            </w:pPr>
            <w:r>
              <w:t>Per cent</w:t>
            </w:r>
          </w:p>
        </w:tc>
      </w:tr>
      <w:tr w:rsidR="00925217" w:rsidRPr="00800962" w14:paraId="0AC38815" w14:textId="77777777" w:rsidTr="009F15A7">
        <w:trPr>
          <w:trHeight w:val="300"/>
        </w:trPr>
        <w:tc>
          <w:tcPr>
            <w:tcW w:w="2420" w:type="dxa"/>
            <w:shd w:val="clear" w:color="auto" w:fill="D9D9D9" w:themeFill="background1" w:themeFillShade="D9"/>
          </w:tcPr>
          <w:p w14:paraId="015EAAAF" w14:textId="77777777" w:rsidR="00925217" w:rsidRPr="00800962" w:rsidRDefault="00925217" w:rsidP="00E12AF4">
            <w:pPr>
              <w:pStyle w:val="SDMTableBoxParaNotNumbered"/>
              <w:spacing w:before="60" w:after="60"/>
            </w:pPr>
            <w:r w:rsidRPr="00800962">
              <w:t>Equations referred</w:t>
            </w:r>
          </w:p>
        </w:tc>
        <w:tc>
          <w:tcPr>
            <w:tcW w:w="6109" w:type="dxa"/>
            <w:gridSpan w:val="4"/>
            <w:tcBorders>
              <w:bottom w:val="single" w:sz="4" w:space="0" w:color="auto"/>
            </w:tcBorders>
          </w:tcPr>
          <w:p w14:paraId="27C6A563" w14:textId="77777777" w:rsidR="00925217" w:rsidRPr="00800962" w:rsidRDefault="00925217" w:rsidP="00E12AF4">
            <w:pPr>
              <w:pStyle w:val="SDMTableBoxParaNotNumbered"/>
              <w:spacing w:before="60" w:after="60"/>
            </w:pPr>
          </w:p>
        </w:tc>
      </w:tr>
      <w:tr w:rsidR="00F51087" w:rsidRPr="00131981" w14:paraId="151CBE3C" w14:textId="77777777" w:rsidTr="009F15A7">
        <w:trPr>
          <w:trHeight w:val="300"/>
        </w:trPr>
        <w:tc>
          <w:tcPr>
            <w:tcW w:w="2420" w:type="dxa"/>
            <w:tcBorders>
              <w:right w:val="single" w:sz="4" w:space="0" w:color="auto"/>
            </w:tcBorders>
            <w:shd w:val="clear" w:color="auto" w:fill="D9D9D9" w:themeFill="background1" w:themeFillShade="D9"/>
          </w:tcPr>
          <w:p w14:paraId="523F4BAD" w14:textId="77777777" w:rsidR="00F51087" w:rsidRPr="00131981" w:rsidRDefault="00F51087" w:rsidP="00F51087">
            <w:pPr>
              <w:pStyle w:val="SDMTableBoxParaNotNumbered"/>
              <w:spacing w:before="60" w:after="60"/>
            </w:pPr>
            <w:r w:rsidRPr="00131981">
              <w:t>Purpose of data</w:t>
            </w:r>
          </w:p>
        </w:tc>
        <w:tc>
          <w:tcPr>
            <w:tcW w:w="2201" w:type="dxa"/>
            <w:gridSpan w:val="2"/>
            <w:tcBorders>
              <w:left w:val="single" w:sz="4" w:space="0" w:color="auto"/>
              <w:right w:val="nil"/>
            </w:tcBorders>
          </w:tcPr>
          <w:p w14:paraId="614713C6" w14:textId="4E287E42" w:rsidR="00F51087" w:rsidRPr="00780E96" w:rsidRDefault="00F51087" w:rsidP="00F51087">
            <w:pPr>
              <w:pStyle w:val="SDMTableBoxParaNotNumbered"/>
              <w:spacing w:before="60" w:after="60"/>
            </w:pPr>
            <w:r w:rsidRPr="00780E96">
              <w:rPr>
                <w:rFonts w:asciiTheme="minorBidi" w:hAnsiTheme="minorBidi" w:cstheme="minorBidi"/>
                <w:shd w:val="clear" w:color="auto" w:fill="E6E6E6"/>
              </w:rPr>
              <w:fldChar w:fldCharType="begin">
                <w:ffData>
                  <w:name w:val=""/>
                  <w:enabled/>
                  <w:calcOnExit w:val="0"/>
                  <w:checkBox>
                    <w:size w:val="20"/>
                    <w:default w:val="1"/>
                  </w:checkBox>
                </w:ffData>
              </w:fldChar>
            </w:r>
            <w:r w:rsidRPr="00780E96">
              <w:rPr>
                <w:rFonts w:asciiTheme="minorBidi" w:hAnsiTheme="minorBidi" w:cstheme="minorBidi"/>
                <w:shd w:val="clear" w:color="auto" w:fill="E6E6E6"/>
              </w:rPr>
              <w:instrText xml:space="preserve"> FORMCHECKBOX </w:instrText>
            </w:r>
            <w:r w:rsidRPr="00780E96">
              <w:rPr>
                <w:rFonts w:asciiTheme="minorBidi" w:hAnsiTheme="minorBidi" w:cstheme="minorBidi"/>
                <w:shd w:val="clear" w:color="auto" w:fill="E6E6E6"/>
              </w:rPr>
            </w:r>
            <w:r w:rsidRPr="00780E96">
              <w:rPr>
                <w:rFonts w:asciiTheme="minorBidi" w:hAnsiTheme="minorBidi" w:cstheme="minorBidi"/>
                <w:shd w:val="clear" w:color="auto" w:fill="E6E6E6"/>
              </w:rPr>
              <w:fldChar w:fldCharType="separate"/>
            </w:r>
            <w:r w:rsidRPr="00780E96">
              <w:rPr>
                <w:rFonts w:asciiTheme="minorBidi" w:hAnsiTheme="minorBidi" w:cstheme="minorBidi"/>
                <w:shd w:val="clear" w:color="auto" w:fill="E6E6E6"/>
              </w:rPr>
              <w:fldChar w:fldCharType="end"/>
            </w:r>
            <w:r w:rsidRPr="00780E96">
              <w:rPr>
                <w:rFonts w:asciiTheme="minorBidi" w:hAnsiTheme="minorBidi" w:cstheme="minorBidi"/>
                <w:shd w:val="clear" w:color="auto" w:fill="E6E6E6"/>
              </w:rPr>
              <w:t xml:space="preserve"> </w:t>
            </w:r>
            <w:r w:rsidRPr="00780E96">
              <w:rPr>
                <w:rFonts w:asciiTheme="minorBidi" w:hAnsiTheme="minorBidi" w:cstheme="minorBidi"/>
              </w:rPr>
              <w:t xml:space="preserve">Baseline </w:t>
            </w:r>
            <w:r w:rsidR="00461FEF" w:rsidRPr="00780E96">
              <w:rPr>
                <w:rFonts w:asciiTheme="minorBidi" w:eastAsia="MS Mincho" w:hAnsiTheme="minorBidi" w:cstheme="minorBidi" w:hint="eastAsia"/>
                <w:lang w:eastAsia="ja-JP"/>
              </w:rPr>
              <w:t>Scenario</w:t>
            </w:r>
          </w:p>
        </w:tc>
        <w:tc>
          <w:tcPr>
            <w:tcW w:w="1953" w:type="dxa"/>
            <w:tcBorders>
              <w:left w:val="nil"/>
              <w:right w:val="nil"/>
            </w:tcBorders>
          </w:tcPr>
          <w:p w14:paraId="7ECE6A4B" w14:textId="10B2C2AC" w:rsidR="00F51087" w:rsidRPr="00780E96" w:rsidRDefault="00F51087" w:rsidP="00F51087">
            <w:pPr>
              <w:pStyle w:val="SDMTableBoxParaNotNumbered"/>
              <w:spacing w:before="60" w:after="60"/>
            </w:pPr>
            <w:r w:rsidRPr="00780E96">
              <w:rPr>
                <w:rFonts w:asciiTheme="minorBidi" w:hAnsiTheme="minorBidi" w:cstheme="minorBidi"/>
                <w:shd w:val="clear" w:color="auto" w:fill="E6E6E6"/>
              </w:rPr>
              <w:fldChar w:fldCharType="begin">
                <w:ffData>
                  <w:name w:val=""/>
                  <w:enabled/>
                  <w:calcOnExit w:val="0"/>
                  <w:checkBox>
                    <w:size w:val="20"/>
                    <w:default w:val="1"/>
                  </w:checkBox>
                </w:ffData>
              </w:fldChar>
            </w:r>
            <w:r w:rsidRPr="00780E96">
              <w:rPr>
                <w:rFonts w:asciiTheme="minorBidi" w:hAnsiTheme="minorBidi" w:cstheme="minorBidi"/>
                <w:shd w:val="clear" w:color="auto" w:fill="E6E6E6"/>
              </w:rPr>
              <w:instrText xml:space="preserve"> FORMCHECKBOX </w:instrText>
            </w:r>
            <w:r w:rsidRPr="00780E96">
              <w:rPr>
                <w:rFonts w:asciiTheme="minorBidi" w:hAnsiTheme="minorBidi" w:cstheme="minorBidi"/>
                <w:shd w:val="clear" w:color="auto" w:fill="E6E6E6"/>
              </w:rPr>
            </w:r>
            <w:r w:rsidRPr="00780E96">
              <w:rPr>
                <w:rFonts w:asciiTheme="minorBidi" w:hAnsiTheme="minorBidi" w:cstheme="minorBidi"/>
                <w:shd w:val="clear" w:color="auto" w:fill="E6E6E6"/>
              </w:rPr>
              <w:fldChar w:fldCharType="separate"/>
            </w:r>
            <w:r w:rsidRPr="00780E96">
              <w:rPr>
                <w:rFonts w:asciiTheme="minorBidi" w:hAnsiTheme="minorBidi" w:cstheme="minorBidi"/>
                <w:shd w:val="clear" w:color="auto" w:fill="E6E6E6"/>
              </w:rPr>
              <w:fldChar w:fldCharType="end"/>
            </w:r>
            <w:r w:rsidRPr="00780E96">
              <w:rPr>
                <w:rFonts w:asciiTheme="minorBidi" w:hAnsiTheme="minorBidi" w:cstheme="minorBidi"/>
              </w:rPr>
              <w:fldChar w:fldCharType="begin"/>
            </w:r>
            <w:r w:rsidRPr="00780E96">
              <w:rPr>
                <w:rFonts w:asciiTheme="minorBidi" w:hAnsiTheme="minorBidi" w:cstheme="minorBidi"/>
              </w:rPr>
              <w:instrText xml:space="preserve"> FORMCHECKBOX </w:instrText>
            </w:r>
            <w:r w:rsidRPr="00780E96">
              <w:rPr>
                <w:rFonts w:asciiTheme="minorBidi" w:hAnsiTheme="minorBidi" w:cstheme="minorBidi"/>
              </w:rPr>
              <w:fldChar w:fldCharType="separate"/>
            </w:r>
            <w:r w:rsidRPr="00780E96">
              <w:rPr>
                <w:rFonts w:asciiTheme="minorBidi" w:hAnsiTheme="minorBidi" w:cstheme="minorBidi"/>
              </w:rPr>
              <w:fldChar w:fldCharType="end"/>
            </w:r>
            <w:r w:rsidRPr="00780E96">
              <w:rPr>
                <w:rFonts w:asciiTheme="minorBidi" w:hAnsiTheme="minorBidi" w:cstheme="minorBidi"/>
              </w:rPr>
              <w:t xml:space="preserve"> </w:t>
            </w:r>
            <w:r w:rsidR="00B60137" w:rsidRPr="00780E96">
              <w:rPr>
                <w:rFonts w:asciiTheme="minorBidi" w:eastAsia="MS Mincho" w:hAnsiTheme="minorBidi" w:cstheme="minorBidi" w:hint="eastAsia"/>
                <w:lang w:eastAsia="ja-JP"/>
              </w:rPr>
              <w:t xml:space="preserve">Activity </w:t>
            </w:r>
            <w:r w:rsidR="00461FEF" w:rsidRPr="00780E96">
              <w:rPr>
                <w:rFonts w:asciiTheme="minorBidi" w:eastAsia="MS Mincho" w:hAnsiTheme="minorBidi" w:cstheme="minorBidi" w:hint="eastAsia"/>
                <w:lang w:eastAsia="ja-JP"/>
              </w:rPr>
              <w:t>Scenario</w:t>
            </w:r>
          </w:p>
        </w:tc>
        <w:tc>
          <w:tcPr>
            <w:tcW w:w="1955" w:type="dxa"/>
            <w:tcBorders>
              <w:left w:val="nil"/>
            </w:tcBorders>
          </w:tcPr>
          <w:p w14:paraId="4FD0B781" w14:textId="184AAF38" w:rsidR="00F51087" w:rsidRPr="005D7E1B" w:rsidRDefault="00F51087" w:rsidP="00F51087">
            <w:pPr>
              <w:pStyle w:val="SDMTableBoxParaNotNumbered"/>
              <w:spacing w:before="60" w:after="60"/>
            </w:pPr>
            <w:r w:rsidRPr="005D7E1B">
              <w:rPr>
                <w:rFonts w:asciiTheme="minorBidi" w:hAnsiTheme="minorBidi" w:cstheme="minorBidi"/>
                <w:shd w:val="clear" w:color="auto" w:fill="E6E6E6"/>
              </w:rPr>
              <w:fldChar w:fldCharType="begin">
                <w:ffData>
                  <w:name w:val=""/>
                  <w:enabled/>
                  <w:calcOnExit w:val="0"/>
                  <w:checkBox>
                    <w:size w:val="20"/>
                    <w:default w:val="1"/>
                  </w:checkBox>
                </w:ffData>
              </w:fldChar>
            </w:r>
            <w:r w:rsidRPr="005D7E1B">
              <w:rPr>
                <w:rFonts w:asciiTheme="minorBidi" w:hAnsiTheme="minorBidi" w:cstheme="minorBidi"/>
                <w:shd w:val="clear" w:color="auto" w:fill="E6E6E6"/>
              </w:rPr>
              <w:instrText xml:space="preserve"> FORMCHECKBOX </w:instrText>
            </w:r>
            <w:r w:rsidRPr="005D7E1B">
              <w:rPr>
                <w:rFonts w:asciiTheme="minorBidi" w:hAnsiTheme="minorBidi" w:cstheme="minorBidi"/>
                <w:shd w:val="clear" w:color="auto" w:fill="E6E6E6"/>
              </w:rPr>
            </w:r>
            <w:r w:rsidRPr="005D7E1B">
              <w:rPr>
                <w:rFonts w:asciiTheme="minorBidi" w:hAnsiTheme="minorBidi" w:cstheme="minorBidi"/>
                <w:shd w:val="clear" w:color="auto" w:fill="E6E6E6"/>
              </w:rPr>
              <w:fldChar w:fldCharType="separate"/>
            </w:r>
            <w:r w:rsidRPr="005D7E1B">
              <w:rPr>
                <w:rFonts w:asciiTheme="minorBidi" w:hAnsiTheme="minorBidi" w:cstheme="minorBidi"/>
                <w:shd w:val="clear" w:color="auto" w:fill="E6E6E6"/>
              </w:rPr>
              <w:fldChar w:fldCharType="end"/>
            </w:r>
            <w:r w:rsidRPr="3161B3F5">
              <w:rPr>
                <w:rFonts w:asciiTheme="minorBidi" w:hAnsiTheme="minorBidi" w:cstheme="minorBidi"/>
              </w:rPr>
              <w:fldChar w:fldCharType="begin"/>
            </w:r>
            <w:r w:rsidRPr="3161B3F5">
              <w:rPr>
                <w:rFonts w:asciiTheme="minorBidi" w:hAnsiTheme="minorBidi" w:cstheme="minorBidi"/>
              </w:rPr>
              <w:instrText xml:space="preserve"> FORMCHECKBOX </w:instrText>
            </w:r>
            <w:r w:rsidRPr="3161B3F5">
              <w:rPr>
                <w:rFonts w:asciiTheme="minorBidi" w:hAnsiTheme="minorBidi" w:cstheme="minorBidi"/>
              </w:rPr>
              <w:fldChar w:fldCharType="separate"/>
            </w:r>
            <w:r w:rsidRPr="3161B3F5">
              <w:rPr>
                <w:rFonts w:asciiTheme="minorBidi" w:hAnsiTheme="minorBidi" w:cstheme="minorBidi"/>
              </w:rPr>
              <w:fldChar w:fldCharType="end"/>
            </w:r>
            <w:r w:rsidRPr="005D7E1B">
              <w:rPr>
                <w:rFonts w:asciiTheme="minorBidi" w:hAnsiTheme="minorBidi" w:cstheme="minorBidi"/>
              </w:rPr>
              <w:t xml:space="preserve"> Leakage </w:t>
            </w:r>
          </w:p>
        </w:tc>
      </w:tr>
      <w:tr w:rsidR="00925217" w:rsidRPr="00800962" w14:paraId="64C7A165" w14:textId="77777777" w:rsidTr="009F15A7">
        <w:trPr>
          <w:trHeight w:val="300"/>
        </w:trPr>
        <w:tc>
          <w:tcPr>
            <w:tcW w:w="2420" w:type="dxa"/>
            <w:shd w:val="clear" w:color="auto" w:fill="D9D9D9" w:themeFill="background1" w:themeFillShade="D9"/>
          </w:tcPr>
          <w:p w14:paraId="1F30D757" w14:textId="77777777" w:rsidR="00925217" w:rsidRPr="00780E96" w:rsidRDefault="3A25738E" w:rsidP="00E12AF4">
            <w:pPr>
              <w:pStyle w:val="SDMTableBoxParaNotNumbered"/>
              <w:spacing w:before="60" w:after="60"/>
            </w:pPr>
            <w:r w:rsidRPr="00780E96">
              <w:t>Measurement and updating frequency</w:t>
            </w:r>
          </w:p>
        </w:tc>
        <w:tc>
          <w:tcPr>
            <w:tcW w:w="6109" w:type="dxa"/>
            <w:gridSpan w:val="4"/>
          </w:tcPr>
          <w:p w14:paraId="2FC1DE3A" w14:textId="3BA13074" w:rsidR="00925217" w:rsidRPr="00780E96" w:rsidRDefault="12865A3D" w:rsidP="00E12AF4">
            <w:pPr>
              <w:pStyle w:val="SDMTableBoxParaNotNumbered"/>
              <w:spacing w:before="60" w:after="60"/>
            </w:pPr>
            <w:r w:rsidRPr="00780E96">
              <w:t>If option</w:t>
            </w:r>
            <w:r w:rsidR="004C17BF" w:rsidRPr="00780E96">
              <w:t> </w:t>
            </w:r>
            <w:r w:rsidR="000F51F6" w:rsidRPr="00780E96">
              <w:t>1</w:t>
            </w:r>
            <w:r w:rsidRPr="00780E96">
              <w:t xml:space="preserve"> below is chosen: </w:t>
            </w:r>
            <w:r w:rsidR="00B551FB" w:rsidRPr="00780E96">
              <w:t xml:space="preserve">once </w:t>
            </w:r>
            <w:r w:rsidRPr="00780E96">
              <w:t>at the start of the Article 6.4</w:t>
            </w:r>
            <w:r w:rsidR="00AD2370" w:rsidRPr="00780E96">
              <w:rPr>
                <w:strike/>
              </w:rPr>
              <w:t xml:space="preserve"> </w:t>
            </w:r>
            <w:r w:rsidR="006779FA" w:rsidRPr="00780E96">
              <w:rPr>
                <w:rFonts w:eastAsia="Arial"/>
              </w:rPr>
              <w:t>project or CP</w:t>
            </w:r>
            <w:r w:rsidR="70D8C998" w:rsidRPr="00780E96">
              <w:t>.</w:t>
            </w:r>
          </w:p>
          <w:p w14:paraId="3B7724B2" w14:textId="5CFA32A3" w:rsidR="00925217" w:rsidRPr="00780E96" w:rsidRDefault="12865A3D" w:rsidP="00E12AF4">
            <w:pPr>
              <w:pStyle w:val="SDMTableBoxParaNotNumbered"/>
              <w:spacing w:before="60" w:after="60"/>
            </w:pPr>
            <w:r w:rsidRPr="00780E96">
              <w:t>If option</w:t>
            </w:r>
            <w:r w:rsidR="004C17BF" w:rsidRPr="00780E96">
              <w:t> </w:t>
            </w:r>
            <w:r w:rsidR="00F31A00" w:rsidRPr="00780E96">
              <w:t>2</w:t>
            </w:r>
            <w:r w:rsidRPr="00780E96">
              <w:t xml:space="preserve"> below is chosen: </w:t>
            </w:r>
            <w:r w:rsidR="00C963F4" w:rsidRPr="00780E96">
              <w:t xml:space="preserve">not </w:t>
            </w:r>
            <w:r w:rsidRPr="00780E96">
              <w:t>applicable</w:t>
            </w:r>
          </w:p>
        </w:tc>
      </w:tr>
      <w:tr w:rsidR="00925217" w:rsidRPr="00800962" w14:paraId="090AC5D4" w14:textId="77777777" w:rsidTr="009F15A7">
        <w:trPr>
          <w:trHeight w:val="300"/>
        </w:trPr>
        <w:tc>
          <w:tcPr>
            <w:tcW w:w="2420" w:type="dxa"/>
            <w:shd w:val="clear" w:color="auto" w:fill="D9D9D9" w:themeFill="background1" w:themeFillShade="D9"/>
          </w:tcPr>
          <w:p w14:paraId="59878CA3" w14:textId="77777777" w:rsidR="00925217" w:rsidRPr="00800962" w:rsidRDefault="00925217" w:rsidP="00E12AF4">
            <w:pPr>
              <w:pStyle w:val="SDMTableBoxParaNotNumbered"/>
              <w:spacing w:before="60" w:after="60"/>
            </w:pPr>
            <w:r w:rsidRPr="00800962">
              <w:t>Measurement methods and procedures</w:t>
            </w:r>
          </w:p>
        </w:tc>
        <w:tc>
          <w:tcPr>
            <w:tcW w:w="6109" w:type="dxa"/>
            <w:gridSpan w:val="4"/>
          </w:tcPr>
          <w:p w14:paraId="5287DAC6" w14:textId="09A0C82B" w:rsidR="00925217" w:rsidRPr="00800962" w:rsidRDefault="00AC0680" w:rsidP="00E12AF4">
            <w:pPr>
              <w:pStyle w:val="SDMTableBoxParaNotNumbered"/>
              <w:spacing w:before="60" w:after="60"/>
            </w:pPr>
            <w:r w:rsidRPr="00385CF5">
              <w:rPr>
                <w:u w:val="single"/>
              </w:rPr>
              <w:t>Option</w:t>
            </w:r>
            <w:r w:rsidR="004C17BF">
              <w:rPr>
                <w:u w:val="single"/>
              </w:rPr>
              <w:t> </w:t>
            </w:r>
            <w:r w:rsidR="00385CF5" w:rsidRPr="00385CF5">
              <w:rPr>
                <w:u w:val="single"/>
              </w:rPr>
              <w:t>1</w:t>
            </w:r>
            <w:r w:rsidRPr="00385CF5">
              <w:rPr>
                <w:u w:val="single"/>
              </w:rPr>
              <w:t>:</w:t>
            </w:r>
            <w:r w:rsidR="12865A3D">
              <w:t xml:space="preserve"> Measurement of the efficiency </w:t>
            </w:r>
            <w:r w:rsidR="00A71C1A">
              <w:t>where</w:t>
            </w:r>
            <w:r w:rsidR="12865A3D">
              <w:t xml:space="preserve"> a heat-only boiler is installed and </w:t>
            </w:r>
            <w:r w:rsidR="00445E10">
              <w:t>operated</w:t>
            </w:r>
            <w:r w:rsidR="12865A3D">
              <w:t xml:space="preserve"> at the site of the </w:t>
            </w:r>
            <w:r w:rsidR="328A1917">
              <w:t>fossil-fuel fired</w:t>
            </w:r>
            <w:r w:rsidR="12865A3D">
              <w:t xml:space="preserve"> captive power plant(s)</w:t>
            </w:r>
            <w:r w:rsidR="00445E10">
              <w:t>,</w:t>
            </w:r>
            <w:r w:rsidR="12865A3D">
              <w:t xml:space="preserve"> using </w:t>
            </w:r>
            <w:r w:rsidR="00445E10">
              <w:t xml:space="preserve">relevant </w:t>
            </w:r>
            <w:r w:rsidR="12865A3D">
              <w:t>national or international standards</w:t>
            </w:r>
            <w:r w:rsidR="62F1C8B6">
              <w:t>;</w:t>
            </w:r>
            <w:r w:rsidR="00445E10">
              <w:t xml:space="preserve"> or</w:t>
            </w:r>
          </w:p>
          <w:p w14:paraId="40E0BEF6" w14:textId="79B303D4" w:rsidR="00925217" w:rsidRPr="00800962" w:rsidRDefault="27AC65D9" w:rsidP="00E12AF4">
            <w:pPr>
              <w:pStyle w:val="SDMTableBoxParaNotNumbered"/>
              <w:spacing w:before="60" w:after="60"/>
            </w:pPr>
            <w:r w:rsidRPr="55FC4291">
              <w:rPr>
                <w:u w:val="single"/>
              </w:rPr>
              <w:t>Option</w:t>
            </w:r>
            <w:r w:rsidR="2F18C9CC" w:rsidRPr="55FC4291">
              <w:rPr>
                <w:u w:val="single"/>
              </w:rPr>
              <w:t> </w:t>
            </w:r>
            <w:r w:rsidR="57819747" w:rsidRPr="55FC4291">
              <w:rPr>
                <w:u w:val="single"/>
              </w:rPr>
              <w:t>2</w:t>
            </w:r>
            <w:r w:rsidRPr="55FC4291">
              <w:rPr>
                <w:u w:val="single"/>
              </w:rPr>
              <w:t>:</w:t>
            </w:r>
            <w:r w:rsidR="044B6119">
              <w:t xml:space="preserve"> Assume a default value of 100</w:t>
            </w:r>
            <w:r w:rsidR="0C33917E">
              <w:t xml:space="preserve"> per cent </w:t>
            </w:r>
            <w:r w:rsidR="6764BE4E">
              <w:t xml:space="preserve">for </w:t>
            </w:r>
            <w:r w:rsidR="0C33917E" w:rsidRPr="007B3A6B">
              <w:rPr>
                <w:b/>
                <w:bCs/>
              </w:rPr>
              <w:t>case</w:t>
            </w:r>
            <w:r w:rsidR="2F18C9CC" w:rsidRPr="007B3A6B">
              <w:rPr>
                <w:b/>
                <w:bCs/>
              </w:rPr>
              <w:t> </w:t>
            </w:r>
            <w:r w:rsidR="6764BE4E" w:rsidRPr="007B3A6B">
              <w:rPr>
                <w:b/>
                <w:bCs/>
              </w:rPr>
              <w:t>1</w:t>
            </w:r>
            <w:r w:rsidR="044B6119">
              <w:t xml:space="preserve"> and 60</w:t>
            </w:r>
            <w:r w:rsidR="0C33917E">
              <w:t xml:space="preserve"> per cent </w:t>
            </w:r>
            <w:r w:rsidR="30927326">
              <w:t xml:space="preserve">for </w:t>
            </w:r>
            <w:r w:rsidR="0C33917E" w:rsidRPr="007B3A6B">
              <w:rPr>
                <w:b/>
                <w:bCs/>
              </w:rPr>
              <w:t>case</w:t>
            </w:r>
            <w:r w:rsidR="2F18C9CC" w:rsidRPr="007B3A6B">
              <w:rPr>
                <w:b/>
                <w:bCs/>
              </w:rPr>
              <w:t> </w:t>
            </w:r>
            <w:r w:rsidR="72AD458E" w:rsidRPr="007B3A6B">
              <w:rPr>
                <w:b/>
                <w:bCs/>
              </w:rPr>
              <w:t>2</w:t>
            </w:r>
          </w:p>
        </w:tc>
      </w:tr>
      <w:tr w:rsidR="00925217" w:rsidRPr="00800962" w14:paraId="0799D968" w14:textId="77777777" w:rsidTr="009F15A7">
        <w:trPr>
          <w:trHeight w:val="107"/>
        </w:trPr>
        <w:tc>
          <w:tcPr>
            <w:tcW w:w="2420" w:type="dxa"/>
            <w:shd w:val="clear" w:color="auto" w:fill="D9D9D9" w:themeFill="background1" w:themeFillShade="D9"/>
          </w:tcPr>
          <w:p w14:paraId="7D53FD0D" w14:textId="77777777" w:rsidR="00925217" w:rsidRPr="00800962" w:rsidRDefault="00925217" w:rsidP="00E12AF4">
            <w:pPr>
              <w:pStyle w:val="SDMTableBoxParaNotNumbered"/>
              <w:spacing w:before="60" w:after="60"/>
            </w:pPr>
            <w:r w:rsidRPr="00800962">
              <w:t>Entity/person responsible for the measurement</w:t>
            </w:r>
          </w:p>
        </w:tc>
        <w:tc>
          <w:tcPr>
            <w:tcW w:w="6109" w:type="dxa"/>
            <w:gridSpan w:val="4"/>
          </w:tcPr>
          <w:p w14:paraId="1A1FCDEA" w14:textId="5BB8379C" w:rsidR="00925217" w:rsidRPr="00800962" w:rsidRDefault="12865A3D" w:rsidP="00E12AF4">
            <w:pPr>
              <w:pStyle w:val="SDMTableBoxParaNotNumbered"/>
              <w:spacing w:before="60" w:after="60"/>
            </w:pPr>
            <w:r>
              <w:t>If option</w:t>
            </w:r>
            <w:r w:rsidR="004C17BF">
              <w:t> </w:t>
            </w:r>
            <w:r w:rsidR="000F51F6">
              <w:t>1</w:t>
            </w:r>
            <w:r>
              <w:t xml:space="preserve"> is chosen: activity participants</w:t>
            </w:r>
            <w:r w:rsidR="004C17BF">
              <w:t>.</w:t>
            </w:r>
          </w:p>
          <w:p w14:paraId="512B5CF4" w14:textId="667CA4BE" w:rsidR="00925217" w:rsidRPr="00800962" w:rsidRDefault="12865A3D" w:rsidP="00E12AF4">
            <w:pPr>
              <w:pStyle w:val="SDMTableBoxParaNotNumbered"/>
              <w:spacing w:before="60" w:after="60"/>
            </w:pPr>
            <w:r>
              <w:t>If option</w:t>
            </w:r>
            <w:r w:rsidR="004C17BF">
              <w:t> </w:t>
            </w:r>
            <w:r w:rsidR="000F51F6">
              <w:t>2</w:t>
            </w:r>
            <w:r>
              <w:t xml:space="preserve"> is chosen: not applicable</w:t>
            </w:r>
          </w:p>
        </w:tc>
      </w:tr>
      <w:tr w:rsidR="00925217" w:rsidRPr="00800962" w14:paraId="5198B582" w14:textId="77777777" w:rsidTr="009F15A7">
        <w:trPr>
          <w:trHeight w:val="107"/>
        </w:trPr>
        <w:tc>
          <w:tcPr>
            <w:tcW w:w="2420" w:type="dxa"/>
            <w:vMerge w:val="restart"/>
            <w:shd w:val="clear" w:color="auto" w:fill="D9D9D9" w:themeFill="background1" w:themeFillShade="D9"/>
          </w:tcPr>
          <w:p w14:paraId="34361950" w14:textId="77777777" w:rsidR="00925217" w:rsidRPr="00800962" w:rsidRDefault="00925217" w:rsidP="00E12AF4">
            <w:pPr>
              <w:pStyle w:val="SDMTableBoxParaNotNumbered"/>
              <w:spacing w:before="60" w:after="60"/>
            </w:pPr>
            <w:r w:rsidRPr="00800962">
              <w:t>Measuring instrument(s)</w:t>
            </w:r>
          </w:p>
        </w:tc>
        <w:tc>
          <w:tcPr>
            <w:tcW w:w="1900" w:type="dxa"/>
          </w:tcPr>
          <w:p w14:paraId="1A75E430" w14:textId="77777777" w:rsidR="00925217" w:rsidRPr="00800962" w:rsidRDefault="00925217" w:rsidP="00E12AF4">
            <w:pPr>
              <w:pStyle w:val="SDMTableBoxParaNotNumbered"/>
              <w:spacing w:before="60" w:after="60"/>
              <w:rPr>
                <w:i/>
              </w:rPr>
            </w:pPr>
            <w:r w:rsidRPr="00800962">
              <w:rPr>
                <w:i/>
              </w:rPr>
              <w:t>Type of instrument</w:t>
            </w:r>
          </w:p>
        </w:tc>
        <w:tc>
          <w:tcPr>
            <w:tcW w:w="4209" w:type="dxa"/>
            <w:gridSpan w:val="3"/>
          </w:tcPr>
          <w:p w14:paraId="37BFBBE9" w14:textId="77777777" w:rsidR="00925217" w:rsidRPr="00800962" w:rsidRDefault="00925217" w:rsidP="00E12AF4">
            <w:pPr>
              <w:pStyle w:val="SDMTableBoxParaNotNumbered"/>
              <w:spacing w:before="60" w:after="60"/>
            </w:pPr>
            <w:r w:rsidRPr="00800962">
              <w:t>N/A</w:t>
            </w:r>
          </w:p>
        </w:tc>
      </w:tr>
      <w:tr w:rsidR="00D94618" w:rsidRPr="00800962" w14:paraId="2EAC71E5" w14:textId="77777777" w:rsidTr="009F15A7">
        <w:trPr>
          <w:trHeight w:val="104"/>
        </w:trPr>
        <w:tc>
          <w:tcPr>
            <w:tcW w:w="2420" w:type="dxa"/>
            <w:vMerge/>
            <w:shd w:val="clear" w:color="auto" w:fill="D9D9D9" w:themeFill="background1" w:themeFillShade="D9"/>
          </w:tcPr>
          <w:p w14:paraId="6A780A3A" w14:textId="77777777" w:rsidR="00925217" w:rsidRPr="00800962" w:rsidRDefault="00925217" w:rsidP="00E12AF4">
            <w:pPr>
              <w:pStyle w:val="SDMTableBoxParaNotNumbered"/>
              <w:spacing w:before="60" w:after="60"/>
            </w:pPr>
          </w:p>
        </w:tc>
        <w:tc>
          <w:tcPr>
            <w:tcW w:w="1900" w:type="dxa"/>
          </w:tcPr>
          <w:p w14:paraId="1A2D3049" w14:textId="77777777" w:rsidR="00925217" w:rsidRPr="00800962" w:rsidRDefault="00925217" w:rsidP="00E12AF4">
            <w:pPr>
              <w:pStyle w:val="SDMTableBoxParaNotNumbered"/>
              <w:spacing w:before="60" w:after="60"/>
              <w:rPr>
                <w:i/>
                <w:iCs/>
              </w:rPr>
            </w:pPr>
            <w:r w:rsidRPr="00800962">
              <w:rPr>
                <w:i/>
                <w:iCs/>
              </w:rPr>
              <w:t>Accuracy class</w:t>
            </w:r>
          </w:p>
        </w:tc>
        <w:tc>
          <w:tcPr>
            <w:tcW w:w="4209" w:type="dxa"/>
            <w:gridSpan w:val="3"/>
          </w:tcPr>
          <w:p w14:paraId="52A2127F" w14:textId="77777777" w:rsidR="00925217" w:rsidRPr="00800962" w:rsidRDefault="00925217" w:rsidP="00E12AF4">
            <w:pPr>
              <w:pStyle w:val="SDMTableBoxParaNotNumbered"/>
              <w:spacing w:before="60" w:after="60"/>
            </w:pPr>
            <w:r w:rsidRPr="00800962">
              <w:t>N/A</w:t>
            </w:r>
          </w:p>
        </w:tc>
      </w:tr>
      <w:tr w:rsidR="00D94618" w:rsidRPr="00800962" w14:paraId="126C81F4" w14:textId="77777777" w:rsidTr="009F15A7">
        <w:trPr>
          <w:trHeight w:val="104"/>
        </w:trPr>
        <w:tc>
          <w:tcPr>
            <w:tcW w:w="2420" w:type="dxa"/>
            <w:vMerge/>
            <w:shd w:val="clear" w:color="auto" w:fill="D9D9D9" w:themeFill="background1" w:themeFillShade="D9"/>
          </w:tcPr>
          <w:p w14:paraId="289A3D47" w14:textId="77777777" w:rsidR="00925217" w:rsidRPr="00800962" w:rsidRDefault="00925217" w:rsidP="00E12AF4">
            <w:pPr>
              <w:pStyle w:val="SDMTableBoxParaNotNumbered"/>
              <w:spacing w:before="60" w:after="60"/>
            </w:pPr>
          </w:p>
        </w:tc>
        <w:tc>
          <w:tcPr>
            <w:tcW w:w="1900" w:type="dxa"/>
          </w:tcPr>
          <w:p w14:paraId="402D9387" w14:textId="77777777" w:rsidR="00925217" w:rsidRPr="00800962" w:rsidRDefault="00925217" w:rsidP="00E12AF4">
            <w:pPr>
              <w:pStyle w:val="SDMTableBoxParaNotNumbered"/>
              <w:spacing w:before="60" w:after="60"/>
              <w:rPr>
                <w:i/>
                <w:iCs/>
              </w:rPr>
            </w:pPr>
            <w:r w:rsidRPr="00800962">
              <w:rPr>
                <w:i/>
                <w:iCs/>
              </w:rPr>
              <w:t>Calibration requirements</w:t>
            </w:r>
          </w:p>
        </w:tc>
        <w:tc>
          <w:tcPr>
            <w:tcW w:w="4209" w:type="dxa"/>
            <w:gridSpan w:val="3"/>
          </w:tcPr>
          <w:p w14:paraId="2F816781" w14:textId="77777777" w:rsidR="00925217" w:rsidRPr="00800962" w:rsidRDefault="00925217" w:rsidP="00E12AF4">
            <w:pPr>
              <w:pStyle w:val="SDMTableBoxParaNotNumbered"/>
              <w:spacing w:before="60" w:after="60"/>
              <w:rPr>
                <w:rFonts w:ascii="Calibri" w:hAnsi="Calibri" w:cs="Calibri"/>
              </w:rPr>
            </w:pPr>
            <w:r w:rsidRPr="00800962">
              <w:t>N/A</w:t>
            </w:r>
          </w:p>
        </w:tc>
      </w:tr>
      <w:tr w:rsidR="00D94618" w:rsidRPr="00800962" w14:paraId="182A86AF" w14:textId="77777777" w:rsidTr="009F15A7">
        <w:trPr>
          <w:trHeight w:val="104"/>
        </w:trPr>
        <w:tc>
          <w:tcPr>
            <w:tcW w:w="2420" w:type="dxa"/>
            <w:vMerge/>
            <w:shd w:val="clear" w:color="auto" w:fill="D9D9D9" w:themeFill="background1" w:themeFillShade="D9"/>
          </w:tcPr>
          <w:p w14:paraId="67C2290F" w14:textId="77777777" w:rsidR="00925217" w:rsidRPr="00800962" w:rsidRDefault="00925217" w:rsidP="00E12AF4">
            <w:pPr>
              <w:pStyle w:val="SDMTableBoxParaNotNumbered"/>
              <w:spacing w:before="60" w:after="60"/>
            </w:pPr>
          </w:p>
        </w:tc>
        <w:tc>
          <w:tcPr>
            <w:tcW w:w="1900" w:type="dxa"/>
          </w:tcPr>
          <w:p w14:paraId="1EADFFDD" w14:textId="77777777" w:rsidR="00925217" w:rsidRPr="00800962" w:rsidRDefault="00925217" w:rsidP="00E12AF4">
            <w:pPr>
              <w:pStyle w:val="SDMTableBoxParaNotNumbered"/>
              <w:spacing w:before="60" w:after="60"/>
              <w:rPr>
                <w:i/>
                <w:iCs/>
              </w:rPr>
            </w:pPr>
            <w:r w:rsidRPr="00800962">
              <w:rPr>
                <w:i/>
                <w:iCs/>
              </w:rPr>
              <w:t>Location</w:t>
            </w:r>
          </w:p>
        </w:tc>
        <w:tc>
          <w:tcPr>
            <w:tcW w:w="4209" w:type="dxa"/>
            <w:gridSpan w:val="3"/>
          </w:tcPr>
          <w:p w14:paraId="143D8BD8" w14:textId="77777777" w:rsidR="00925217" w:rsidRPr="00800962" w:rsidRDefault="00925217" w:rsidP="00E12AF4">
            <w:pPr>
              <w:pStyle w:val="SDMTableBoxParaNotNumbered"/>
              <w:spacing w:before="60" w:after="60"/>
            </w:pPr>
            <w:r w:rsidRPr="00800962">
              <w:t>N/A</w:t>
            </w:r>
          </w:p>
        </w:tc>
      </w:tr>
      <w:tr w:rsidR="00925217" w:rsidRPr="00800962" w14:paraId="1BDE348D" w14:textId="77777777" w:rsidTr="009F15A7">
        <w:trPr>
          <w:trHeight w:val="300"/>
        </w:trPr>
        <w:tc>
          <w:tcPr>
            <w:tcW w:w="2420" w:type="dxa"/>
            <w:shd w:val="clear" w:color="auto" w:fill="D9D9D9" w:themeFill="background1" w:themeFillShade="D9"/>
          </w:tcPr>
          <w:p w14:paraId="327D974E" w14:textId="77777777" w:rsidR="00925217" w:rsidRPr="00800962" w:rsidRDefault="00925217" w:rsidP="00E12AF4">
            <w:pPr>
              <w:pStyle w:val="SDMTableBoxParaNotNumbered"/>
              <w:spacing w:before="60" w:after="60"/>
            </w:pPr>
            <w:r w:rsidRPr="00800962">
              <w:t>QA/QC procedures</w:t>
            </w:r>
          </w:p>
        </w:tc>
        <w:tc>
          <w:tcPr>
            <w:tcW w:w="6109" w:type="dxa"/>
            <w:gridSpan w:val="4"/>
          </w:tcPr>
          <w:p w14:paraId="172259DD" w14:textId="77777777" w:rsidR="00925217" w:rsidRPr="00800962" w:rsidRDefault="00925217" w:rsidP="00E12AF4">
            <w:pPr>
              <w:pStyle w:val="SDMTableBoxParaNotNumbered"/>
              <w:spacing w:before="60" w:after="60"/>
            </w:pPr>
            <w:r w:rsidRPr="00800962">
              <w:t>-</w:t>
            </w:r>
          </w:p>
        </w:tc>
      </w:tr>
      <w:tr w:rsidR="00925217" w:rsidRPr="00800962" w14:paraId="07C534CC" w14:textId="77777777" w:rsidTr="009F15A7">
        <w:trPr>
          <w:trHeight w:val="300"/>
        </w:trPr>
        <w:tc>
          <w:tcPr>
            <w:tcW w:w="2420" w:type="dxa"/>
            <w:shd w:val="clear" w:color="auto" w:fill="D9D9D9" w:themeFill="background1" w:themeFillShade="D9"/>
          </w:tcPr>
          <w:p w14:paraId="3692C0B7" w14:textId="77777777" w:rsidR="00925217" w:rsidRPr="00800962" w:rsidRDefault="00925217" w:rsidP="0038031D">
            <w:pPr>
              <w:pStyle w:val="SDMTableBoxParaNotNumbered"/>
              <w:keepNext/>
              <w:spacing w:before="60" w:after="60"/>
            </w:pPr>
            <w:r w:rsidRPr="00800962">
              <w:t>Treatment of uncertainty</w:t>
            </w:r>
          </w:p>
        </w:tc>
        <w:tc>
          <w:tcPr>
            <w:tcW w:w="6109" w:type="dxa"/>
            <w:gridSpan w:val="4"/>
          </w:tcPr>
          <w:p w14:paraId="36F80EDD" w14:textId="74DD377D" w:rsidR="00925217" w:rsidRPr="00800962" w:rsidRDefault="4BD1A30B" w:rsidP="0038031D">
            <w:pPr>
              <w:pStyle w:val="SDMTableBoxParaNotNumbered"/>
              <w:keepNext/>
              <w:spacing w:before="60" w:after="60"/>
            </w:pPr>
            <w:r>
              <w:t>If option</w:t>
            </w:r>
            <w:r w:rsidR="004C17BF">
              <w:t> </w:t>
            </w:r>
            <w:r w:rsidR="00385CF5">
              <w:t>1</w:t>
            </w:r>
            <w:r>
              <w:t xml:space="preserve"> is chosen: </w:t>
            </w:r>
            <w:r w:rsidR="12865A3D">
              <w:t xml:space="preserve">Uncertainties </w:t>
            </w:r>
            <w:r w:rsidR="0053081E">
              <w:t xml:space="preserve">shall be </w:t>
            </w:r>
            <w:r w:rsidR="12865A3D">
              <w:t>determined based on the measuring instruments</w:t>
            </w:r>
            <w:r w:rsidR="21535788">
              <w:t>.</w:t>
            </w:r>
          </w:p>
          <w:p w14:paraId="655EFAB7" w14:textId="45851021" w:rsidR="00925217" w:rsidRPr="00800962" w:rsidRDefault="07B9F287" w:rsidP="0038031D">
            <w:pPr>
              <w:pStyle w:val="SDMTableBoxParaNotNumbered"/>
              <w:keepNext/>
              <w:spacing w:before="60" w:after="60"/>
            </w:pPr>
            <w:r>
              <w:t>If option</w:t>
            </w:r>
            <w:r w:rsidR="004C17BF">
              <w:t> </w:t>
            </w:r>
            <w:r w:rsidR="00385CF5">
              <w:t>2</w:t>
            </w:r>
            <w:r>
              <w:t xml:space="preserve"> is chosen: </w:t>
            </w:r>
            <w:r w:rsidR="001203AB">
              <w:t xml:space="preserve">Not </w:t>
            </w:r>
            <w:r>
              <w:t>applicabl</w:t>
            </w:r>
            <w:r w:rsidR="706BF057">
              <w:t>e</w:t>
            </w:r>
          </w:p>
        </w:tc>
      </w:tr>
      <w:tr w:rsidR="00925217" w:rsidRPr="00800962" w14:paraId="40E3D241" w14:textId="77777777" w:rsidTr="009F15A7">
        <w:trPr>
          <w:trHeight w:val="300"/>
        </w:trPr>
        <w:tc>
          <w:tcPr>
            <w:tcW w:w="2420" w:type="dxa"/>
            <w:shd w:val="clear" w:color="auto" w:fill="D9D9D9" w:themeFill="background1" w:themeFillShade="D9"/>
          </w:tcPr>
          <w:p w14:paraId="33872251" w14:textId="77777777" w:rsidR="00925217" w:rsidRPr="00800962" w:rsidRDefault="00925217" w:rsidP="00E12AF4">
            <w:pPr>
              <w:pStyle w:val="SDMTableBoxParaNotNumbered"/>
              <w:spacing w:before="60" w:after="60"/>
            </w:pPr>
            <w:r w:rsidRPr="00800962">
              <w:t>Additional comment</w:t>
            </w:r>
          </w:p>
        </w:tc>
        <w:tc>
          <w:tcPr>
            <w:tcW w:w="6109" w:type="dxa"/>
            <w:gridSpan w:val="4"/>
          </w:tcPr>
          <w:p w14:paraId="623C5DB5" w14:textId="317CF600" w:rsidR="00925217" w:rsidRPr="00800962" w:rsidRDefault="00925217" w:rsidP="00E12AF4">
            <w:pPr>
              <w:pStyle w:val="SDMTableBoxParaNotNumbered"/>
              <w:spacing w:before="60" w:after="60"/>
            </w:pPr>
            <w:r w:rsidRPr="00800962">
              <w:t>-</w:t>
            </w:r>
          </w:p>
        </w:tc>
      </w:tr>
    </w:tbl>
    <w:p w14:paraId="7F05D7DC" w14:textId="31E1FF3F" w:rsidR="00B12F6C" w:rsidRPr="00800962" w:rsidRDefault="7C49396F" w:rsidP="00F32C6C">
      <w:pPr>
        <w:pStyle w:val="Caption"/>
      </w:pPr>
      <w:bookmarkStart w:id="947" w:name="_Ref220958291"/>
      <w:r>
        <w:t>Data / Parameter table</w:t>
      </w:r>
      <w:r w:rsidR="004C17BF">
        <w:t> </w:t>
      </w:r>
      <w:r w:rsidR="00B12F6C" w:rsidRPr="6BB59D32">
        <w:fldChar w:fldCharType="begin"/>
      </w:r>
      <w:r w:rsidR="00B12F6C">
        <w:instrText xml:space="preserve"> SEQ Data_/_Parameter_table \* ARABIC </w:instrText>
      </w:r>
      <w:r w:rsidR="00B12F6C" w:rsidRPr="6BB59D32">
        <w:fldChar w:fldCharType="separate"/>
      </w:r>
      <w:r w:rsidR="003B0135">
        <w:rPr>
          <w:noProof/>
        </w:rPr>
        <w:t>9</w:t>
      </w:r>
      <w:r w:rsidR="00B12F6C" w:rsidRPr="6BB59D32">
        <w:rPr>
          <w:noProof/>
        </w:rPr>
        <w:fldChar w:fldCharType="end"/>
      </w:r>
      <w:r>
        <w:t>.</w:t>
      </w:r>
      <w:bookmarkEnd w:id="947"/>
    </w:p>
    <w:tbl>
      <w:tblPr>
        <w:tblStyle w:val="TableGrid"/>
        <w:tblW w:w="8529" w:type="dxa"/>
        <w:tblInd w:w="8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6"/>
        <w:gridCol w:w="1724"/>
        <w:gridCol w:w="500"/>
        <w:gridCol w:w="1973"/>
        <w:gridCol w:w="1886"/>
      </w:tblGrid>
      <w:tr w:rsidR="00B312F0" w:rsidRPr="005A04B7" w14:paraId="05E6E8A8" w14:textId="77777777" w:rsidTr="00CC0FD5">
        <w:trPr>
          <w:trHeight w:val="300"/>
        </w:trPr>
        <w:tc>
          <w:tcPr>
            <w:tcW w:w="2446" w:type="dxa"/>
            <w:shd w:val="clear" w:color="auto" w:fill="D9D9D9" w:themeFill="background1" w:themeFillShade="D9"/>
            <w:hideMark/>
          </w:tcPr>
          <w:p w14:paraId="1E37015E" w14:textId="77777777" w:rsidR="00F575EE" w:rsidRPr="005A04B7" w:rsidRDefault="00F575EE" w:rsidP="00E12AF4">
            <w:pPr>
              <w:pStyle w:val="SDMTableBoxParaNotNumbered"/>
              <w:keepNext/>
              <w:spacing w:before="60" w:after="60"/>
              <w:rPr>
                <w:rFonts w:cs="Arial"/>
              </w:rPr>
            </w:pPr>
            <w:r w:rsidRPr="005A04B7">
              <w:rPr>
                <w:rFonts w:cs="Arial"/>
              </w:rPr>
              <w:t>Data/parameter</w:t>
            </w:r>
          </w:p>
        </w:tc>
        <w:tc>
          <w:tcPr>
            <w:tcW w:w="6083" w:type="dxa"/>
            <w:gridSpan w:val="4"/>
            <w:hideMark/>
          </w:tcPr>
          <w:p w14:paraId="3F3C4319" w14:textId="77777777" w:rsidR="00F575EE" w:rsidRPr="00AD2370" w:rsidRDefault="003F6646" w:rsidP="00E12AF4">
            <w:pPr>
              <w:pStyle w:val="SDMTableBoxParaNotNumbered"/>
              <w:keepNext/>
              <w:spacing w:before="60" w:after="60"/>
              <w:rPr>
                <w:rFonts w:cs="Arial"/>
                <w:i/>
                <w:highlight w:val="yellow"/>
              </w:rPr>
            </w:pPr>
            <m:oMathPara>
              <m:oMathParaPr>
                <m:jc m:val="left"/>
              </m:oMathParaPr>
              <m:oMath>
                <m:sSub>
                  <m:sSubPr>
                    <m:ctrlPr>
                      <w:rPr>
                        <w:rFonts w:ascii="Cambria Math" w:eastAsiaTheme="minorEastAsia" w:hAnsi="Cambria Math" w:cs="Arial"/>
                        <w:i/>
                        <w:lang w:val="en-GB"/>
                      </w:rPr>
                    </m:ctrlPr>
                  </m:sSubPr>
                  <m:e>
                    <m:r>
                      <m:rPr>
                        <m:sty m:val="bi"/>
                      </m:rPr>
                      <w:rPr>
                        <w:rFonts w:ascii="Cambria Math" w:hAnsi="Cambria Math" w:cs="Arial"/>
                      </w:rPr>
                      <m:t>η</m:t>
                    </m:r>
                  </m:e>
                  <m:sub>
                    <m:r>
                      <m:rPr>
                        <m:sty m:val="bi"/>
                      </m:rPr>
                      <w:rPr>
                        <w:rFonts w:ascii="Cambria Math" w:hAnsi="Cambria Math" w:cs="Arial"/>
                      </w:rPr>
                      <m:t>p</m:t>
                    </m:r>
                    <m:r>
                      <w:rPr>
                        <w:rFonts w:ascii="Cambria Math" w:hAnsi="Cambria Math" w:cs="Arial"/>
                      </w:rPr>
                      <m:t>,</m:t>
                    </m:r>
                    <m:r>
                      <m:rPr>
                        <m:sty m:val="bi"/>
                      </m:rPr>
                      <w:rPr>
                        <w:rFonts w:ascii="Cambria Math" w:hAnsi="Cambria Math" w:cs="Arial"/>
                      </w:rPr>
                      <m:t>t</m:t>
                    </m:r>
                  </m:sub>
                </m:sSub>
              </m:oMath>
            </m:oMathPara>
          </w:p>
        </w:tc>
      </w:tr>
      <w:tr w:rsidR="00B312F0" w:rsidRPr="005A04B7" w14:paraId="6EB9E78A" w14:textId="77777777" w:rsidTr="00CC0FD5">
        <w:trPr>
          <w:trHeight w:val="300"/>
        </w:trPr>
        <w:tc>
          <w:tcPr>
            <w:tcW w:w="2446" w:type="dxa"/>
            <w:shd w:val="clear" w:color="auto" w:fill="D9D9D9" w:themeFill="background1" w:themeFillShade="D9"/>
            <w:hideMark/>
          </w:tcPr>
          <w:p w14:paraId="06782EF4" w14:textId="77777777" w:rsidR="00F575EE" w:rsidRPr="005A04B7" w:rsidRDefault="00F575EE" w:rsidP="00E12AF4">
            <w:pPr>
              <w:pStyle w:val="SDMTableBoxParaNotNumbered"/>
              <w:spacing w:before="60" w:after="60"/>
              <w:rPr>
                <w:rFonts w:cs="Arial"/>
              </w:rPr>
            </w:pPr>
            <w:r w:rsidRPr="005A04B7">
              <w:rPr>
                <w:rFonts w:cs="Arial"/>
              </w:rPr>
              <w:t>Description</w:t>
            </w:r>
          </w:p>
        </w:tc>
        <w:tc>
          <w:tcPr>
            <w:tcW w:w="6083" w:type="dxa"/>
            <w:gridSpan w:val="4"/>
            <w:hideMark/>
          </w:tcPr>
          <w:p w14:paraId="4BAE09C7" w14:textId="47DBF421" w:rsidR="00F575EE" w:rsidRPr="005A04B7" w:rsidRDefault="3A64834E" w:rsidP="00E12AF4">
            <w:pPr>
              <w:pStyle w:val="SDMTableBoxParaNotNumbered"/>
              <w:spacing w:before="60" w:after="60"/>
              <w:rPr>
                <w:rFonts w:cs="Arial"/>
              </w:rPr>
            </w:pPr>
            <w:r w:rsidRPr="005A04B7">
              <w:rPr>
                <w:rFonts w:cs="Arial"/>
              </w:rPr>
              <w:t>Average net energy conversion efficiency of power unit</w:t>
            </w:r>
            <w:r w:rsidR="005A1BB7" w:rsidRPr="005A04B7">
              <w:rPr>
                <w:rFonts w:cs="Arial"/>
                <w:i/>
                <w:iCs/>
              </w:rPr>
              <w:t> </w:t>
            </w:r>
            <w:r w:rsidR="45F5B6B8" w:rsidRPr="005A04B7">
              <w:rPr>
                <w:rFonts w:cs="Arial"/>
                <w:i/>
                <w:iCs/>
              </w:rPr>
              <w:t>p</w:t>
            </w:r>
            <w:r w:rsidRPr="005A04B7">
              <w:rPr>
                <w:rFonts w:cs="Arial"/>
              </w:rPr>
              <w:t xml:space="preserve"> in </w:t>
            </w:r>
            <w:r w:rsidR="35269FA6" w:rsidRPr="005A04B7">
              <w:rPr>
                <w:rFonts w:cs="Arial"/>
              </w:rPr>
              <w:t xml:space="preserve">the </w:t>
            </w:r>
            <w:r w:rsidR="35269FA6" w:rsidRPr="00BE4E9E">
              <w:rPr>
                <w:rFonts w:cs="Arial"/>
              </w:rPr>
              <w:t>project electricity system</w:t>
            </w:r>
            <w:r w:rsidRPr="005A04B7">
              <w:rPr>
                <w:rFonts w:cs="Arial"/>
              </w:rPr>
              <w:t xml:space="preserve"> in </w:t>
            </w:r>
            <w:r w:rsidR="47CEE1BD" w:rsidRPr="005A04B7">
              <w:rPr>
                <w:rFonts w:cs="Arial"/>
              </w:rPr>
              <w:t>perio</w:t>
            </w:r>
            <w:r w:rsidR="35CE8995" w:rsidRPr="005A04B7">
              <w:rPr>
                <w:rFonts w:cs="Arial"/>
              </w:rPr>
              <w:t>d</w:t>
            </w:r>
            <w:r w:rsidR="005A1BB7" w:rsidRPr="005A04B7">
              <w:rPr>
                <w:rFonts w:cs="Arial"/>
              </w:rPr>
              <w:t> </w:t>
            </w:r>
            <w:r w:rsidR="47CEE1BD" w:rsidRPr="005A04B7">
              <w:rPr>
                <w:rFonts w:cs="Arial"/>
                <w:i/>
                <w:iCs/>
              </w:rPr>
              <w:t>t</w:t>
            </w:r>
          </w:p>
        </w:tc>
      </w:tr>
      <w:tr w:rsidR="00B312F0" w:rsidRPr="005A04B7" w14:paraId="75152720" w14:textId="77777777" w:rsidTr="00CC0FD5">
        <w:trPr>
          <w:trHeight w:val="300"/>
        </w:trPr>
        <w:tc>
          <w:tcPr>
            <w:tcW w:w="2446" w:type="dxa"/>
            <w:shd w:val="clear" w:color="auto" w:fill="D9D9D9" w:themeFill="background1" w:themeFillShade="D9"/>
            <w:hideMark/>
          </w:tcPr>
          <w:p w14:paraId="6CF48793" w14:textId="77777777" w:rsidR="00F575EE" w:rsidRPr="005A04B7" w:rsidRDefault="00F575EE" w:rsidP="00E12AF4">
            <w:pPr>
              <w:pStyle w:val="SDMTableBoxParaNotNumbered"/>
              <w:spacing w:before="60" w:after="60"/>
              <w:rPr>
                <w:rFonts w:cs="Arial"/>
              </w:rPr>
            </w:pPr>
            <w:r w:rsidRPr="005A04B7">
              <w:rPr>
                <w:rFonts w:cs="Arial"/>
              </w:rPr>
              <w:t>Data unit</w:t>
            </w:r>
          </w:p>
        </w:tc>
        <w:tc>
          <w:tcPr>
            <w:tcW w:w="6083" w:type="dxa"/>
            <w:gridSpan w:val="4"/>
            <w:hideMark/>
          </w:tcPr>
          <w:p w14:paraId="7C0208B6" w14:textId="763651D0" w:rsidR="00F575EE" w:rsidRPr="005A04B7" w:rsidRDefault="00807A84" w:rsidP="00E12AF4">
            <w:pPr>
              <w:pStyle w:val="SDMTableBoxParaNotNumbered"/>
              <w:spacing w:before="60" w:after="60"/>
              <w:rPr>
                <w:rFonts w:cs="Arial"/>
              </w:rPr>
            </w:pPr>
            <w:r>
              <w:rPr>
                <w:rFonts w:cs="Arial"/>
              </w:rPr>
              <w:t>Per cent</w:t>
            </w:r>
          </w:p>
        </w:tc>
      </w:tr>
      <w:tr w:rsidR="00B312F0" w:rsidRPr="005A04B7" w14:paraId="6308697F" w14:textId="77777777" w:rsidTr="00CC0FD5">
        <w:trPr>
          <w:trHeight w:val="300"/>
        </w:trPr>
        <w:tc>
          <w:tcPr>
            <w:tcW w:w="2446" w:type="dxa"/>
            <w:shd w:val="clear" w:color="auto" w:fill="D9D9D9" w:themeFill="background1" w:themeFillShade="D9"/>
            <w:hideMark/>
          </w:tcPr>
          <w:p w14:paraId="478ADDF3" w14:textId="77777777" w:rsidR="00F575EE" w:rsidRPr="005A04B7" w:rsidRDefault="00F575EE" w:rsidP="00E12AF4">
            <w:pPr>
              <w:pStyle w:val="SDMTableBoxParaNotNumbered"/>
              <w:spacing w:before="60" w:after="60"/>
              <w:rPr>
                <w:rFonts w:cs="Arial"/>
              </w:rPr>
            </w:pPr>
            <w:r w:rsidRPr="005A04B7">
              <w:rPr>
                <w:rFonts w:cs="Arial"/>
              </w:rPr>
              <w:t>Equations referred</w:t>
            </w:r>
          </w:p>
        </w:tc>
        <w:tc>
          <w:tcPr>
            <w:tcW w:w="6083" w:type="dxa"/>
            <w:gridSpan w:val="4"/>
            <w:tcBorders>
              <w:bottom w:val="single" w:sz="4" w:space="0" w:color="auto"/>
            </w:tcBorders>
          </w:tcPr>
          <w:p w14:paraId="35719FB3" w14:textId="77777777" w:rsidR="00F575EE" w:rsidRPr="005A04B7" w:rsidRDefault="00F575EE" w:rsidP="00E12AF4">
            <w:pPr>
              <w:pStyle w:val="SDMTableBoxParaNotNumbered"/>
              <w:spacing w:before="60" w:after="60"/>
              <w:rPr>
                <w:rFonts w:cs="Arial"/>
              </w:rPr>
            </w:pPr>
          </w:p>
        </w:tc>
      </w:tr>
      <w:tr w:rsidR="00F51087" w:rsidRPr="005A04B7" w14:paraId="1278B4AC" w14:textId="77777777" w:rsidTr="00CC0FD5">
        <w:trPr>
          <w:trHeight w:val="300"/>
        </w:trPr>
        <w:tc>
          <w:tcPr>
            <w:tcW w:w="2446" w:type="dxa"/>
            <w:tcBorders>
              <w:right w:val="single" w:sz="4" w:space="0" w:color="auto"/>
            </w:tcBorders>
            <w:shd w:val="clear" w:color="auto" w:fill="D9D9D9" w:themeFill="background1" w:themeFillShade="D9"/>
          </w:tcPr>
          <w:p w14:paraId="1FFDC8FA" w14:textId="77777777" w:rsidR="00F51087" w:rsidRPr="005A04B7" w:rsidRDefault="00F51087" w:rsidP="00F51087">
            <w:pPr>
              <w:pStyle w:val="SDMTableBoxParaNotNumbered"/>
              <w:spacing w:before="60" w:after="60"/>
              <w:rPr>
                <w:rFonts w:cs="Arial"/>
              </w:rPr>
            </w:pPr>
            <w:r w:rsidRPr="005A04B7">
              <w:rPr>
                <w:rFonts w:cs="Arial"/>
              </w:rPr>
              <w:t>Purpose of data</w:t>
            </w:r>
          </w:p>
        </w:tc>
        <w:tc>
          <w:tcPr>
            <w:tcW w:w="2224" w:type="dxa"/>
            <w:gridSpan w:val="2"/>
            <w:tcBorders>
              <w:left w:val="single" w:sz="4" w:space="0" w:color="auto"/>
              <w:right w:val="nil"/>
            </w:tcBorders>
          </w:tcPr>
          <w:p w14:paraId="6613D750" w14:textId="4D7539BA" w:rsidR="00F51087" w:rsidRPr="00780E96" w:rsidRDefault="00F51087" w:rsidP="00F51087">
            <w:pPr>
              <w:pStyle w:val="SDMTableBoxParaNotNumbered"/>
              <w:spacing w:before="60" w:after="60"/>
              <w:rPr>
                <w:rFonts w:cs="Arial"/>
              </w:rPr>
            </w:pPr>
            <w:r w:rsidRPr="00780E96">
              <w:rPr>
                <w:rFonts w:asciiTheme="minorBidi" w:hAnsiTheme="minorBidi" w:cstheme="minorBidi"/>
                <w:shd w:val="clear" w:color="auto" w:fill="E6E6E6"/>
              </w:rPr>
              <w:fldChar w:fldCharType="begin">
                <w:ffData>
                  <w:name w:val=""/>
                  <w:enabled/>
                  <w:calcOnExit w:val="0"/>
                  <w:checkBox>
                    <w:size w:val="20"/>
                    <w:default w:val="1"/>
                  </w:checkBox>
                </w:ffData>
              </w:fldChar>
            </w:r>
            <w:r w:rsidRPr="00780E96">
              <w:rPr>
                <w:rFonts w:asciiTheme="minorBidi" w:hAnsiTheme="minorBidi" w:cstheme="minorBidi"/>
                <w:shd w:val="clear" w:color="auto" w:fill="E6E6E6"/>
              </w:rPr>
              <w:instrText xml:space="preserve"> FORMCHECKBOX </w:instrText>
            </w:r>
            <w:r w:rsidRPr="00780E96">
              <w:rPr>
                <w:rFonts w:asciiTheme="minorBidi" w:hAnsiTheme="minorBidi" w:cstheme="minorBidi"/>
                <w:shd w:val="clear" w:color="auto" w:fill="E6E6E6"/>
              </w:rPr>
            </w:r>
            <w:r w:rsidRPr="00780E96">
              <w:rPr>
                <w:rFonts w:asciiTheme="minorBidi" w:hAnsiTheme="minorBidi" w:cstheme="minorBidi"/>
                <w:shd w:val="clear" w:color="auto" w:fill="E6E6E6"/>
              </w:rPr>
              <w:fldChar w:fldCharType="separate"/>
            </w:r>
            <w:r w:rsidRPr="00780E96">
              <w:rPr>
                <w:rFonts w:asciiTheme="minorBidi" w:hAnsiTheme="minorBidi" w:cstheme="minorBidi"/>
                <w:shd w:val="clear" w:color="auto" w:fill="E6E6E6"/>
              </w:rPr>
              <w:fldChar w:fldCharType="end"/>
            </w:r>
            <w:r w:rsidRPr="00780E96">
              <w:rPr>
                <w:rFonts w:asciiTheme="minorBidi" w:hAnsiTheme="minorBidi" w:cstheme="minorBidi"/>
                <w:shd w:val="clear" w:color="auto" w:fill="E6E6E6"/>
              </w:rPr>
              <w:t xml:space="preserve"> </w:t>
            </w:r>
            <w:r w:rsidRPr="00780E96">
              <w:rPr>
                <w:rFonts w:asciiTheme="minorBidi" w:hAnsiTheme="minorBidi" w:cstheme="minorBidi"/>
              </w:rPr>
              <w:t xml:space="preserve">Baseline </w:t>
            </w:r>
            <w:r w:rsidR="00461FEF" w:rsidRPr="00780E96">
              <w:rPr>
                <w:rFonts w:asciiTheme="minorBidi" w:eastAsia="MS Mincho" w:hAnsiTheme="minorBidi" w:cstheme="minorBidi" w:hint="eastAsia"/>
                <w:lang w:eastAsia="ja-JP"/>
              </w:rPr>
              <w:t>Scenario</w:t>
            </w:r>
          </w:p>
        </w:tc>
        <w:tc>
          <w:tcPr>
            <w:tcW w:w="1973" w:type="dxa"/>
            <w:tcBorders>
              <w:left w:val="nil"/>
              <w:right w:val="nil"/>
            </w:tcBorders>
          </w:tcPr>
          <w:p w14:paraId="2238169E" w14:textId="34E2FE87" w:rsidR="00F51087" w:rsidRPr="00780E96" w:rsidRDefault="00F51087" w:rsidP="00F51087">
            <w:pPr>
              <w:pStyle w:val="SDMTableBoxParaNotNumbered"/>
              <w:spacing w:before="60" w:after="60"/>
              <w:rPr>
                <w:rFonts w:cs="Arial"/>
              </w:rPr>
            </w:pPr>
            <w:r w:rsidRPr="00780E96">
              <w:rPr>
                <w:rFonts w:asciiTheme="minorBidi" w:hAnsiTheme="minorBidi" w:cstheme="minorBidi"/>
                <w:shd w:val="clear" w:color="auto" w:fill="E6E6E6"/>
              </w:rPr>
              <w:fldChar w:fldCharType="begin">
                <w:ffData>
                  <w:name w:val=""/>
                  <w:enabled/>
                  <w:calcOnExit w:val="0"/>
                  <w:checkBox>
                    <w:size w:val="20"/>
                    <w:default w:val="1"/>
                  </w:checkBox>
                </w:ffData>
              </w:fldChar>
            </w:r>
            <w:r w:rsidRPr="00780E96">
              <w:rPr>
                <w:rFonts w:asciiTheme="minorBidi" w:hAnsiTheme="minorBidi" w:cstheme="minorBidi"/>
                <w:shd w:val="clear" w:color="auto" w:fill="E6E6E6"/>
              </w:rPr>
              <w:instrText xml:space="preserve"> FORMCHECKBOX </w:instrText>
            </w:r>
            <w:r w:rsidRPr="00780E96">
              <w:rPr>
                <w:rFonts w:asciiTheme="minorBidi" w:hAnsiTheme="minorBidi" w:cstheme="minorBidi"/>
                <w:shd w:val="clear" w:color="auto" w:fill="E6E6E6"/>
              </w:rPr>
            </w:r>
            <w:r w:rsidRPr="00780E96">
              <w:rPr>
                <w:rFonts w:asciiTheme="minorBidi" w:hAnsiTheme="minorBidi" w:cstheme="minorBidi"/>
                <w:shd w:val="clear" w:color="auto" w:fill="E6E6E6"/>
              </w:rPr>
              <w:fldChar w:fldCharType="separate"/>
            </w:r>
            <w:r w:rsidRPr="00780E96">
              <w:rPr>
                <w:rFonts w:asciiTheme="minorBidi" w:hAnsiTheme="minorBidi" w:cstheme="minorBidi"/>
                <w:shd w:val="clear" w:color="auto" w:fill="E6E6E6"/>
              </w:rPr>
              <w:fldChar w:fldCharType="end"/>
            </w:r>
            <w:r w:rsidRPr="00780E96">
              <w:rPr>
                <w:rFonts w:asciiTheme="minorBidi" w:hAnsiTheme="minorBidi" w:cstheme="minorBidi"/>
              </w:rPr>
              <w:fldChar w:fldCharType="begin"/>
            </w:r>
            <w:r w:rsidRPr="00780E96">
              <w:rPr>
                <w:rFonts w:asciiTheme="minorBidi" w:hAnsiTheme="minorBidi" w:cstheme="minorBidi"/>
              </w:rPr>
              <w:instrText xml:space="preserve"> FORMCHECKBOX </w:instrText>
            </w:r>
            <w:r w:rsidRPr="00780E96">
              <w:rPr>
                <w:rFonts w:asciiTheme="minorBidi" w:hAnsiTheme="minorBidi" w:cstheme="minorBidi"/>
              </w:rPr>
              <w:fldChar w:fldCharType="separate"/>
            </w:r>
            <w:r w:rsidRPr="00780E96">
              <w:rPr>
                <w:rFonts w:asciiTheme="minorBidi" w:hAnsiTheme="minorBidi" w:cstheme="minorBidi"/>
              </w:rPr>
              <w:fldChar w:fldCharType="end"/>
            </w:r>
            <w:r w:rsidRPr="00780E96">
              <w:rPr>
                <w:rFonts w:asciiTheme="minorBidi" w:hAnsiTheme="minorBidi" w:cstheme="minorBidi"/>
              </w:rPr>
              <w:t xml:space="preserve"> </w:t>
            </w:r>
            <w:r w:rsidR="00B60137" w:rsidRPr="00780E96">
              <w:rPr>
                <w:rFonts w:asciiTheme="minorBidi" w:eastAsia="MS Mincho" w:hAnsiTheme="minorBidi" w:cstheme="minorBidi" w:hint="eastAsia"/>
                <w:lang w:eastAsia="ja-JP"/>
              </w:rPr>
              <w:t xml:space="preserve">Activity </w:t>
            </w:r>
            <w:r w:rsidR="00461FEF" w:rsidRPr="00780E96">
              <w:rPr>
                <w:rFonts w:asciiTheme="minorBidi" w:eastAsia="MS Mincho" w:hAnsiTheme="minorBidi" w:cstheme="minorBidi" w:hint="eastAsia"/>
                <w:lang w:eastAsia="ja-JP"/>
              </w:rPr>
              <w:t>Scenario</w:t>
            </w:r>
          </w:p>
        </w:tc>
        <w:tc>
          <w:tcPr>
            <w:tcW w:w="1886" w:type="dxa"/>
            <w:tcBorders>
              <w:left w:val="nil"/>
            </w:tcBorders>
          </w:tcPr>
          <w:p w14:paraId="5CC87D38" w14:textId="6593D9CD" w:rsidR="00F51087" w:rsidRPr="005A04B7" w:rsidRDefault="00F51087" w:rsidP="00F51087">
            <w:pPr>
              <w:pStyle w:val="SDMTableBoxParaNotNumbered"/>
              <w:spacing w:before="60" w:after="60"/>
              <w:rPr>
                <w:rFonts w:cs="Arial"/>
              </w:rPr>
            </w:pPr>
            <w:r w:rsidRPr="005D7E1B">
              <w:rPr>
                <w:rFonts w:asciiTheme="minorBidi" w:hAnsiTheme="minorBidi" w:cstheme="minorBidi"/>
                <w:shd w:val="clear" w:color="auto" w:fill="E6E6E6"/>
              </w:rPr>
              <w:fldChar w:fldCharType="begin">
                <w:ffData>
                  <w:name w:val=""/>
                  <w:enabled/>
                  <w:calcOnExit w:val="0"/>
                  <w:checkBox>
                    <w:size w:val="20"/>
                    <w:default w:val="1"/>
                  </w:checkBox>
                </w:ffData>
              </w:fldChar>
            </w:r>
            <w:r w:rsidRPr="005D7E1B">
              <w:rPr>
                <w:rFonts w:asciiTheme="minorBidi" w:hAnsiTheme="minorBidi" w:cstheme="minorBidi"/>
                <w:shd w:val="clear" w:color="auto" w:fill="E6E6E6"/>
              </w:rPr>
              <w:instrText xml:space="preserve"> FORMCHECKBOX </w:instrText>
            </w:r>
            <w:r w:rsidRPr="005D7E1B">
              <w:rPr>
                <w:rFonts w:asciiTheme="minorBidi" w:hAnsiTheme="minorBidi" w:cstheme="minorBidi"/>
                <w:shd w:val="clear" w:color="auto" w:fill="E6E6E6"/>
              </w:rPr>
            </w:r>
            <w:r w:rsidRPr="005D7E1B">
              <w:rPr>
                <w:rFonts w:asciiTheme="minorBidi" w:hAnsiTheme="minorBidi" w:cstheme="minorBidi"/>
                <w:shd w:val="clear" w:color="auto" w:fill="E6E6E6"/>
              </w:rPr>
              <w:fldChar w:fldCharType="separate"/>
            </w:r>
            <w:r w:rsidRPr="005D7E1B">
              <w:rPr>
                <w:rFonts w:asciiTheme="minorBidi" w:hAnsiTheme="minorBidi" w:cstheme="minorBidi"/>
                <w:shd w:val="clear" w:color="auto" w:fill="E6E6E6"/>
              </w:rPr>
              <w:fldChar w:fldCharType="end"/>
            </w:r>
            <w:r w:rsidRPr="3161B3F5">
              <w:rPr>
                <w:rFonts w:asciiTheme="minorBidi" w:hAnsiTheme="minorBidi" w:cstheme="minorBidi"/>
              </w:rPr>
              <w:fldChar w:fldCharType="begin"/>
            </w:r>
            <w:r w:rsidRPr="3161B3F5">
              <w:rPr>
                <w:rFonts w:asciiTheme="minorBidi" w:hAnsiTheme="minorBidi" w:cstheme="minorBidi"/>
              </w:rPr>
              <w:instrText xml:space="preserve"> FORMCHECKBOX </w:instrText>
            </w:r>
            <w:r w:rsidRPr="3161B3F5">
              <w:rPr>
                <w:rFonts w:asciiTheme="minorBidi" w:hAnsiTheme="minorBidi" w:cstheme="minorBidi"/>
              </w:rPr>
              <w:fldChar w:fldCharType="separate"/>
            </w:r>
            <w:r w:rsidRPr="3161B3F5">
              <w:rPr>
                <w:rFonts w:asciiTheme="minorBidi" w:hAnsiTheme="minorBidi" w:cstheme="minorBidi"/>
              </w:rPr>
              <w:fldChar w:fldCharType="end"/>
            </w:r>
            <w:r w:rsidRPr="005D7E1B">
              <w:rPr>
                <w:rFonts w:asciiTheme="minorBidi" w:hAnsiTheme="minorBidi" w:cstheme="minorBidi"/>
              </w:rPr>
              <w:t xml:space="preserve"> Leakage </w:t>
            </w:r>
          </w:p>
        </w:tc>
      </w:tr>
      <w:tr w:rsidR="00B312F0" w:rsidRPr="005A04B7" w14:paraId="7CAE113F" w14:textId="77777777" w:rsidTr="00CC0FD5">
        <w:trPr>
          <w:trHeight w:val="300"/>
        </w:trPr>
        <w:tc>
          <w:tcPr>
            <w:tcW w:w="2446" w:type="dxa"/>
            <w:shd w:val="clear" w:color="auto" w:fill="D9D9D9" w:themeFill="background1" w:themeFillShade="D9"/>
            <w:hideMark/>
          </w:tcPr>
          <w:p w14:paraId="5CB45402" w14:textId="77777777" w:rsidR="00F575EE" w:rsidRPr="005A04B7" w:rsidRDefault="3A25738E" w:rsidP="00E12AF4">
            <w:pPr>
              <w:pStyle w:val="SDMTableBoxParaNotNumbered"/>
              <w:spacing w:before="60" w:after="60"/>
              <w:rPr>
                <w:rFonts w:cs="Arial"/>
              </w:rPr>
            </w:pPr>
            <w:r w:rsidRPr="005A04B7">
              <w:rPr>
                <w:rFonts w:cs="Arial"/>
              </w:rPr>
              <w:t>Measurement and updating frequency</w:t>
            </w:r>
          </w:p>
        </w:tc>
        <w:tc>
          <w:tcPr>
            <w:tcW w:w="6083" w:type="dxa"/>
            <w:gridSpan w:val="4"/>
            <w:hideMark/>
          </w:tcPr>
          <w:p w14:paraId="0D07BB6E" w14:textId="77777777" w:rsidR="00F575EE" w:rsidRPr="005A04B7" w:rsidRDefault="00F575EE" w:rsidP="00E12AF4">
            <w:pPr>
              <w:pStyle w:val="SDMTableBoxParaNotNumbered"/>
              <w:spacing w:before="60" w:after="60"/>
              <w:rPr>
                <w:rFonts w:cs="Arial"/>
                <w:lang w:val="en-GB"/>
              </w:rPr>
            </w:pPr>
            <w:r w:rsidRPr="005A04B7">
              <w:rPr>
                <w:rFonts w:cs="Arial"/>
              </w:rPr>
              <w:t>Once for the crediting period</w:t>
            </w:r>
          </w:p>
        </w:tc>
      </w:tr>
      <w:tr w:rsidR="005244B8" w:rsidRPr="005A04B7" w14:paraId="50BC94BC" w14:textId="77777777" w:rsidTr="00CC0FD5">
        <w:trPr>
          <w:trHeight w:val="300"/>
        </w:trPr>
        <w:tc>
          <w:tcPr>
            <w:tcW w:w="2446" w:type="dxa"/>
            <w:shd w:val="clear" w:color="auto" w:fill="D9D9D9" w:themeFill="background1" w:themeFillShade="D9"/>
            <w:hideMark/>
          </w:tcPr>
          <w:p w14:paraId="3CD8971F" w14:textId="77777777" w:rsidR="00F575EE" w:rsidRPr="005A04B7" w:rsidRDefault="00F575EE" w:rsidP="00E12AF4">
            <w:pPr>
              <w:pStyle w:val="SDMTableBoxParaNotNumbered"/>
              <w:spacing w:before="60" w:after="60"/>
              <w:rPr>
                <w:rFonts w:cs="Arial"/>
              </w:rPr>
            </w:pPr>
            <w:r w:rsidRPr="005A04B7">
              <w:rPr>
                <w:rFonts w:cs="Arial"/>
              </w:rPr>
              <w:t>Measurement methods and procedures</w:t>
            </w:r>
          </w:p>
        </w:tc>
        <w:tc>
          <w:tcPr>
            <w:tcW w:w="6083" w:type="dxa"/>
            <w:gridSpan w:val="4"/>
            <w:hideMark/>
          </w:tcPr>
          <w:p w14:paraId="4F1EE068" w14:textId="7AD9EE0E" w:rsidR="2E33EEA4" w:rsidRPr="005A04B7" w:rsidRDefault="6B40F82C" w:rsidP="00E12AF4">
            <w:pPr>
              <w:spacing w:before="60" w:after="60"/>
              <w:jc w:val="left"/>
              <w:rPr>
                <w:rFonts w:eastAsia="Arial" w:cs="Arial"/>
                <w:sz w:val="20"/>
                <w:lang w:val="en-GB"/>
              </w:rPr>
            </w:pPr>
            <w:r w:rsidRPr="005A04B7">
              <w:rPr>
                <w:rFonts w:eastAsia="Arial" w:cs="Arial"/>
                <w:sz w:val="20"/>
                <w:u w:val="single"/>
                <w:lang w:val="en-GB"/>
              </w:rPr>
              <w:t>Option</w:t>
            </w:r>
            <w:r w:rsidR="004C17BF">
              <w:rPr>
                <w:rFonts w:eastAsia="Arial" w:cs="Arial"/>
                <w:sz w:val="20"/>
                <w:u w:val="single"/>
                <w:lang w:val="en-GB"/>
              </w:rPr>
              <w:t> </w:t>
            </w:r>
            <w:r w:rsidRPr="005A04B7">
              <w:rPr>
                <w:rFonts w:eastAsia="Arial" w:cs="Arial"/>
                <w:sz w:val="20"/>
                <w:u w:val="single"/>
                <w:lang w:val="en-GB"/>
              </w:rPr>
              <w:t>1:</w:t>
            </w:r>
            <w:r w:rsidRPr="005A04B7">
              <w:rPr>
                <w:rFonts w:eastAsia="Arial" w:cs="Arial"/>
                <w:sz w:val="20"/>
                <w:lang w:val="en-GB"/>
              </w:rPr>
              <w:t xml:space="preserve"> Documented manufacturer’s specifications provided that the efficiency of the plant is not significantly increased through retrofits or rehabilitations); or</w:t>
            </w:r>
          </w:p>
          <w:p w14:paraId="1B3A4830" w14:textId="198ED676" w:rsidR="2E33EEA4" w:rsidRPr="005A04B7" w:rsidRDefault="6B40F82C" w:rsidP="00E12AF4">
            <w:pPr>
              <w:spacing w:before="60" w:after="60"/>
              <w:jc w:val="left"/>
              <w:rPr>
                <w:rFonts w:eastAsia="Arial" w:cs="Arial"/>
                <w:sz w:val="20"/>
                <w:lang w:val="en-GB"/>
              </w:rPr>
            </w:pPr>
            <w:r w:rsidRPr="005A04B7">
              <w:rPr>
                <w:rFonts w:eastAsia="Arial" w:cs="Arial"/>
                <w:sz w:val="20"/>
                <w:u w:val="single"/>
                <w:lang w:val="en-GB"/>
              </w:rPr>
              <w:t>Option</w:t>
            </w:r>
            <w:r w:rsidR="004C17BF">
              <w:rPr>
                <w:rFonts w:eastAsia="Arial" w:cs="Arial"/>
                <w:sz w:val="20"/>
                <w:u w:val="single"/>
                <w:lang w:val="en-GB"/>
              </w:rPr>
              <w:t> </w:t>
            </w:r>
            <w:r w:rsidRPr="005A04B7">
              <w:rPr>
                <w:rFonts w:eastAsia="Arial" w:cs="Arial"/>
                <w:sz w:val="20"/>
                <w:u w:val="single"/>
                <w:lang w:val="en-GB"/>
              </w:rPr>
              <w:t>2:</w:t>
            </w:r>
            <w:r w:rsidRPr="005A04B7">
              <w:rPr>
                <w:rFonts w:eastAsia="Arial" w:cs="Arial"/>
                <w:sz w:val="20"/>
                <w:lang w:val="en-GB"/>
              </w:rPr>
              <w:t xml:space="preserve"> For power plants connected to the electricity system: data from the utility, the dispatch centre, or official records, provided that such data can be deemed reliable; or</w:t>
            </w:r>
          </w:p>
          <w:p w14:paraId="43ABFA7C" w14:textId="2618CA0C" w:rsidR="2E33EEA4" w:rsidRPr="005A04B7" w:rsidRDefault="6B40F82C" w:rsidP="00F62D64">
            <w:pPr>
              <w:keepNext/>
              <w:spacing w:before="60" w:after="60"/>
              <w:jc w:val="left"/>
              <w:rPr>
                <w:rFonts w:eastAsia="Arial" w:cs="Arial"/>
                <w:sz w:val="20"/>
                <w:lang w:val="en-GB"/>
              </w:rPr>
            </w:pPr>
            <w:r w:rsidRPr="005A04B7">
              <w:rPr>
                <w:rFonts w:eastAsia="Arial" w:cs="Arial"/>
                <w:sz w:val="20"/>
                <w:u w:val="single"/>
              </w:rPr>
              <w:t>Option</w:t>
            </w:r>
            <w:r w:rsidR="004C17BF">
              <w:rPr>
                <w:rFonts w:eastAsia="Arial" w:cs="Arial"/>
                <w:sz w:val="20"/>
                <w:u w:val="single"/>
              </w:rPr>
              <w:t> </w:t>
            </w:r>
            <w:r w:rsidRPr="005A04B7">
              <w:rPr>
                <w:rFonts w:eastAsia="Arial" w:cs="Arial"/>
                <w:sz w:val="20"/>
                <w:u w:val="single"/>
              </w:rPr>
              <w:t>3:</w:t>
            </w:r>
            <w:r w:rsidRPr="005A04B7">
              <w:rPr>
                <w:rFonts w:eastAsia="Arial" w:cs="Arial"/>
                <w:sz w:val="20"/>
              </w:rPr>
              <w:t xml:space="preserve"> </w:t>
            </w:r>
            <w:r w:rsidRPr="005A04B7">
              <w:rPr>
                <w:rFonts w:eastAsia="Arial" w:cs="Arial"/>
                <w:sz w:val="20"/>
                <w:lang w:val="en-GB"/>
              </w:rPr>
              <w:t xml:space="preserve">Use </w:t>
            </w:r>
            <w:r w:rsidR="00A03B64" w:rsidRPr="005A04B7">
              <w:rPr>
                <w:rFonts w:eastAsia="Arial" w:cs="Arial"/>
                <w:sz w:val="20"/>
                <w:lang w:val="en-GB"/>
              </w:rPr>
              <w:t xml:space="preserve">the following </w:t>
            </w:r>
            <w:r w:rsidRPr="005A04B7">
              <w:rPr>
                <w:rFonts w:eastAsia="Arial" w:cs="Arial"/>
                <w:sz w:val="20"/>
                <w:lang w:val="en-GB"/>
              </w:rPr>
              <w:t>default value</w:t>
            </w:r>
            <w:r w:rsidR="0075038E" w:rsidRPr="005A04B7">
              <w:rPr>
                <w:rFonts w:eastAsia="Arial" w:cs="Arial"/>
                <w:sz w:val="20"/>
                <w:lang w:val="en-GB"/>
              </w:rPr>
              <w:t>s</w:t>
            </w:r>
            <w:r w:rsidRPr="005A04B7">
              <w:rPr>
                <w:rFonts w:eastAsia="Arial" w:cs="Arial"/>
                <w:sz w:val="20"/>
                <w:lang w:val="en-GB"/>
              </w:rPr>
              <w:t>:</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2"/>
              <w:gridCol w:w="2135"/>
              <w:gridCol w:w="2268"/>
            </w:tblGrid>
            <w:tr w:rsidR="003D63F2" w:rsidRPr="005A04B7" w14:paraId="11C8795A" w14:textId="77777777" w:rsidTr="00030CE7">
              <w:tc>
                <w:tcPr>
                  <w:tcW w:w="1452" w:type="dxa"/>
                  <w:tcBorders>
                    <w:bottom w:val="single" w:sz="12" w:space="0" w:color="000000"/>
                  </w:tcBorders>
                </w:tcPr>
                <w:p w14:paraId="68D76863" w14:textId="77777777" w:rsidR="003D63F2" w:rsidRPr="005A04B7" w:rsidRDefault="003D63F2" w:rsidP="00E12AF4">
                  <w:pPr>
                    <w:spacing w:before="60" w:after="60"/>
                    <w:jc w:val="left"/>
                    <w:rPr>
                      <w:rFonts w:eastAsia="Arial" w:cs="Arial"/>
                      <w:b/>
                      <w:bCs/>
                      <w:sz w:val="20"/>
                    </w:rPr>
                  </w:pPr>
                  <w:r w:rsidRPr="005A04B7">
                    <w:rPr>
                      <w:rFonts w:eastAsia="Arial" w:cs="Arial"/>
                      <w:b/>
                      <w:bCs/>
                      <w:sz w:val="20"/>
                    </w:rPr>
                    <w:t>Fuel type</w:t>
                  </w:r>
                </w:p>
              </w:tc>
              <w:tc>
                <w:tcPr>
                  <w:tcW w:w="2135" w:type="dxa"/>
                  <w:tcBorders>
                    <w:bottom w:val="single" w:sz="12" w:space="0" w:color="000000"/>
                  </w:tcBorders>
                </w:tcPr>
                <w:p w14:paraId="2ACC9208" w14:textId="4CA1BF62" w:rsidR="003D63F2" w:rsidRPr="005A04B7" w:rsidRDefault="003D63F2" w:rsidP="00E12AF4">
                  <w:pPr>
                    <w:spacing w:before="60" w:after="60"/>
                    <w:jc w:val="left"/>
                    <w:rPr>
                      <w:rFonts w:eastAsia="Arial" w:cs="Arial"/>
                      <w:b/>
                      <w:bCs/>
                      <w:sz w:val="20"/>
                    </w:rPr>
                  </w:pPr>
                  <w:r w:rsidRPr="005A04B7">
                    <w:rPr>
                      <w:rFonts w:eastAsia="Arial" w:cs="Arial"/>
                      <w:b/>
                      <w:bCs/>
                      <w:sz w:val="20"/>
                    </w:rPr>
                    <w:t>Case</w:t>
                  </w:r>
                  <w:r w:rsidR="004C17BF">
                    <w:rPr>
                      <w:rFonts w:eastAsia="Arial" w:cs="Arial"/>
                      <w:b/>
                      <w:bCs/>
                      <w:sz w:val="20"/>
                    </w:rPr>
                    <w:t> </w:t>
                  </w:r>
                  <w:r w:rsidRPr="005A04B7">
                    <w:rPr>
                      <w:rFonts w:eastAsia="Arial" w:cs="Arial"/>
                      <w:b/>
                      <w:bCs/>
                      <w:sz w:val="20"/>
                    </w:rPr>
                    <w:t>1</w:t>
                  </w:r>
                  <w:r w:rsidR="00030CE7">
                    <w:rPr>
                      <w:rFonts w:eastAsia="Arial" w:cs="Arial"/>
                      <w:b/>
                      <w:bCs/>
                      <w:sz w:val="20"/>
                    </w:rPr>
                    <w:t xml:space="preserve"> (per cent)</w:t>
                  </w:r>
                </w:p>
              </w:tc>
              <w:tc>
                <w:tcPr>
                  <w:tcW w:w="2268" w:type="dxa"/>
                  <w:tcBorders>
                    <w:bottom w:val="single" w:sz="12" w:space="0" w:color="000000"/>
                  </w:tcBorders>
                </w:tcPr>
                <w:p w14:paraId="050AFE3F" w14:textId="58325C3D" w:rsidR="003D63F2" w:rsidRPr="005A04B7" w:rsidRDefault="003D63F2" w:rsidP="00E12AF4">
                  <w:pPr>
                    <w:spacing w:before="60" w:after="60"/>
                    <w:jc w:val="left"/>
                    <w:rPr>
                      <w:rFonts w:eastAsia="Arial" w:cs="Arial"/>
                      <w:b/>
                      <w:bCs/>
                      <w:sz w:val="20"/>
                    </w:rPr>
                  </w:pPr>
                  <w:r w:rsidRPr="005A04B7">
                    <w:rPr>
                      <w:rFonts w:eastAsia="Arial" w:cs="Arial"/>
                      <w:b/>
                      <w:bCs/>
                      <w:sz w:val="20"/>
                    </w:rPr>
                    <w:t>Case</w:t>
                  </w:r>
                  <w:r w:rsidR="004C17BF">
                    <w:rPr>
                      <w:rFonts w:eastAsia="Arial" w:cs="Arial"/>
                      <w:b/>
                      <w:bCs/>
                      <w:sz w:val="20"/>
                    </w:rPr>
                    <w:t> </w:t>
                  </w:r>
                  <w:r w:rsidRPr="005A04B7">
                    <w:rPr>
                      <w:rFonts w:eastAsia="Arial" w:cs="Arial"/>
                      <w:b/>
                      <w:bCs/>
                      <w:sz w:val="20"/>
                    </w:rPr>
                    <w:t>2</w:t>
                  </w:r>
                  <w:r w:rsidR="00030CE7">
                    <w:rPr>
                      <w:rFonts w:eastAsia="Arial" w:cs="Arial"/>
                      <w:b/>
                      <w:bCs/>
                      <w:sz w:val="20"/>
                    </w:rPr>
                    <w:t xml:space="preserve"> (per cent)</w:t>
                  </w:r>
                </w:p>
              </w:tc>
            </w:tr>
            <w:tr w:rsidR="003D63F2" w:rsidRPr="005A04B7" w14:paraId="2786D16D" w14:textId="77777777" w:rsidTr="00030CE7">
              <w:tc>
                <w:tcPr>
                  <w:tcW w:w="1452" w:type="dxa"/>
                  <w:tcBorders>
                    <w:top w:val="single" w:sz="12" w:space="0" w:color="000000"/>
                  </w:tcBorders>
                </w:tcPr>
                <w:p w14:paraId="52E42997" w14:textId="77777777" w:rsidR="003D63F2" w:rsidRPr="005A04B7" w:rsidRDefault="003D63F2" w:rsidP="00E12AF4">
                  <w:pPr>
                    <w:spacing w:before="60" w:after="60"/>
                    <w:jc w:val="left"/>
                    <w:rPr>
                      <w:rFonts w:eastAsia="Arial" w:cs="Arial"/>
                      <w:sz w:val="20"/>
                    </w:rPr>
                  </w:pPr>
                  <w:r w:rsidRPr="005A04B7">
                    <w:rPr>
                      <w:rFonts w:eastAsia="Arial" w:cs="Arial"/>
                      <w:sz w:val="20"/>
                    </w:rPr>
                    <w:t>Coal</w:t>
                  </w:r>
                </w:p>
              </w:tc>
              <w:tc>
                <w:tcPr>
                  <w:tcW w:w="2135" w:type="dxa"/>
                  <w:tcBorders>
                    <w:top w:val="single" w:sz="12" w:space="0" w:color="000000"/>
                  </w:tcBorders>
                </w:tcPr>
                <w:p w14:paraId="161C7307" w14:textId="1F096FC5" w:rsidR="003D63F2" w:rsidRPr="005A04B7" w:rsidRDefault="003D63F2" w:rsidP="00E12AF4">
                  <w:pPr>
                    <w:spacing w:before="60" w:after="60"/>
                    <w:jc w:val="left"/>
                    <w:rPr>
                      <w:rFonts w:eastAsia="Arial" w:cs="Arial"/>
                      <w:sz w:val="20"/>
                    </w:rPr>
                  </w:pPr>
                  <w:r w:rsidRPr="005A04B7">
                    <w:rPr>
                      <w:rFonts w:eastAsia="Arial" w:cs="Arial"/>
                      <w:sz w:val="20"/>
                    </w:rPr>
                    <w:t>30</w:t>
                  </w:r>
                </w:p>
              </w:tc>
              <w:tc>
                <w:tcPr>
                  <w:tcW w:w="2268" w:type="dxa"/>
                  <w:tcBorders>
                    <w:top w:val="single" w:sz="12" w:space="0" w:color="000000"/>
                  </w:tcBorders>
                </w:tcPr>
                <w:p w14:paraId="5C759FF8" w14:textId="28206D37" w:rsidR="003D63F2" w:rsidRPr="005A04B7" w:rsidRDefault="003D63F2" w:rsidP="00E12AF4">
                  <w:pPr>
                    <w:spacing w:before="60" w:after="60"/>
                    <w:jc w:val="left"/>
                    <w:rPr>
                      <w:rFonts w:eastAsia="Arial" w:cs="Arial"/>
                      <w:sz w:val="20"/>
                    </w:rPr>
                  </w:pPr>
                  <w:r w:rsidRPr="005A04B7">
                    <w:rPr>
                      <w:rFonts w:eastAsia="Arial" w:cs="Arial"/>
                      <w:sz w:val="20"/>
                    </w:rPr>
                    <w:t>45</w:t>
                  </w:r>
                </w:p>
              </w:tc>
            </w:tr>
            <w:tr w:rsidR="003D63F2" w:rsidRPr="005A04B7" w14:paraId="7CBF8858" w14:textId="77777777" w:rsidTr="00030CE7">
              <w:tc>
                <w:tcPr>
                  <w:tcW w:w="1452" w:type="dxa"/>
                </w:tcPr>
                <w:p w14:paraId="7A1CFE63" w14:textId="77777777" w:rsidR="003D63F2" w:rsidRPr="005A04B7" w:rsidRDefault="003D63F2" w:rsidP="00E12AF4">
                  <w:pPr>
                    <w:spacing w:before="60" w:after="60"/>
                    <w:jc w:val="left"/>
                    <w:rPr>
                      <w:rFonts w:eastAsia="Arial" w:cs="Arial"/>
                      <w:sz w:val="20"/>
                    </w:rPr>
                  </w:pPr>
                  <w:r w:rsidRPr="005A04B7">
                    <w:rPr>
                      <w:rFonts w:eastAsia="Arial" w:cs="Arial"/>
                      <w:sz w:val="20"/>
                    </w:rPr>
                    <w:t>Oil</w:t>
                  </w:r>
                </w:p>
              </w:tc>
              <w:tc>
                <w:tcPr>
                  <w:tcW w:w="2135" w:type="dxa"/>
                </w:tcPr>
                <w:p w14:paraId="45581A38" w14:textId="4811A9B7" w:rsidR="003D63F2" w:rsidRPr="005A04B7" w:rsidRDefault="003D63F2" w:rsidP="00E12AF4">
                  <w:pPr>
                    <w:spacing w:before="60" w:after="60"/>
                    <w:jc w:val="left"/>
                    <w:rPr>
                      <w:rFonts w:eastAsia="Arial" w:cs="Arial"/>
                      <w:sz w:val="20"/>
                    </w:rPr>
                  </w:pPr>
                  <w:r w:rsidRPr="005A04B7">
                    <w:rPr>
                      <w:rFonts w:eastAsia="Arial" w:cs="Arial"/>
                      <w:sz w:val="20"/>
                    </w:rPr>
                    <w:t>30</w:t>
                  </w:r>
                </w:p>
              </w:tc>
              <w:tc>
                <w:tcPr>
                  <w:tcW w:w="2268" w:type="dxa"/>
                </w:tcPr>
                <w:p w14:paraId="5FF2B2BB" w14:textId="7F0AA01B" w:rsidR="003D63F2" w:rsidRPr="005A04B7" w:rsidRDefault="003D63F2" w:rsidP="00E12AF4">
                  <w:pPr>
                    <w:spacing w:before="60" w:after="60"/>
                    <w:jc w:val="left"/>
                    <w:rPr>
                      <w:rFonts w:eastAsia="Arial" w:cs="Arial"/>
                      <w:sz w:val="20"/>
                    </w:rPr>
                  </w:pPr>
                  <w:r w:rsidRPr="005A04B7">
                    <w:rPr>
                      <w:rFonts w:eastAsia="Arial" w:cs="Arial"/>
                      <w:sz w:val="20"/>
                    </w:rPr>
                    <w:t>50</w:t>
                  </w:r>
                </w:p>
              </w:tc>
            </w:tr>
            <w:tr w:rsidR="003D63F2" w:rsidRPr="005A04B7" w14:paraId="2538E13A" w14:textId="77777777" w:rsidTr="00030CE7">
              <w:tc>
                <w:tcPr>
                  <w:tcW w:w="1452" w:type="dxa"/>
                </w:tcPr>
                <w:p w14:paraId="5ADEA50F" w14:textId="77777777" w:rsidR="003D63F2" w:rsidRPr="005A04B7" w:rsidRDefault="003D63F2" w:rsidP="00E12AF4">
                  <w:pPr>
                    <w:spacing w:before="60" w:after="60"/>
                    <w:jc w:val="left"/>
                    <w:rPr>
                      <w:rFonts w:eastAsia="Arial" w:cs="Arial"/>
                      <w:sz w:val="20"/>
                    </w:rPr>
                  </w:pPr>
                  <w:r w:rsidRPr="005A04B7">
                    <w:rPr>
                      <w:rFonts w:eastAsia="Arial" w:cs="Arial"/>
                      <w:sz w:val="20"/>
                    </w:rPr>
                    <w:t>Natural gas</w:t>
                  </w:r>
                </w:p>
              </w:tc>
              <w:tc>
                <w:tcPr>
                  <w:tcW w:w="2135" w:type="dxa"/>
                </w:tcPr>
                <w:p w14:paraId="2A6F0B7D" w14:textId="68A8A074" w:rsidR="003D63F2" w:rsidRPr="005A04B7" w:rsidRDefault="003D63F2" w:rsidP="00E12AF4">
                  <w:pPr>
                    <w:spacing w:before="60" w:after="60"/>
                    <w:jc w:val="left"/>
                    <w:rPr>
                      <w:rFonts w:eastAsia="Arial" w:cs="Arial"/>
                      <w:sz w:val="20"/>
                    </w:rPr>
                  </w:pPr>
                  <w:r w:rsidRPr="005A04B7">
                    <w:rPr>
                      <w:rFonts w:eastAsia="Arial" w:cs="Arial"/>
                      <w:sz w:val="20"/>
                    </w:rPr>
                    <w:t>30</w:t>
                  </w:r>
                </w:p>
              </w:tc>
              <w:tc>
                <w:tcPr>
                  <w:tcW w:w="2268" w:type="dxa"/>
                </w:tcPr>
                <w:p w14:paraId="0118887D" w14:textId="55AD36CD" w:rsidR="003D63F2" w:rsidRPr="005A04B7" w:rsidRDefault="003D63F2" w:rsidP="00E12AF4">
                  <w:pPr>
                    <w:spacing w:before="60" w:after="60"/>
                    <w:jc w:val="left"/>
                    <w:rPr>
                      <w:rFonts w:eastAsia="Arial" w:cs="Arial"/>
                      <w:sz w:val="20"/>
                    </w:rPr>
                  </w:pPr>
                  <w:r w:rsidRPr="005A04B7">
                    <w:rPr>
                      <w:rFonts w:eastAsia="Arial" w:cs="Arial"/>
                      <w:sz w:val="20"/>
                    </w:rPr>
                    <w:t>65</w:t>
                  </w:r>
                </w:p>
              </w:tc>
            </w:tr>
          </w:tbl>
          <w:p w14:paraId="12CC7DC8" w14:textId="058B40F1" w:rsidR="6B40F82C" w:rsidRPr="005A04B7" w:rsidRDefault="6B40F82C" w:rsidP="00E12AF4">
            <w:pPr>
              <w:spacing w:before="60" w:after="60"/>
              <w:jc w:val="left"/>
              <w:rPr>
                <w:rFonts w:eastAsia="Arial" w:cs="Arial"/>
                <w:sz w:val="20"/>
                <w:u w:val="single"/>
              </w:rPr>
            </w:pPr>
          </w:p>
        </w:tc>
      </w:tr>
      <w:tr w:rsidR="00892BCD" w:rsidRPr="005A04B7" w14:paraId="7308779C" w14:textId="77777777" w:rsidTr="00CC0FD5">
        <w:trPr>
          <w:trHeight w:val="107"/>
        </w:trPr>
        <w:tc>
          <w:tcPr>
            <w:tcW w:w="2446" w:type="dxa"/>
            <w:shd w:val="clear" w:color="auto" w:fill="D9D9D9" w:themeFill="background1" w:themeFillShade="D9"/>
            <w:hideMark/>
          </w:tcPr>
          <w:p w14:paraId="6DA2DFF0" w14:textId="77777777" w:rsidR="00F575EE" w:rsidRPr="005A04B7" w:rsidRDefault="00F575EE" w:rsidP="00E12AF4">
            <w:pPr>
              <w:pStyle w:val="SDMTableBoxParaNotNumbered"/>
              <w:spacing w:before="60" w:after="60"/>
              <w:rPr>
                <w:rFonts w:cs="Arial"/>
              </w:rPr>
            </w:pPr>
            <w:r w:rsidRPr="005A04B7">
              <w:rPr>
                <w:rFonts w:cs="Arial"/>
              </w:rPr>
              <w:t>Entity/person responsible for the measurement</w:t>
            </w:r>
          </w:p>
        </w:tc>
        <w:tc>
          <w:tcPr>
            <w:tcW w:w="6083" w:type="dxa"/>
            <w:gridSpan w:val="4"/>
            <w:hideMark/>
          </w:tcPr>
          <w:p w14:paraId="324860E7" w14:textId="5AFC1E98" w:rsidR="731BEFA6" w:rsidRPr="005A04B7" w:rsidRDefault="731BEFA6" w:rsidP="00E12AF4">
            <w:pPr>
              <w:spacing w:before="60" w:after="60"/>
              <w:jc w:val="left"/>
              <w:rPr>
                <w:rFonts w:eastAsia="Arial" w:cs="Arial"/>
                <w:sz w:val="20"/>
              </w:rPr>
            </w:pPr>
            <w:r w:rsidRPr="005A04B7">
              <w:rPr>
                <w:rFonts w:eastAsia="Arial" w:cs="Arial"/>
                <w:sz w:val="20"/>
              </w:rPr>
              <w:t>Activity participants</w:t>
            </w:r>
          </w:p>
        </w:tc>
      </w:tr>
      <w:tr w:rsidR="00F3448F" w:rsidRPr="005A04B7" w14:paraId="7C5B79FA" w14:textId="77777777" w:rsidTr="00CC0FD5">
        <w:trPr>
          <w:trHeight w:val="107"/>
        </w:trPr>
        <w:tc>
          <w:tcPr>
            <w:tcW w:w="2446" w:type="dxa"/>
            <w:vMerge w:val="restart"/>
            <w:shd w:val="clear" w:color="auto" w:fill="D9D9D9" w:themeFill="background1" w:themeFillShade="D9"/>
            <w:hideMark/>
          </w:tcPr>
          <w:p w14:paraId="26E19129" w14:textId="77777777" w:rsidR="00F575EE" w:rsidRPr="005A04B7" w:rsidRDefault="00F575EE" w:rsidP="00E12AF4">
            <w:pPr>
              <w:pStyle w:val="SDMTableBoxParaNotNumbered"/>
              <w:spacing w:before="60" w:after="60"/>
              <w:rPr>
                <w:rFonts w:cs="Arial"/>
              </w:rPr>
            </w:pPr>
            <w:r w:rsidRPr="005A04B7">
              <w:rPr>
                <w:rFonts w:cs="Arial"/>
              </w:rPr>
              <w:t>Measuring instrument(s)</w:t>
            </w:r>
          </w:p>
        </w:tc>
        <w:tc>
          <w:tcPr>
            <w:tcW w:w="1724" w:type="dxa"/>
            <w:hideMark/>
          </w:tcPr>
          <w:p w14:paraId="380B3C1B" w14:textId="5FDCA40C" w:rsidR="731BEFA6" w:rsidRPr="005A04B7" w:rsidRDefault="731BEFA6" w:rsidP="00E12AF4">
            <w:pPr>
              <w:spacing w:before="60" w:after="60"/>
              <w:jc w:val="left"/>
              <w:rPr>
                <w:rFonts w:eastAsia="Arial" w:cs="Arial"/>
                <w:i/>
                <w:iCs/>
                <w:sz w:val="20"/>
              </w:rPr>
            </w:pPr>
            <w:r w:rsidRPr="005A04B7">
              <w:rPr>
                <w:rFonts w:eastAsia="Arial" w:cs="Arial"/>
                <w:i/>
                <w:iCs/>
                <w:sz w:val="20"/>
              </w:rPr>
              <w:t>Type of instrument</w:t>
            </w:r>
          </w:p>
        </w:tc>
        <w:tc>
          <w:tcPr>
            <w:tcW w:w="4359" w:type="dxa"/>
            <w:gridSpan w:val="3"/>
            <w:hideMark/>
          </w:tcPr>
          <w:p w14:paraId="52B02448" w14:textId="56F9D794" w:rsidR="731BEFA6" w:rsidRPr="005A04B7" w:rsidRDefault="731BEFA6" w:rsidP="00E12AF4">
            <w:pPr>
              <w:spacing w:before="60" w:after="60"/>
              <w:jc w:val="left"/>
              <w:rPr>
                <w:rFonts w:eastAsia="Arial" w:cs="Arial"/>
                <w:sz w:val="20"/>
              </w:rPr>
            </w:pPr>
            <w:r w:rsidRPr="005A04B7">
              <w:rPr>
                <w:rFonts w:eastAsia="Arial" w:cs="Arial"/>
                <w:sz w:val="20"/>
              </w:rPr>
              <w:t>N/A</w:t>
            </w:r>
          </w:p>
        </w:tc>
      </w:tr>
      <w:tr w:rsidR="00174363" w:rsidRPr="005A04B7" w14:paraId="7D5D38DE" w14:textId="77777777" w:rsidTr="00CC0FD5">
        <w:trPr>
          <w:trHeight w:val="104"/>
        </w:trPr>
        <w:tc>
          <w:tcPr>
            <w:tcW w:w="2446" w:type="dxa"/>
            <w:vMerge/>
            <w:shd w:val="clear" w:color="auto" w:fill="D9D9D9" w:themeFill="background1" w:themeFillShade="D9"/>
            <w:hideMark/>
          </w:tcPr>
          <w:p w14:paraId="5C6362E1" w14:textId="77777777" w:rsidR="00F575EE" w:rsidRPr="005A04B7" w:rsidRDefault="00F575EE" w:rsidP="00E12AF4">
            <w:pPr>
              <w:pStyle w:val="SDMTableBoxParaNotNumbered"/>
              <w:spacing w:before="60" w:after="60"/>
              <w:rPr>
                <w:rFonts w:cs="Arial"/>
              </w:rPr>
            </w:pPr>
          </w:p>
        </w:tc>
        <w:tc>
          <w:tcPr>
            <w:tcW w:w="1724" w:type="dxa"/>
            <w:hideMark/>
          </w:tcPr>
          <w:p w14:paraId="21070A9D" w14:textId="221681E2" w:rsidR="731BEFA6" w:rsidRPr="005A04B7" w:rsidRDefault="731BEFA6" w:rsidP="00E12AF4">
            <w:pPr>
              <w:spacing w:before="60" w:after="60"/>
              <w:jc w:val="left"/>
              <w:rPr>
                <w:rFonts w:eastAsia="Arial" w:cs="Arial"/>
                <w:i/>
                <w:iCs/>
                <w:sz w:val="20"/>
              </w:rPr>
            </w:pPr>
            <w:r w:rsidRPr="005A04B7">
              <w:rPr>
                <w:rFonts w:eastAsia="Arial" w:cs="Arial"/>
                <w:i/>
                <w:iCs/>
                <w:sz w:val="20"/>
              </w:rPr>
              <w:t>Accuracy class</w:t>
            </w:r>
          </w:p>
        </w:tc>
        <w:tc>
          <w:tcPr>
            <w:tcW w:w="4359" w:type="dxa"/>
            <w:gridSpan w:val="3"/>
            <w:hideMark/>
          </w:tcPr>
          <w:p w14:paraId="6E966633" w14:textId="28AEC514" w:rsidR="731BEFA6" w:rsidRPr="005A04B7" w:rsidRDefault="731BEFA6" w:rsidP="00E12AF4">
            <w:pPr>
              <w:spacing w:before="60" w:after="60"/>
              <w:jc w:val="left"/>
              <w:rPr>
                <w:rFonts w:eastAsia="Arial" w:cs="Arial"/>
                <w:sz w:val="20"/>
              </w:rPr>
            </w:pPr>
            <w:r w:rsidRPr="005A04B7">
              <w:rPr>
                <w:rFonts w:eastAsia="Arial" w:cs="Arial"/>
                <w:sz w:val="20"/>
              </w:rPr>
              <w:t>N/A</w:t>
            </w:r>
          </w:p>
        </w:tc>
      </w:tr>
      <w:tr w:rsidR="00174363" w:rsidRPr="005A04B7" w14:paraId="3C9FD566" w14:textId="77777777" w:rsidTr="00CC0FD5">
        <w:trPr>
          <w:trHeight w:val="104"/>
        </w:trPr>
        <w:tc>
          <w:tcPr>
            <w:tcW w:w="2446" w:type="dxa"/>
            <w:vMerge/>
            <w:shd w:val="clear" w:color="auto" w:fill="D9D9D9" w:themeFill="background1" w:themeFillShade="D9"/>
            <w:hideMark/>
          </w:tcPr>
          <w:p w14:paraId="7C5B96DA" w14:textId="77777777" w:rsidR="00F575EE" w:rsidRPr="005A04B7" w:rsidRDefault="00F575EE" w:rsidP="00E12AF4">
            <w:pPr>
              <w:pStyle w:val="SDMTableBoxParaNotNumbered"/>
              <w:spacing w:before="60" w:after="60"/>
              <w:rPr>
                <w:rFonts w:cs="Arial"/>
              </w:rPr>
            </w:pPr>
          </w:p>
        </w:tc>
        <w:tc>
          <w:tcPr>
            <w:tcW w:w="1724" w:type="dxa"/>
            <w:hideMark/>
          </w:tcPr>
          <w:p w14:paraId="3AAA35BC" w14:textId="62DCE791" w:rsidR="731BEFA6" w:rsidRPr="005A04B7" w:rsidRDefault="731BEFA6" w:rsidP="00E12AF4">
            <w:pPr>
              <w:spacing w:before="60" w:after="60"/>
              <w:jc w:val="left"/>
              <w:rPr>
                <w:rFonts w:eastAsia="Arial" w:cs="Arial"/>
                <w:i/>
                <w:iCs/>
                <w:sz w:val="20"/>
              </w:rPr>
            </w:pPr>
            <w:r w:rsidRPr="005A04B7">
              <w:rPr>
                <w:rFonts w:eastAsia="Arial" w:cs="Arial"/>
                <w:i/>
                <w:iCs/>
                <w:sz w:val="20"/>
              </w:rPr>
              <w:t>Calibration requirements</w:t>
            </w:r>
          </w:p>
        </w:tc>
        <w:tc>
          <w:tcPr>
            <w:tcW w:w="4359" w:type="dxa"/>
            <w:gridSpan w:val="3"/>
            <w:hideMark/>
          </w:tcPr>
          <w:p w14:paraId="2F69A9B7" w14:textId="2D9FEACA" w:rsidR="731BEFA6" w:rsidRPr="005A04B7" w:rsidRDefault="731BEFA6" w:rsidP="00E12AF4">
            <w:pPr>
              <w:spacing w:before="60" w:after="60"/>
              <w:jc w:val="left"/>
              <w:rPr>
                <w:rFonts w:eastAsia="Arial" w:cs="Arial"/>
                <w:sz w:val="20"/>
              </w:rPr>
            </w:pPr>
            <w:r w:rsidRPr="005A04B7">
              <w:rPr>
                <w:rFonts w:eastAsia="Arial" w:cs="Arial"/>
                <w:sz w:val="20"/>
              </w:rPr>
              <w:t>N/A</w:t>
            </w:r>
          </w:p>
        </w:tc>
      </w:tr>
      <w:tr w:rsidR="00174363" w:rsidRPr="005A04B7" w14:paraId="7F08EAE7" w14:textId="77777777" w:rsidTr="00CC0FD5">
        <w:trPr>
          <w:trHeight w:val="104"/>
        </w:trPr>
        <w:tc>
          <w:tcPr>
            <w:tcW w:w="2446" w:type="dxa"/>
            <w:vMerge/>
            <w:shd w:val="clear" w:color="auto" w:fill="D9D9D9" w:themeFill="background1" w:themeFillShade="D9"/>
            <w:hideMark/>
          </w:tcPr>
          <w:p w14:paraId="5ACA7F66" w14:textId="77777777" w:rsidR="00F575EE" w:rsidRPr="005A04B7" w:rsidRDefault="00F575EE" w:rsidP="00E12AF4">
            <w:pPr>
              <w:pStyle w:val="SDMTableBoxParaNotNumbered"/>
              <w:spacing w:before="60" w:after="60"/>
              <w:rPr>
                <w:rFonts w:cs="Arial"/>
              </w:rPr>
            </w:pPr>
          </w:p>
        </w:tc>
        <w:tc>
          <w:tcPr>
            <w:tcW w:w="1724" w:type="dxa"/>
            <w:hideMark/>
          </w:tcPr>
          <w:p w14:paraId="1CF53D47" w14:textId="26648E8B" w:rsidR="731BEFA6" w:rsidRPr="005A04B7" w:rsidRDefault="731BEFA6" w:rsidP="00E12AF4">
            <w:pPr>
              <w:spacing w:before="60" w:after="60"/>
              <w:jc w:val="left"/>
              <w:rPr>
                <w:rFonts w:eastAsia="Arial" w:cs="Arial"/>
                <w:i/>
                <w:iCs/>
                <w:sz w:val="20"/>
              </w:rPr>
            </w:pPr>
            <w:r w:rsidRPr="005A04B7">
              <w:rPr>
                <w:rFonts w:eastAsia="Arial" w:cs="Arial"/>
                <w:i/>
                <w:iCs/>
                <w:sz w:val="20"/>
              </w:rPr>
              <w:t>Location</w:t>
            </w:r>
          </w:p>
        </w:tc>
        <w:tc>
          <w:tcPr>
            <w:tcW w:w="4359" w:type="dxa"/>
            <w:gridSpan w:val="3"/>
            <w:hideMark/>
          </w:tcPr>
          <w:p w14:paraId="01F4FEBD" w14:textId="5006F16D" w:rsidR="731BEFA6" w:rsidRPr="005A04B7" w:rsidRDefault="731BEFA6" w:rsidP="00E12AF4">
            <w:pPr>
              <w:spacing w:before="60" w:after="60"/>
              <w:jc w:val="left"/>
              <w:rPr>
                <w:rFonts w:eastAsia="Arial" w:cs="Arial"/>
                <w:sz w:val="20"/>
              </w:rPr>
            </w:pPr>
            <w:r w:rsidRPr="005A04B7">
              <w:rPr>
                <w:rFonts w:eastAsia="Arial" w:cs="Arial"/>
                <w:sz w:val="20"/>
              </w:rPr>
              <w:t>N/A</w:t>
            </w:r>
          </w:p>
        </w:tc>
      </w:tr>
      <w:tr w:rsidR="00B312F0" w:rsidRPr="005A04B7" w14:paraId="3DE2D036" w14:textId="77777777" w:rsidTr="00CC0FD5">
        <w:trPr>
          <w:trHeight w:val="300"/>
        </w:trPr>
        <w:tc>
          <w:tcPr>
            <w:tcW w:w="2446" w:type="dxa"/>
            <w:shd w:val="clear" w:color="auto" w:fill="D9D9D9" w:themeFill="background1" w:themeFillShade="D9"/>
            <w:hideMark/>
          </w:tcPr>
          <w:p w14:paraId="1428A585" w14:textId="5B1DACC0" w:rsidR="00F575EE" w:rsidRPr="005A04B7" w:rsidRDefault="00F575EE" w:rsidP="00E12AF4">
            <w:pPr>
              <w:pStyle w:val="SDMTableBoxParaNotNumbered"/>
              <w:spacing w:before="60" w:after="60"/>
              <w:rPr>
                <w:rFonts w:cs="Arial"/>
              </w:rPr>
            </w:pPr>
            <w:r w:rsidRPr="005A04B7">
              <w:rPr>
                <w:rFonts w:cs="Arial"/>
              </w:rPr>
              <w:t>QA/QC procedures</w:t>
            </w:r>
          </w:p>
        </w:tc>
        <w:tc>
          <w:tcPr>
            <w:tcW w:w="6083" w:type="dxa"/>
            <w:gridSpan w:val="4"/>
            <w:hideMark/>
          </w:tcPr>
          <w:p w14:paraId="76628DB2" w14:textId="77777777" w:rsidR="00F575EE" w:rsidRPr="005A04B7" w:rsidRDefault="3DA96962" w:rsidP="00E12AF4">
            <w:pPr>
              <w:pStyle w:val="SDMTableBoxParaNotNumbered"/>
              <w:spacing w:before="60" w:after="60"/>
              <w:rPr>
                <w:rFonts w:cs="Arial"/>
              </w:rPr>
            </w:pPr>
            <w:r w:rsidRPr="005A04B7">
              <w:rPr>
                <w:rFonts w:cs="Arial"/>
              </w:rPr>
              <w:t>N/A</w:t>
            </w:r>
          </w:p>
        </w:tc>
      </w:tr>
      <w:tr w:rsidR="103289D9" w:rsidRPr="005A04B7" w14:paraId="5091721E" w14:textId="77777777" w:rsidTr="00CC0FD5">
        <w:trPr>
          <w:trHeight w:val="300"/>
        </w:trPr>
        <w:tc>
          <w:tcPr>
            <w:tcW w:w="2446" w:type="dxa"/>
            <w:shd w:val="clear" w:color="auto" w:fill="D9D9D9" w:themeFill="background1" w:themeFillShade="D9"/>
            <w:hideMark/>
          </w:tcPr>
          <w:p w14:paraId="415A8CD8" w14:textId="77777777" w:rsidR="31A0D24F" w:rsidRPr="005A04B7" w:rsidRDefault="638FB1F0" w:rsidP="0038031D">
            <w:pPr>
              <w:pStyle w:val="SDMTableBoxParaNotNumbered"/>
              <w:keepNext/>
              <w:spacing w:before="60" w:after="60"/>
              <w:rPr>
                <w:rFonts w:cs="Arial"/>
              </w:rPr>
            </w:pPr>
            <w:r w:rsidRPr="005A04B7">
              <w:rPr>
                <w:rFonts w:cs="Arial"/>
              </w:rPr>
              <w:t>Treatment of uncertaint</w:t>
            </w:r>
            <w:r w:rsidR="684D244D" w:rsidRPr="005A04B7">
              <w:rPr>
                <w:rFonts w:cs="Arial"/>
              </w:rPr>
              <w:t>ies</w:t>
            </w:r>
          </w:p>
        </w:tc>
        <w:tc>
          <w:tcPr>
            <w:tcW w:w="6083" w:type="dxa"/>
            <w:gridSpan w:val="4"/>
            <w:hideMark/>
          </w:tcPr>
          <w:p w14:paraId="49DA2385" w14:textId="77777777" w:rsidR="103289D9" w:rsidRPr="005A04B7" w:rsidRDefault="638FB1F0" w:rsidP="0038031D">
            <w:pPr>
              <w:pStyle w:val="SDMTableBoxParaNotNumbered"/>
              <w:keepNext/>
              <w:spacing w:before="60" w:after="60"/>
              <w:rPr>
                <w:rFonts w:cs="Arial"/>
              </w:rPr>
            </w:pPr>
            <w:r w:rsidRPr="005A04B7">
              <w:rPr>
                <w:rFonts w:cs="Arial"/>
              </w:rPr>
              <w:t>N/A</w:t>
            </w:r>
          </w:p>
        </w:tc>
      </w:tr>
      <w:tr w:rsidR="00F575EE" w:rsidRPr="005A04B7" w14:paraId="0475742E" w14:textId="77777777" w:rsidTr="00CC0FD5">
        <w:trPr>
          <w:trHeight w:val="300"/>
        </w:trPr>
        <w:tc>
          <w:tcPr>
            <w:tcW w:w="2446" w:type="dxa"/>
            <w:shd w:val="clear" w:color="auto" w:fill="D9D9D9" w:themeFill="background1" w:themeFillShade="D9"/>
            <w:hideMark/>
          </w:tcPr>
          <w:p w14:paraId="76D3C9B4" w14:textId="77777777" w:rsidR="00F575EE" w:rsidRPr="005A04B7" w:rsidRDefault="3A64834E" w:rsidP="00E12AF4">
            <w:pPr>
              <w:pStyle w:val="SDMTableBoxParaNotNumbered"/>
              <w:spacing w:before="60" w:after="60"/>
              <w:rPr>
                <w:rFonts w:cs="Arial"/>
              </w:rPr>
            </w:pPr>
            <w:r w:rsidRPr="005A04B7">
              <w:rPr>
                <w:rFonts w:cs="Arial"/>
              </w:rPr>
              <w:t>Additional comment</w:t>
            </w:r>
          </w:p>
        </w:tc>
        <w:tc>
          <w:tcPr>
            <w:tcW w:w="6083" w:type="dxa"/>
            <w:gridSpan w:val="4"/>
            <w:hideMark/>
          </w:tcPr>
          <w:p w14:paraId="35EDF24E" w14:textId="77777777" w:rsidR="00F575EE" w:rsidRPr="005A04B7" w:rsidRDefault="3A64834E" w:rsidP="00E12AF4">
            <w:pPr>
              <w:pStyle w:val="SDMTableBoxParaNotNumbered"/>
              <w:spacing w:before="60" w:after="60"/>
              <w:rPr>
                <w:rFonts w:cs="Arial"/>
              </w:rPr>
            </w:pPr>
            <w:r w:rsidRPr="005A04B7">
              <w:rPr>
                <w:rFonts w:cs="Arial"/>
              </w:rPr>
              <w:t>-</w:t>
            </w:r>
          </w:p>
        </w:tc>
      </w:tr>
    </w:tbl>
    <w:bookmarkEnd w:id="944"/>
    <w:p w14:paraId="28F6B405" w14:textId="6C32ED6B" w:rsidR="002B736D" w:rsidRPr="00800962" w:rsidRDefault="7603321B" w:rsidP="00F32C6C">
      <w:pPr>
        <w:pStyle w:val="Caption"/>
      </w:pPr>
      <w:r>
        <w:t>Data / Parameter table</w:t>
      </w:r>
      <w:r w:rsidR="004C17BF">
        <w:t> </w:t>
      </w:r>
      <w:r w:rsidR="002B736D" w:rsidRPr="6BB59D32">
        <w:fldChar w:fldCharType="begin"/>
      </w:r>
      <w:r w:rsidR="002B736D">
        <w:instrText xml:space="preserve"> SEQ Data_/_Parameter_table \* ARABIC </w:instrText>
      </w:r>
      <w:r w:rsidR="002B736D" w:rsidRPr="6BB59D32">
        <w:fldChar w:fldCharType="separate"/>
      </w:r>
      <w:r w:rsidR="003B0135">
        <w:rPr>
          <w:noProof/>
        </w:rPr>
        <w:t>10</w:t>
      </w:r>
      <w:r w:rsidR="002B736D" w:rsidRPr="6BB59D32">
        <w:rPr>
          <w:noProof/>
        </w:rPr>
        <w:fldChar w:fldCharType="end"/>
      </w:r>
      <w:r>
        <w:t>.</w:t>
      </w:r>
    </w:p>
    <w:tbl>
      <w:tblPr>
        <w:tblStyle w:val="TableGrid"/>
        <w:tblW w:w="8529" w:type="dxa"/>
        <w:tblInd w:w="8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6"/>
        <w:gridCol w:w="1453"/>
        <w:gridCol w:w="771"/>
        <w:gridCol w:w="1973"/>
        <w:gridCol w:w="1886"/>
      </w:tblGrid>
      <w:tr w:rsidR="002B736D" w:rsidRPr="00800962" w14:paraId="5A16426F" w14:textId="77777777" w:rsidTr="00CC0FD5">
        <w:trPr>
          <w:trHeight w:val="300"/>
        </w:trPr>
        <w:tc>
          <w:tcPr>
            <w:tcW w:w="2446" w:type="dxa"/>
            <w:shd w:val="clear" w:color="auto" w:fill="D9D9D9" w:themeFill="background1" w:themeFillShade="D9"/>
          </w:tcPr>
          <w:p w14:paraId="1B64FD35" w14:textId="77777777" w:rsidR="002B736D" w:rsidRPr="00800962" w:rsidRDefault="7603321B" w:rsidP="00E12AF4">
            <w:pPr>
              <w:pStyle w:val="SDMTableBoxParaNotNumbered"/>
              <w:keepNext/>
              <w:spacing w:before="60" w:after="60"/>
              <w:rPr>
                <w:rFonts w:cs="Arial"/>
                <w:b/>
                <w:bCs/>
              </w:rPr>
            </w:pPr>
            <w:r>
              <w:t>Data/parameter</w:t>
            </w:r>
          </w:p>
        </w:tc>
        <w:tc>
          <w:tcPr>
            <w:tcW w:w="6083" w:type="dxa"/>
            <w:gridSpan w:val="4"/>
          </w:tcPr>
          <w:p w14:paraId="0C52A87C" w14:textId="1DDD5B5E" w:rsidR="002B736D" w:rsidRPr="00AD2370" w:rsidRDefault="003F6646" w:rsidP="00E12AF4">
            <w:pPr>
              <w:pStyle w:val="SDMTableBoxParaNotNumbered"/>
              <w:keepNext/>
              <w:spacing w:before="60" w:after="60"/>
              <w:rPr>
                <w:rFonts w:cs="Arial"/>
                <w:b/>
                <w:bCs/>
                <w:i/>
                <w:iCs/>
                <w:highlight w:val="yellow"/>
              </w:rPr>
            </w:pPr>
            <m:oMathPara>
              <m:oMathParaPr>
                <m:jc m:val="left"/>
              </m:oMathParaPr>
              <m:oMath>
                <m:sSub>
                  <m:sSubPr>
                    <m:ctrlPr>
                      <w:rPr>
                        <w:rFonts w:ascii="Cambria Math" w:hAnsi="Cambria Math"/>
                        <w:b/>
                        <w:bCs/>
                        <w:i/>
                      </w:rPr>
                    </m:ctrlPr>
                  </m:sSubPr>
                  <m:e>
                    <m:r>
                      <m:rPr>
                        <m:sty m:val="bi"/>
                      </m:rPr>
                      <w:rPr>
                        <w:rFonts w:ascii="Cambria Math" w:hAnsi="Cambria Math"/>
                      </w:rPr>
                      <m:t>F</m:t>
                    </m:r>
                  </m:e>
                  <m:sub>
                    <m:r>
                      <m:rPr>
                        <m:sty m:val="bi"/>
                      </m:rPr>
                      <w:rPr>
                        <w:rFonts w:ascii="Cambria Math" w:hAnsi="Cambria Math"/>
                      </w:rPr>
                      <m:t>TDL,s,y</m:t>
                    </m:r>
                  </m:sub>
                </m:sSub>
              </m:oMath>
            </m:oMathPara>
          </w:p>
        </w:tc>
      </w:tr>
      <w:tr w:rsidR="002B736D" w:rsidRPr="00800962" w14:paraId="41EC9819" w14:textId="77777777" w:rsidTr="00CC0FD5">
        <w:trPr>
          <w:trHeight w:val="300"/>
        </w:trPr>
        <w:tc>
          <w:tcPr>
            <w:tcW w:w="2446" w:type="dxa"/>
            <w:shd w:val="clear" w:color="auto" w:fill="D9D9D9" w:themeFill="background1" w:themeFillShade="D9"/>
          </w:tcPr>
          <w:p w14:paraId="22FF8EAB" w14:textId="77777777" w:rsidR="002B736D" w:rsidRPr="00800962" w:rsidRDefault="7603321B" w:rsidP="00E12AF4">
            <w:pPr>
              <w:pStyle w:val="SDMTableBoxParaNotNumbered"/>
              <w:spacing w:before="60" w:after="60"/>
            </w:pPr>
            <w:r>
              <w:t>Description</w:t>
            </w:r>
          </w:p>
        </w:tc>
        <w:tc>
          <w:tcPr>
            <w:tcW w:w="6083" w:type="dxa"/>
            <w:gridSpan w:val="4"/>
          </w:tcPr>
          <w:p w14:paraId="4110F0A4" w14:textId="07BDBA30" w:rsidR="002B736D" w:rsidRPr="00800962" w:rsidRDefault="25A60123" w:rsidP="00E12AF4">
            <w:pPr>
              <w:pStyle w:val="SDMTableBoxParaNotNumbered"/>
              <w:spacing w:before="60" w:after="60"/>
            </w:pPr>
            <w:r>
              <w:t xml:space="preserve">Factor to account for transmission and distribution losses applicable to </w:t>
            </w:r>
            <w:r w:rsidR="00C304DE">
              <w:t xml:space="preserve">the </w:t>
            </w:r>
            <w:r>
              <w:t>electricity generation or consumption source </w:t>
            </w:r>
            <w:r w:rsidRPr="6BB59D32">
              <w:rPr>
                <w:i/>
                <w:iCs/>
              </w:rPr>
              <w:t>s</w:t>
            </w:r>
            <w:r>
              <w:t xml:space="preserve"> in year </w:t>
            </w:r>
            <w:r w:rsidRPr="6BB59D32">
              <w:rPr>
                <w:i/>
                <w:iCs/>
              </w:rPr>
              <w:t>y</w:t>
            </w:r>
          </w:p>
        </w:tc>
      </w:tr>
      <w:tr w:rsidR="002B736D" w:rsidRPr="00800962" w14:paraId="53CEA84B" w14:textId="77777777" w:rsidTr="00CC0FD5">
        <w:trPr>
          <w:trHeight w:val="300"/>
        </w:trPr>
        <w:tc>
          <w:tcPr>
            <w:tcW w:w="2446" w:type="dxa"/>
            <w:shd w:val="clear" w:color="auto" w:fill="D9D9D9" w:themeFill="background1" w:themeFillShade="D9"/>
          </w:tcPr>
          <w:p w14:paraId="2C93CCBA" w14:textId="77777777" w:rsidR="002B736D" w:rsidRPr="00800962" w:rsidRDefault="7603321B" w:rsidP="00E12AF4">
            <w:pPr>
              <w:pStyle w:val="SDMTableBoxParaNotNumbered"/>
              <w:spacing w:before="60" w:after="60"/>
            </w:pPr>
            <w:r>
              <w:t>Data unit</w:t>
            </w:r>
          </w:p>
        </w:tc>
        <w:tc>
          <w:tcPr>
            <w:tcW w:w="6083" w:type="dxa"/>
            <w:gridSpan w:val="4"/>
          </w:tcPr>
          <w:p w14:paraId="3D21C6A6" w14:textId="288F5E1F" w:rsidR="002B736D" w:rsidRPr="00800962" w:rsidRDefault="00030CE7" w:rsidP="00E12AF4">
            <w:pPr>
              <w:pStyle w:val="SDMTableBoxParaNotNumbered"/>
              <w:spacing w:before="60" w:after="60"/>
            </w:pPr>
            <w:r>
              <w:t>Per cent</w:t>
            </w:r>
          </w:p>
        </w:tc>
      </w:tr>
      <w:tr w:rsidR="002B736D" w:rsidRPr="00800962" w14:paraId="45AB0CBA" w14:textId="77777777" w:rsidTr="00CC0FD5">
        <w:trPr>
          <w:trHeight w:val="300"/>
        </w:trPr>
        <w:tc>
          <w:tcPr>
            <w:tcW w:w="2446" w:type="dxa"/>
            <w:shd w:val="clear" w:color="auto" w:fill="D9D9D9" w:themeFill="background1" w:themeFillShade="D9"/>
          </w:tcPr>
          <w:p w14:paraId="3A1B24DB" w14:textId="77777777" w:rsidR="002B736D" w:rsidRPr="00800962" w:rsidRDefault="7603321B" w:rsidP="00E12AF4">
            <w:pPr>
              <w:pStyle w:val="SDMTableBoxParaNotNumbered"/>
              <w:spacing w:before="60" w:after="60"/>
            </w:pPr>
            <w:r>
              <w:t>Equations referred</w:t>
            </w:r>
          </w:p>
        </w:tc>
        <w:tc>
          <w:tcPr>
            <w:tcW w:w="6083" w:type="dxa"/>
            <w:gridSpan w:val="4"/>
            <w:tcBorders>
              <w:bottom w:val="single" w:sz="4" w:space="0" w:color="auto"/>
            </w:tcBorders>
          </w:tcPr>
          <w:p w14:paraId="3E61B6B5" w14:textId="77777777" w:rsidR="002B736D" w:rsidRPr="00800962" w:rsidRDefault="002B736D" w:rsidP="00E12AF4">
            <w:pPr>
              <w:pStyle w:val="SDMTableBoxParaNotNumbered"/>
              <w:spacing w:before="60" w:after="60"/>
            </w:pPr>
          </w:p>
        </w:tc>
      </w:tr>
      <w:tr w:rsidR="00F51087" w:rsidRPr="00131981" w14:paraId="74F7D79E" w14:textId="77777777" w:rsidTr="00CC0FD5">
        <w:trPr>
          <w:trHeight w:val="300"/>
        </w:trPr>
        <w:tc>
          <w:tcPr>
            <w:tcW w:w="2446" w:type="dxa"/>
            <w:tcBorders>
              <w:right w:val="single" w:sz="4" w:space="0" w:color="auto"/>
            </w:tcBorders>
            <w:shd w:val="clear" w:color="auto" w:fill="D9D9D9" w:themeFill="background1" w:themeFillShade="D9"/>
          </w:tcPr>
          <w:p w14:paraId="29A6501B" w14:textId="77777777" w:rsidR="00F51087" w:rsidRPr="00131981" w:rsidRDefault="00F51087" w:rsidP="00F51087">
            <w:pPr>
              <w:pStyle w:val="SDMTableBoxParaNotNumbered"/>
              <w:spacing w:before="60" w:after="60"/>
            </w:pPr>
            <w:r w:rsidRPr="00131981">
              <w:t>Purpose of data</w:t>
            </w:r>
          </w:p>
        </w:tc>
        <w:tc>
          <w:tcPr>
            <w:tcW w:w="2224" w:type="dxa"/>
            <w:gridSpan w:val="2"/>
            <w:tcBorders>
              <w:left w:val="single" w:sz="4" w:space="0" w:color="auto"/>
              <w:right w:val="nil"/>
            </w:tcBorders>
          </w:tcPr>
          <w:p w14:paraId="6C5BD80C" w14:textId="741770E6" w:rsidR="00F51087" w:rsidRPr="00780E96" w:rsidRDefault="00F51087" w:rsidP="00F51087">
            <w:pPr>
              <w:pStyle w:val="SDMTableBoxParaNotNumbered"/>
              <w:spacing w:before="60" w:after="60"/>
            </w:pPr>
            <w:r w:rsidRPr="00780E96">
              <w:rPr>
                <w:rFonts w:asciiTheme="minorBidi" w:hAnsiTheme="minorBidi" w:cstheme="minorBidi"/>
                <w:shd w:val="clear" w:color="auto" w:fill="E6E6E6"/>
              </w:rPr>
              <w:fldChar w:fldCharType="begin">
                <w:ffData>
                  <w:name w:val=""/>
                  <w:enabled/>
                  <w:calcOnExit w:val="0"/>
                  <w:checkBox>
                    <w:size w:val="20"/>
                    <w:default w:val="1"/>
                  </w:checkBox>
                </w:ffData>
              </w:fldChar>
            </w:r>
            <w:r w:rsidRPr="00780E96">
              <w:rPr>
                <w:rFonts w:asciiTheme="minorBidi" w:hAnsiTheme="minorBidi" w:cstheme="minorBidi"/>
                <w:shd w:val="clear" w:color="auto" w:fill="E6E6E6"/>
              </w:rPr>
              <w:instrText xml:space="preserve"> FORMCHECKBOX </w:instrText>
            </w:r>
            <w:r w:rsidRPr="00780E96">
              <w:rPr>
                <w:rFonts w:asciiTheme="minorBidi" w:hAnsiTheme="minorBidi" w:cstheme="minorBidi"/>
                <w:shd w:val="clear" w:color="auto" w:fill="E6E6E6"/>
              </w:rPr>
            </w:r>
            <w:r w:rsidRPr="00780E96">
              <w:rPr>
                <w:rFonts w:asciiTheme="minorBidi" w:hAnsiTheme="minorBidi" w:cstheme="minorBidi"/>
                <w:shd w:val="clear" w:color="auto" w:fill="E6E6E6"/>
              </w:rPr>
              <w:fldChar w:fldCharType="separate"/>
            </w:r>
            <w:r w:rsidRPr="00780E96">
              <w:rPr>
                <w:rFonts w:asciiTheme="minorBidi" w:hAnsiTheme="minorBidi" w:cstheme="minorBidi"/>
                <w:shd w:val="clear" w:color="auto" w:fill="E6E6E6"/>
              </w:rPr>
              <w:fldChar w:fldCharType="end"/>
            </w:r>
            <w:r w:rsidRPr="00780E96">
              <w:rPr>
                <w:rFonts w:asciiTheme="minorBidi" w:hAnsiTheme="minorBidi" w:cstheme="minorBidi"/>
                <w:shd w:val="clear" w:color="auto" w:fill="E6E6E6"/>
              </w:rPr>
              <w:t xml:space="preserve"> </w:t>
            </w:r>
            <w:r w:rsidRPr="00780E96">
              <w:rPr>
                <w:rFonts w:asciiTheme="minorBidi" w:hAnsiTheme="minorBidi" w:cstheme="minorBidi"/>
              </w:rPr>
              <w:t xml:space="preserve">Baseline </w:t>
            </w:r>
            <w:r w:rsidR="00461FEF" w:rsidRPr="00780E96">
              <w:rPr>
                <w:rFonts w:asciiTheme="minorBidi" w:eastAsia="MS Mincho" w:hAnsiTheme="minorBidi" w:cstheme="minorBidi" w:hint="eastAsia"/>
                <w:lang w:eastAsia="ja-JP"/>
              </w:rPr>
              <w:t>Scenario</w:t>
            </w:r>
          </w:p>
        </w:tc>
        <w:tc>
          <w:tcPr>
            <w:tcW w:w="1973" w:type="dxa"/>
            <w:tcBorders>
              <w:left w:val="nil"/>
              <w:right w:val="nil"/>
            </w:tcBorders>
          </w:tcPr>
          <w:p w14:paraId="1A7C4610" w14:textId="034B43CF" w:rsidR="00F51087" w:rsidRPr="00780E96" w:rsidRDefault="00F51087" w:rsidP="00F51087">
            <w:pPr>
              <w:pStyle w:val="SDMTableBoxParaNotNumbered"/>
              <w:spacing w:before="60" w:after="60"/>
            </w:pPr>
            <w:r w:rsidRPr="00780E96">
              <w:rPr>
                <w:rFonts w:asciiTheme="minorBidi" w:hAnsiTheme="minorBidi" w:cstheme="minorBidi"/>
                <w:shd w:val="clear" w:color="auto" w:fill="E6E6E6"/>
              </w:rPr>
              <w:fldChar w:fldCharType="begin">
                <w:ffData>
                  <w:name w:val=""/>
                  <w:enabled/>
                  <w:calcOnExit w:val="0"/>
                  <w:checkBox>
                    <w:size w:val="20"/>
                    <w:default w:val="1"/>
                  </w:checkBox>
                </w:ffData>
              </w:fldChar>
            </w:r>
            <w:r w:rsidRPr="00780E96">
              <w:rPr>
                <w:rFonts w:asciiTheme="minorBidi" w:hAnsiTheme="minorBidi" w:cstheme="minorBidi"/>
                <w:shd w:val="clear" w:color="auto" w:fill="E6E6E6"/>
              </w:rPr>
              <w:instrText xml:space="preserve"> FORMCHECKBOX </w:instrText>
            </w:r>
            <w:r w:rsidRPr="00780E96">
              <w:rPr>
                <w:rFonts w:asciiTheme="minorBidi" w:hAnsiTheme="minorBidi" w:cstheme="minorBidi"/>
                <w:shd w:val="clear" w:color="auto" w:fill="E6E6E6"/>
              </w:rPr>
            </w:r>
            <w:r w:rsidRPr="00780E96">
              <w:rPr>
                <w:rFonts w:asciiTheme="minorBidi" w:hAnsiTheme="minorBidi" w:cstheme="minorBidi"/>
                <w:shd w:val="clear" w:color="auto" w:fill="E6E6E6"/>
              </w:rPr>
              <w:fldChar w:fldCharType="separate"/>
            </w:r>
            <w:r w:rsidRPr="00780E96">
              <w:rPr>
                <w:rFonts w:asciiTheme="minorBidi" w:hAnsiTheme="minorBidi" w:cstheme="minorBidi"/>
                <w:shd w:val="clear" w:color="auto" w:fill="E6E6E6"/>
              </w:rPr>
              <w:fldChar w:fldCharType="end"/>
            </w:r>
            <w:r w:rsidRPr="00780E96">
              <w:rPr>
                <w:rFonts w:asciiTheme="minorBidi" w:hAnsiTheme="minorBidi" w:cstheme="minorBidi"/>
              </w:rPr>
              <w:fldChar w:fldCharType="begin"/>
            </w:r>
            <w:r w:rsidRPr="00780E96">
              <w:rPr>
                <w:rFonts w:asciiTheme="minorBidi" w:hAnsiTheme="minorBidi" w:cstheme="minorBidi"/>
              </w:rPr>
              <w:instrText xml:space="preserve"> FORMCHECKBOX </w:instrText>
            </w:r>
            <w:r w:rsidRPr="00780E96">
              <w:rPr>
                <w:rFonts w:asciiTheme="minorBidi" w:hAnsiTheme="minorBidi" w:cstheme="minorBidi"/>
              </w:rPr>
              <w:fldChar w:fldCharType="separate"/>
            </w:r>
            <w:r w:rsidRPr="00780E96">
              <w:rPr>
                <w:rFonts w:asciiTheme="minorBidi" w:hAnsiTheme="minorBidi" w:cstheme="minorBidi"/>
              </w:rPr>
              <w:fldChar w:fldCharType="end"/>
            </w:r>
            <w:r w:rsidRPr="00780E96">
              <w:rPr>
                <w:rFonts w:asciiTheme="minorBidi" w:hAnsiTheme="minorBidi" w:cstheme="minorBidi"/>
              </w:rPr>
              <w:t xml:space="preserve"> </w:t>
            </w:r>
            <w:r w:rsidR="00B60137" w:rsidRPr="00780E96">
              <w:rPr>
                <w:rFonts w:asciiTheme="minorBidi" w:eastAsia="MS Mincho" w:hAnsiTheme="minorBidi" w:cstheme="minorBidi" w:hint="eastAsia"/>
                <w:lang w:eastAsia="ja-JP"/>
              </w:rPr>
              <w:t xml:space="preserve">Activity </w:t>
            </w:r>
            <w:r w:rsidR="00461FEF" w:rsidRPr="00780E96">
              <w:rPr>
                <w:rFonts w:asciiTheme="minorBidi" w:eastAsia="MS Mincho" w:hAnsiTheme="minorBidi" w:cstheme="minorBidi" w:hint="eastAsia"/>
                <w:lang w:eastAsia="ja-JP"/>
              </w:rPr>
              <w:t>Scenario</w:t>
            </w:r>
          </w:p>
        </w:tc>
        <w:tc>
          <w:tcPr>
            <w:tcW w:w="1886" w:type="dxa"/>
            <w:tcBorders>
              <w:left w:val="nil"/>
            </w:tcBorders>
          </w:tcPr>
          <w:p w14:paraId="2C989779" w14:textId="0B5FACD8" w:rsidR="00F51087" w:rsidRPr="00780E96" w:rsidRDefault="00F51087" w:rsidP="00F51087">
            <w:pPr>
              <w:pStyle w:val="SDMTableBoxParaNotNumbered"/>
              <w:spacing w:before="60" w:after="60"/>
            </w:pPr>
            <w:r w:rsidRPr="00780E96">
              <w:rPr>
                <w:rFonts w:asciiTheme="minorBidi" w:hAnsiTheme="minorBidi" w:cstheme="minorBidi"/>
                <w:shd w:val="clear" w:color="auto" w:fill="E6E6E6"/>
              </w:rPr>
              <w:fldChar w:fldCharType="begin">
                <w:ffData>
                  <w:name w:val=""/>
                  <w:enabled/>
                  <w:calcOnExit w:val="0"/>
                  <w:checkBox>
                    <w:size w:val="20"/>
                    <w:default w:val="1"/>
                  </w:checkBox>
                </w:ffData>
              </w:fldChar>
            </w:r>
            <w:r w:rsidRPr="00780E96">
              <w:rPr>
                <w:rFonts w:asciiTheme="minorBidi" w:hAnsiTheme="minorBidi" w:cstheme="minorBidi"/>
                <w:shd w:val="clear" w:color="auto" w:fill="E6E6E6"/>
              </w:rPr>
              <w:instrText xml:space="preserve"> FORMCHECKBOX </w:instrText>
            </w:r>
            <w:r w:rsidRPr="00780E96">
              <w:rPr>
                <w:rFonts w:asciiTheme="minorBidi" w:hAnsiTheme="minorBidi" w:cstheme="minorBidi"/>
                <w:shd w:val="clear" w:color="auto" w:fill="E6E6E6"/>
              </w:rPr>
            </w:r>
            <w:r w:rsidRPr="00780E96">
              <w:rPr>
                <w:rFonts w:asciiTheme="minorBidi" w:hAnsiTheme="minorBidi" w:cstheme="minorBidi"/>
                <w:shd w:val="clear" w:color="auto" w:fill="E6E6E6"/>
              </w:rPr>
              <w:fldChar w:fldCharType="separate"/>
            </w:r>
            <w:r w:rsidRPr="00780E96">
              <w:rPr>
                <w:rFonts w:asciiTheme="minorBidi" w:hAnsiTheme="minorBidi" w:cstheme="minorBidi"/>
                <w:shd w:val="clear" w:color="auto" w:fill="E6E6E6"/>
              </w:rPr>
              <w:fldChar w:fldCharType="end"/>
            </w:r>
            <w:r w:rsidRPr="00780E96">
              <w:rPr>
                <w:rFonts w:asciiTheme="minorBidi" w:hAnsiTheme="minorBidi" w:cstheme="minorBidi"/>
              </w:rPr>
              <w:fldChar w:fldCharType="begin"/>
            </w:r>
            <w:r w:rsidRPr="00780E96">
              <w:rPr>
                <w:rFonts w:asciiTheme="minorBidi" w:hAnsiTheme="minorBidi" w:cstheme="minorBidi"/>
              </w:rPr>
              <w:instrText xml:space="preserve"> FORMCHECKBOX </w:instrText>
            </w:r>
            <w:r w:rsidRPr="00780E96">
              <w:rPr>
                <w:rFonts w:asciiTheme="minorBidi" w:hAnsiTheme="minorBidi" w:cstheme="minorBidi"/>
              </w:rPr>
              <w:fldChar w:fldCharType="separate"/>
            </w:r>
            <w:r w:rsidRPr="00780E96">
              <w:rPr>
                <w:rFonts w:asciiTheme="minorBidi" w:hAnsiTheme="minorBidi" w:cstheme="minorBidi"/>
              </w:rPr>
              <w:fldChar w:fldCharType="end"/>
            </w:r>
            <w:r w:rsidRPr="00780E96">
              <w:rPr>
                <w:rFonts w:asciiTheme="minorBidi" w:hAnsiTheme="minorBidi" w:cstheme="minorBidi"/>
              </w:rPr>
              <w:t xml:space="preserve"> Leakage </w:t>
            </w:r>
          </w:p>
        </w:tc>
      </w:tr>
      <w:tr w:rsidR="002B736D" w:rsidRPr="00800962" w14:paraId="4F1A8BDE" w14:textId="77777777" w:rsidTr="00CC0FD5">
        <w:trPr>
          <w:trHeight w:val="300"/>
        </w:trPr>
        <w:tc>
          <w:tcPr>
            <w:tcW w:w="2446" w:type="dxa"/>
            <w:shd w:val="clear" w:color="auto" w:fill="D9D9D9" w:themeFill="background1" w:themeFillShade="D9"/>
          </w:tcPr>
          <w:p w14:paraId="16316996" w14:textId="77777777" w:rsidR="002B736D" w:rsidRPr="00800962" w:rsidRDefault="7603321B" w:rsidP="00E12AF4">
            <w:pPr>
              <w:pStyle w:val="SDMTableBoxParaNotNumbered"/>
              <w:spacing w:before="60" w:after="60"/>
            </w:pPr>
            <w:r>
              <w:t>Measurement and updating frequency</w:t>
            </w:r>
          </w:p>
        </w:tc>
        <w:tc>
          <w:tcPr>
            <w:tcW w:w="6083" w:type="dxa"/>
            <w:gridSpan w:val="4"/>
          </w:tcPr>
          <w:p w14:paraId="00AC633B" w14:textId="7975099A" w:rsidR="002B736D" w:rsidRPr="00780E96" w:rsidRDefault="1EB3F22E" w:rsidP="00E12AF4">
            <w:pPr>
              <w:pStyle w:val="SDMTableBoxParaNotNumbered"/>
              <w:spacing w:before="60" w:after="60"/>
            </w:pPr>
            <w:r w:rsidRPr="00780E96">
              <w:t xml:space="preserve">If </w:t>
            </w:r>
            <w:r w:rsidR="000E3F76" w:rsidRPr="00780E96">
              <w:t>option</w:t>
            </w:r>
            <w:r w:rsidR="004C17BF" w:rsidRPr="00780E96">
              <w:t> </w:t>
            </w:r>
            <w:r w:rsidRPr="00780E96">
              <w:t>1 below is chosen: o</w:t>
            </w:r>
            <w:r w:rsidR="7603321B" w:rsidRPr="00780E96">
              <w:t xml:space="preserve">nce at the start of the Article 6.4 </w:t>
            </w:r>
            <w:r w:rsidR="00225009" w:rsidRPr="00780E96">
              <w:rPr>
                <w:rFonts w:eastAsia="Arial"/>
              </w:rPr>
              <w:t>project or CP</w:t>
            </w:r>
            <w:r w:rsidR="00225009" w:rsidRPr="00780E96">
              <w:t xml:space="preserve"> </w:t>
            </w:r>
            <w:r w:rsidRPr="00780E96">
              <w:t xml:space="preserve">or </w:t>
            </w:r>
            <w:r w:rsidR="0076106C" w:rsidRPr="00780E96">
              <w:t xml:space="preserve">updated </w:t>
            </w:r>
            <w:r w:rsidRPr="00780E96">
              <w:t>annually</w:t>
            </w:r>
            <w:r w:rsidR="7603321B" w:rsidRPr="00780E96">
              <w:t>.</w:t>
            </w:r>
          </w:p>
          <w:p w14:paraId="706789B3" w14:textId="5F3498A9" w:rsidR="002B736D" w:rsidRPr="00780E96" w:rsidRDefault="7603321B" w:rsidP="00E12AF4">
            <w:pPr>
              <w:pStyle w:val="SDMTableBoxParaNotNumbered"/>
              <w:spacing w:before="60" w:after="60"/>
            </w:pPr>
            <w:r w:rsidRPr="00780E96">
              <w:t xml:space="preserve">If </w:t>
            </w:r>
            <w:r w:rsidR="000E3F76" w:rsidRPr="00780E96">
              <w:t>option</w:t>
            </w:r>
            <w:r w:rsidR="004C17BF" w:rsidRPr="00780E96">
              <w:t> </w:t>
            </w:r>
            <w:r w:rsidR="1EB3F22E" w:rsidRPr="00780E96">
              <w:t>2</w:t>
            </w:r>
            <w:r w:rsidRPr="00780E96">
              <w:t xml:space="preserve"> below is chosen: </w:t>
            </w:r>
            <w:r w:rsidR="00C963F4" w:rsidRPr="00780E96">
              <w:t>not applicable</w:t>
            </w:r>
          </w:p>
        </w:tc>
      </w:tr>
      <w:tr w:rsidR="002B736D" w:rsidRPr="00800962" w14:paraId="4B67C335" w14:textId="77777777" w:rsidTr="00CC0FD5">
        <w:trPr>
          <w:trHeight w:val="300"/>
        </w:trPr>
        <w:tc>
          <w:tcPr>
            <w:tcW w:w="2446" w:type="dxa"/>
            <w:shd w:val="clear" w:color="auto" w:fill="D9D9D9" w:themeFill="background1" w:themeFillShade="D9"/>
          </w:tcPr>
          <w:p w14:paraId="4874A1FC" w14:textId="77777777" w:rsidR="002B736D" w:rsidRPr="00800962" w:rsidRDefault="7603321B" w:rsidP="00E12AF4">
            <w:pPr>
              <w:pStyle w:val="SDMTableBoxParaNotNumbered"/>
              <w:spacing w:before="60" w:after="60"/>
            </w:pPr>
            <w:r>
              <w:t>Measurement methods and procedures</w:t>
            </w:r>
          </w:p>
        </w:tc>
        <w:tc>
          <w:tcPr>
            <w:tcW w:w="6083" w:type="dxa"/>
            <w:gridSpan w:val="4"/>
          </w:tcPr>
          <w:p w14:paraId="3D770E53" w14:textId="20DD4CAF" w:rsidR="002B736D" w:rsidRDefault="25A60123" w:rsidP="00E12AF4">
            <w:pPr>
              <w:pStyle w:val="SDMTableBoxParaNotNumbered"/>
              <w:spacing w:before="60" w:after="60"/>
            </w:pPr>
            <w:r w:rsidRPr="00215E83">
              <w:rPr>
                <w:u w:val="single"/>
              </w:rPr>
              <w:t>Option</w:t>
            </w:r>
            <w:r w:rsidR="004C17BF">
              <w:rPr>
                <w:u w:val="single"/>
              </w:rPr>
              <w:t> </w:t>
            </w:r>
            <w:r w:rsidRPr="00215E83">
              <w:rPr>
                <w:u w:val="single"/>
              </w:rPr>
              <w:t>1:</w:t>
            </w:r>
            <w:r>
              <w:t xml:space="preserve"> </w:t>
            </w:r>
            <w:r w:rsidR="3E7EB694">
              <w:t xml:space="preserve">Data sourced from </w:t>
            </w:r>
            <w:r w:rsidR="3E34D15D">
              <w:t xml:space="preserve">electricity wholesale or retail companies, including </w:t>
            </w:r>
            <w:r w:rsidR="00212789">
              <w:t xml:space="preserve">data on </w:t>
            </w:r>
            <w:r w:rsidR="3E34D15D">
              <w:t>transmission and distribution losses for different voltage level</w:t>
            </w:r>
            <w:r w:rsidR="4EBAC895">
              <w:t>s;</w:t>
            </w:r>
          </w:p>
          <w:p w14:paraId="1B6D4E76" w14:textId="03EA3A08" w:rsidR="002B736D" w:rsidRPr="00800962" w:rsidRDefault="4EBAC895" w:rsidP="00E12AF4">
            <w:pPr>
              <w:pStyle w:val="SDMTableBoxParaNotNumbered"/>
              <w:spacing w:before="60" w:after="60"/>
            </w:pPr>
            <w:r w:rsidRPr="00215E83">
              <w:rPr>
                <w:u w:val="single"/>
              </w:rPr>
              <w:t>Option</w:t>
            </w:r>
            <w:r w:rsidR="004C17BF">
              <w:rPr>
                <w:u w:val="single"/>
              </w:rPr>
              <w:t> </w:t>
            </w:r>
            <w:r w:rsidRPr="00215E83">
              <w:rPr>
                <w:u w:val="single"/>
              </w:rPr>
              <w:t>2:</w:t>
            </w:r>
            <w:r>
              <w:t xml:space="preserve"> Default values </w:t>
            </w:r>
            <w:r w:rsidR="6AA0FBC0">
              <w:t>provided in the methodological tool</w:t>
            </w:r>
          </w:p>
        </w:tc>
      </w:tr>
      <w:tr w:rsidR="002B736D" w:rsidRPr="00800962" w14:paraId="2347330C" w14:textId="77777777" w:rsidTr="00CC0FD5">
        <w:trPr>
          <w:trHeight w:val="107"/>
        </w:trPr>
        <w:tc>
          <w:tcPr>
            <w:tcW w:w="2446" w:type="dxa"/>
            <w:shd w:val="clear" w:color="auto" w:fill="D9D9D9" w:themeFill="background1" w:themeFillShade="D9"/>
          </w:tcPr>
          <w:p w14:paraId="66B8A6E3" w14:textId="77777777" w:rsidR="002B736D" w:rsidRPr="00800962" w:rsidRDefault="7603321B" w:rsidP="00E12AF4">
            <w:pPr>
              <w:pStyle w:val="SDMTableBoxParaNotNumbered"/>
              <w:spacing w:before="60" w:after="60"/>
            </w:pPr>
            <w:r>
              <w:t>Entity/person responsible for the measurement</w:t>
            </w:r>
          </w:p>
        </w:tc>
        <w:tc>
          <w:tcPr>
            <w:tcW w:w="6083" w:type="dxa"/>
            <w:gridSpan w:val="4"/>
          </w:tcPr>
          <w:p w14:paraId="54E73C1D" w14:textId="47BA5A1B" w:rsidR="002B736D" w:rsidRDefault="001353DE" w:rsidP="00E12AF4">
            <w:pPr>
              <w:pStyle w:val="SDMTableBoxParaNotNumbered"/>
              <w:spacing w:before="60" w:after="60"/>
            </w:pPr>
            <w:r>
              <w:t>If option</w:t>
            </w:r>
            <w:r w:rsidR="004C17BF">
              <w:t> </w:t>
            </w:r>
            <w:r w:rsidR="6AA0FBC0">
              <w:t>1</w:t>
            </w:r>
            <w:r>
              <w:t xml:space="preserve"> is chosen</w:t>
            </w:r>
            <w:r w:rsidR="6AA0FBC0" w:rsidRPr="00385CF5">
              <w:rPr>
                <w:u w:val="single"/>
              </w:rPr>
              <w:t>:</w:t>
            </w:r>
            <w:r w:rsidR="6AA0FBC0">
              <w:t xml:space="preserve"> Electricity wholesale or retail companies</w:t>
            </w:r>
            <w:r w:rsidR="00212789">
              <w:t>.</w:t>
            </w:r>
          </w:p>
          <w:p w14:paraId="45FA02B8" w14:textId="7E9C2661" w:rsidR="002A3AAE" w:rsidRPr="00800962" w:rsidRDefault="001353DE" w:rsidP="00E12AF4">
            <w:pPr>
              <w:pStyle w:val="SDMTableBoxParaNotNumbered"/>
              <w:spacing w:before="60" w:after="60"/>
            </w:pPr>
            <w:r>
              <w:t>If option</w:t>
            </w:r>
            <w:r w:rsidR="004C17BF">
              <w:t> </w:t>
            </w:r>
            <w:r>
              <w:t>2 is chosen:</w:t>
            </w:r>
            <w:r w:rsidR="6AA0FBC0">
              <w:t xml:space="preserve"> N/A</w:t>
            </w:r>
          </w:p>
        </w:tc>
      </w:tr>
      <w:tr w:rsidR="00886EDF" w:rsidRPr="00800962" w14:paraId="690BDC44" w14:textId="77777777" w:rsidTr="00CC0FD5">
        <w:trPr>
          <w:trHeight w:val="107"/>
        </w:trPr>
        <w:tc>
          <w:tcPr>
            <w:tcW w:w="2446" w:type="dxa"/>
            <w:vMerge w:val="restart"/>
            <w:shd w:val="clear" w:color="auto" w:fill="D9D9D9" w:themeFill="background1" w:themeFillShade="D9"/>
          </w:tcPr>
          <w:p w14:paraId="7D7E23E7" w14:textId="77777777" w:rsidR="002B736D" w:rsidRPr="00800962" w:rsidRDefault="7603321B" w:rsidP="00E12AF4">
            <w:pPr>
              <w:pStyle w:val="SDMTableBoxParaNotNumbered"/>
              <w:spacing w:before="60" w:after="60"/>
            </w:pPr>
            <w:r>
              <w:t>Measuring instrument(s)</w:t>
            </w:r>
          </w:p>
        </w:tc>
        <w:tc>
          <w:tcPr>
            <w:tcW w:w="1453" w:type="dxa"/>
          </w:tcPr>
          <w:p w14:paraId="6B345F3C" w14:textId="77777777" w:rsidR="002B736D" w:rsidRPr="00800962" w:rsidRDefault="7603321B" w:rsidP="00E12AF4">
            <w:pPr>
              <w:pStyle w:val="SDMTableBoxParaNotNumbered"/>
              <w:spacing w:before="60" w:after="60"/>
              <w:rPr>
                <w:i/>
                <w:iCs/>
              </w:rPr>
            </w:pPr>
            <w:r w:rsidRPr="6BB59D32">
              <w:rPr>
                <w:i/>
                <w:iCs/>
              </w:rPr>
              <w:t>Type of instrument</w:t>
            </w:r>
          </w:p>
        </w:tc>
        <w:tc>
          <w:tcPr>
            <w:tcW w:w="4630" w:type="dxa"/>
            <w:gridSpan w:val="3"/>
          </w:tcPr>
          <w:p w14:paraId="533666A0" w14:textId="77777777" w:rsidR="002B736D" w:rsidRPr="00800962" w:rsidRDefault="7603321B" w:rsidP="00E12AF4">
            <w:pPr>
              <w:pStyle w:val="SDMTableBoxParaNotNumbered"/>
              <w:spacing w:before="60" w:after="60"/>
            </w:pPr>
            <w:r>
              <w:t>N/A</w:t>
            </w:r>
          </w:p>
        </w:tc>
      </w:tr>
      <w:tr w:rsidR="000315EB" w:rsidRPr="00800962" w14:paraId="15923A4F" w14:textId="77777777" w:rsidTr="00CC0FD5">
        <w:trPr>
          <w:trHeight w:val="104"/>
        </w:trPr>
        <w:tc>
          <w:tcPr>
            <w:tcW w:w="2446" w:type="dxa"/>
            <w:vMerge/>
            <w:shd w:val="clear" w:color="auto" w:fill="D9D9D9" w:themeFill="background1" w:themeFillShade="D9"/>
          </w:tcPr>
          <w:p w14:paraId="070E1C3C" w14:textId="77777777" w:rsidR="002B736D" w:rsidRPr="00800962" w:rsidRDefault="002B736D" w:rsidP="00E12AF4">
            <w:pPr>
              <w:pStyle w:val="SDMTableBoxParaNotNumbered"/>
              <w:spacing w:before="60" w:after="60"/>
            </w:pPr>
          </w:p>
        </w:tc>
        <w:tc>
          <w:tcPr>
            <w:tcW w:w="1453" w:type="dxa"/>
          </w:tcPr>
          <w:p w14:paraId="435DE31E" w14:textId="77777777" w:rsidR="002B736D" w:rsidRPr="00800962" w:rsidRDefault="7603321B" w:rsidP="00E12AF4">
            <w:pPr>
              <w:pStyle w:val="SDMTableBoxParaNotNumbered"/>
              <w:spacing w:before="60" w:after="60"/>
              <w:rPr>
                <w:i/>
                <w:iCs/>
              </w:rPr>
            </w:pPr>
            <w:r w:rsidRPr="6BB59D32">
              <w:rPr>
                <w:i/>
                <w:iCs/>
              </w:rPr>
              <w:t>Accuracy class</w:t>
            </w:r>
          </w:p>
        </w:tc>
        <w:tc>
          <w:tcPr>
            <w:tcW w:w="4630" w:type="dxa"/>
            <w:gridSpan w:val="3"/>
          </w:tcPr>
          <w:p w14:paraId="03DECE05" w14:textId="77777777" w:rsidR="002B736D" w:rsidRPr="00800962" w:rsidRDefault="7603321B" w:rsidP="00E12AF4">
            <w:pPr>
              <w:pStyle w:val="SDMTableBoxParaNotNumbered"/>
              <w:spacing w:before="60" w:after="60"/>
            </w:pPr>
            <w:r>
              <w:t>N/A</w:t>
            </w:r>
          </w:p>
        </w:tc>
      </w:tr>
      <w:tr w:rsidR="000315EB" w:rsidRPr="00800962" w14:paraId="41771021" w14:textId="77777777" w:rsidTr="00CC0FD5">
        <w:trPr>
          <w:trHeight w:val="104"/>
        </w:trPr>
        <w:tc>
          <w:tcPr>
            <w:tcW w:w="2446" w:type="dxa"/>
            <w:vMerge/>
            <w:shd w:val="clear" w:color="auto" w:fill="D9D9D9" w:themeFill="background1" w:themeFillShade="D9"/>
          </w:tcPr>
          <w:p w14:paraId="25D3ADC9" w14:textId="77777777" w:rsidR="002B736D" w:rsidRPr="00800962" w:rsidRDefault="002B736D" w:rsidP="00E12AF4">
            <w:pPr>
              <w:pStyle w:val="SDMTableBoxParaNotNumbered"/>
              <w:spacing w:before="60" w:after="60"/>
            </w:pPr>
          </w:p>
        </w:tc>
        <w:tc>
          <w:tcPr>
            <w:tcW w:w="1453" w:type="dxa"/>
          </w:tcPr>
          <w:p w14:paraId="44BEBDA1" w14:textId="77777777" w:rsidR="002B736D" w:rsidRPr="00800962" w:rsidRDefault="7603321B" w:rsidP="00E12AF4">
            <w:pPr>
              <w:pStyle w:val="SDMTableBoxParaNotNumbered"/>
              <w:spacing w:before="60" w:after="60"/>
              <w:rPr>
                <w:i/>
                <w:iCs/>
              </w:rPr>
            </w:pPr>
            <w:r w:rsidRPr="6BB59D32">
              <w:rPr>
                <w:i/>
                <w:iCs/>
              </w:rPr>
              <w:t>Calibration requirements</w:t>
            </w:r>
          </w:p>
        </w:tc>
        <w:tc>
          <w:tcPr>
            <w:tcW w:w="4630" w:type="dxa"/>
            <w:gridSpan w:val="3"/>
          </w:tcPr>
          <w:p w14:paraId="647D9983" w14:textId="77777777" w:rsidR="002B736D" w:rsidRPr="00800962" w:rsidRDefault="7603321B" w:rsidP="00E12AF4">
            <w:pPr>
              <w:pStyle w:val="SDMTableBoxParaNotNumbered"/>
              <w:spacing w:before="60" w:after="60"/>
              <w:rPr>
                <w:rFonts w:ascii="Calibri" w:hAnsi="Calibri" w:cs="Calibri"/>
              </w:rPr>
            </w:pPr>
            <w:r>
              <w:t>N/A</w:t>
            </w:r>
          </w:p>
        </w:tc>
      </w:tr>
      <w:tr w:rsidR="000315EB" w:rsidRPr="00800962" w14:paraId="74619D06" w14:textId="77777777" w:rsidTr="00CC0FD5">
        <w:trPr>
          <w:trHeight w:val="104"/>
        </w:trPr>
        <w:tc>
          <w:tcPr>
            <w:tcW w:w="2446" w:type="dxa"/>
            <w:vMerge/>
            <w:shd w:val="clear" w:color="auto" w:fill="D9D9D9" w:themeFill="background1" w:themeFillShade="D9"/>
          </w:tcPr>
          <w:p w14:paraId="0FB29E27" w14:textId="77777777" w:rsidR="002B736D" w:rsidRPr="00800962" w:rsidRDefault="002B736D" w:rsidP="00E12AF4">
            <w:pPr>
              <w:pStyle w:val="SDMTableBoxParaNotNumbered"/>
              <w:spacing w:before="60" w:after="60"/>
            </w:pPr>
          </w:p>
        </w:tc>
        <w:tc>
          <w:tcPr>
            <w:tcW w:w="1453" w:type="dxa"/>
          </w:tcPr>
          <w:p w14:paraId="526A01AD" w14:textId="77777777" w:rsidR="002B736D" w:rsidRPr="00800962" w:rsidRDefault="7603321B" w:rsidP="00E12AF4">
            <w:pPr>
              <w:pStyle w:val="SDMTableBoxParaNotNumbered"/>
              <w:spacing w:before="60" w:after="60"/>
              <w:rPr>
                <w:i/>
                <w:iCs/>
              </w:rPr>
            </w:pPr>
            <w:r w:rsidRPr="6BB59D32">
              <w:rPr>
                <w:i/>
                <w:iCs/>
              </w:rPr>
              <w:t>Location</w:t>
            </w:r>
          </w:p>
        </w:tc>
        <w:tc>
          <w:tcPr>
            <w:tcW w:w="4630" w:type="dxa"/>
            <w:gridSpan w:val="3"/>
          </w:tcPr>
          <w:p w14:paraId="47CF3CF0" w14:textId="77777777" w:rsidR="002B736D" w:rsidRPr="00800962" w:rsidRDefault="7603321B" w:rsidP="00E12AF4">
            <w:pPr>
              <w:pStyle w:val="SDMTableBoxParaNotNumbered"/>
              <w:spacing w:before="60" w:after="60"/>
            </w:pPr>
            <w:r>
              <w:t>N/A</w:t>
            </w:r>
          </w:p>
        </w:tc>
      </w:tr>
      <w:tr w:rsidR="002B736D" w:rsidRPr="00800962" w14:paraId="1F8D847B" w14:textId="77777777" w:rsidTr="00CC0FD5">
        <w:trPr>
          <w:trHeight w:val="300"/>
        </w:trPr>
        <w:tc>
          <w:tcPr>
            <w:tcW w:w="2446" w:type="dxa"/>
            <w:shd w:val="clear" w:color="auto" w:fill="D9D9D9" w:themeFill="background1" w:themeFillShade="D9"/>
          </w:tcPr>
          <w:p w14:paraId="5FD1E737" w14:textId="77777777" w:rsidR="002B736D" w:rsidRPr="00800962" w:rsidRDefault="7603321B" w:rsidP="00E12AF4">
            <w:pPr>
              <w:pStyle w:val="SDMTableBoxParaNotNumbered"/>
              <w:spacing w:before="60" w:after="60"/>
            </w:pPr>
            <w:r>
              <w:t>QA/QC procedures</w:t>
            </w:r>
          </w:p>
        </w:tc>
        <w:tc>
          <w:tcPr>
            <w:tcW w:w="6083" w:type="dxa"/>
            <w:gridSpan w:val="4"/>
          </w:tcPr>
          <w:p w14:paraId="12A00286" w14:textId="77777777" w:rsidR="002B736D" w:rsidRPr="00800962" w:rsidRDefault="7603321B" w:rsidP="00E12AF4">
            <w:pPr>
              <w:pStyle w:val="SDMTableBoxParaNotNumbered"/>
              <w:spacing w:before="60" w:after="60"/>
            </w:pPr>
            <w:r>
              <w:t>-</w:t>
            </w:r>
          </w:p>
        </w:tc>
      </w:tr>
      <w:tr w:rsidR="002B736D" w:rsidRPr="00800962" w14:paraId="38B3BDCB" w14:textId="77777777" w:rsidTr="00CC0FD5">
        <w:trPr>
          <w:trHeight w:val="300"/>
        </w:trPr>
        <w:tc>
          <w:tcPr>
            <w:tcW w:w="2446" w:type="dxa"/>
            <w:shd w:val="clear" w:color="auto" w:fill="D9D9D9" w:themeFill="background1" w:themeFillShade="D9"/>
          </w:tcPr>
          <w:p w14:paraId="13202632" w14:textId="77777777" w:rsidR="002B736D" w:rsidRPr="00800962" w:rsidRDefault="7603321B" w:rsidP="0038031D">
            <w:pPr>
              <w:pStyle w:val="SDMTableBoxParaNotNumbered"/>
              <w:keepNext/>
              <w:spacing w:before="60" w:after="60"/>
            </w:pPr>
            <w:r>
              <w:t>Treatment of uncertainty</w:t>
            </w:r>
          </w:p>
        </w:tc>
        <w:tc>
          <w:tcPr>
            <w:tcW w:w="6083" w:type="dxa"/>
            <w:gridSpan w:val="4"/>
          </w:tcPr>
          <w:p w14:paraId="536618E4" w14:textId="71904C05" w:rsidR="002B736D" w:rsidRPr="00800962" w:rsidRDefault="00116E1D" w:rsidP="0038031D">
            <w:pPr>
              <w:pStyle w:val="SDMTableBoxParaNotNumbered"/>
              <w:keepNext/>
              <w:spacing w:before="60" w:after="60"/>
            </w:pPr>
            <w:r>
              <w:t>If o</w:t>
            </w:r>
            <w:r w:rsidR="657D6881">
              <w:t>ption</w:t>
            </w:r>
            <w:r w:rsidR="0005725D">
              <w:t> </w:t>
            </w:r>
            <w:r w:rsidR="657D6881">
              <w:t>1</w:t>
            </w:r>
            <w:r>
              <w:t xml:space="preserve"> is chosen</w:t>
            </w:r>
            <w:r w:rsidR="657D6881">
              <w:t xml:space="preserve">: </w:t>
            </w:r>
            <w:r w:rsidR="00212789">
              <w:t>Uncertainty values, where available,</w:t>
            </w:r>
            <w:r w:rsidR="003437B8">
              <w:t xml:space="preserve"> as</w:t>
            </w:r>
            <w:r w:rsidR="00212789">
              <w:t xml:space="preserve"> </w:t>
            </w:r>
            <w:r w:rsidR="657D6881">
              <w:t>provided by the electricity wholesale or retail companies;</w:t>
            </w:r>
          </w:p>
          <w:p w14:paraId="0ED5BCAC" w14:textId="5CB5D597" w:rsidR="002B736D" w:rsidRPr="00800962" w:rsidRDefault="00116E1D" w:rsidP="0038031D">
            <w:pPr>
              <w:pStyle w:val="SDMTableBoxParaNotNumbered"/>
              <w:keepNext/>
              <w:spacing w:before="60" w:after="60"/>
            </w:pPr>
            <w:r>
              <w:t>If option</w:t>
            </w:r>
            <w:r w:rsidR="0005725D">
              <w:t> </w:t>
            </w:r>
            <w:r w:rsidR="657D6881">
              <w:t>2</w:t>
            </w:r>
            <w:r>
              <w:t xml:space="preserve"> is chosen</w:t>
            </w:r>
            <w:r w:rsidR="657D6881">
              <w:t>:</w:t>
            </w:r>
            <w:r w:rsidR="00924518">
              <w:t xml:space="preserve"> </w:t>
            </w:r>
            <w:r w:rsidR="00C963F4">
              <w:t>not applicable</w:t>
            </w:r>
          </w:p>
        </w:tc>
      </w:tr>
      <w:tr w:rsidR="002B736D" w:rsidRPr="00800962" w14:paraId="2E9C234E" w14:textId="77777777" w:rsidTr="00CC0FD5">
        <w:trPr>
          <w:trHeight w:val="300"/>
        </w:trPr>
        <w:tc>
          <w:tcPr>
            <w:tcW w:w="2446" w:type="dxa"/>
            <w:shd w:val="clear" w:color="auto" w:fill="D9D9D9" w:themeFill="background1" w:themeFillShade="D9"/>
          </w:tcPr>
          <w:p w14:paraId="6284EE22" w14:textId="77777777" w:rsidR="002B736D" w:rsidRPr="00800962" w:rsidRDefault="7603321B" w:rsidP="00E12AF4">
            <w:pPr>
              <w:pStyle w:val="SDMTableBoxParaNotNumbered"/>
              <w:spacing w:before="60" w:after="60"/>
            </w:pPr>
            <w:r>
              <w:t>Additional comment</w:t>
            </w:r>
          </w:p>
        </w:tc>
        <w:tc>
          <w:tcPr>
            <w:tcW w:w="6083" w:type="dxa"/>
            <w:gridSpan w:val="4"/>
          </w:tcPr>
          <w:p w14:paraId="20B082F1" w14:textId="005483EC" w:rsidR="002B736D" w:rsidRPr="00800962" w:rsidRDefault="36675C80" w:rsidP="00E12AF4">
            <w:pPr>
              <w:pStyle w:val="SDMTableBoxParaNotNumbered"/>
              <w:spacing w:before="60" w:after="60"/>
            </w:pPr>
            <w:r>
              <w:t>If option</w:t>
            </w:r>
            <w:r w:rsidR="449CD18A">
              <w:t> </w:t>
            </w:r>
            <w:r w:rsidR="1AD12782">
              <w:t>1</w:t>
            </w:r>
            <w:r>
              <w:t xml:space="preserve"> is chosen</w:t>
            </w:r>
            <w:r w:rsidR="1AD12782">
              <w:t xml:space="preserve">: </w:t>
            </w:r>
            <w:r w:rsidR="6DAE0457">
              <w:t>f</w:t>
            </w:r>
            <w:r w:rsidR="1AD12782">
              <w:t xml:space="preserve">or </w:t>
            </w:r>
            <w:r w:rsidR="1DCEA9D7" w:rsidRPr="007B3A6B">
              <w:rPr>
                <w:b/>
                <w:bCs/>
              </w:rPr>
              <w:t>case</w:t>
            </w:r>
            <w:r w:rsidR="449CD18A" w:rsidRPr="007B3A6B">
              <w:rPr>
                <w:b/>
                <w:bCs/>
              </w:rPr>
              <w:t> </w:t>
            </w:r>
            <w:r w:rsidR="1AD12782" w:rsidRPr="007B3A6B">
              <w:rPr>
                <w:b/>
                <w:bCs/>
              </w:rPr>
              <w:t>1</w:t>
            </w:r>
            <w:r w:rsidR="1AD12782">
              <w:t xml:space="preserve">, the data used may include </w:t>
            </w:r>
            <w:r w:rsidR="08FB2CF7">
              <w:t>or exclude</w:t>
            </w:r>
            <w:r w:rsidR="1AD12782">
              <w:t xml:space="preserve"> losses from electricity pilferage</w:t>
            </w:r>
            <w:r w:rsidR="6DAE0457">
              <w:t>; f</w:t>
            </w:r>
            <w:r w:rsidR="1AD12782">
              <w:t xml:space="preserve">or </w:t>
            </w:r>
            <w:r w:rsidR="1DCEA9D7" w:rsidRPr="007B3A6B">
              <w:rPr>
                <w:b/>
                <w:bCs/>
              </w:rPr>
              <w:t>case </w:t>
            </w:r>
            <w:r w:rsidR="1AD12782" w:rsidRPr="007B3A6B">
              <w:rPr>
                <w:b/>
                <w:bCs/>
              </w:rPr>
              <w:t>2</w:t>
            </w:r>
            <w:r w:rsidR="1AD12782">
              <w:t xml:space="preserve">, the data shall only be used if it includes </w:t>
            </w:r>
            <w:r w:rsidR="3D398F55">
              <w:t xml:space="preserve">only </w:t>
            </w:r>
            <w:r w:rsidR="1AD12782">
              <w:t xml:space="preserve">physical losses and </w:t>
            </w:r>
            <w:r w:rsidR="3D398F55">
              <w:t>excludes any</w:t>
            </w:r>
            <w:r w:rsidR="1AD12782">
              <w:t xml:space="preserve"> losses from electricity pilferage</w:t>
            </w:r>
          </w:p>
        </w:tc>
      </w:tr>
    </w:tbl>
    <w:p w14:paraId="4B835E98" w14:textId="77777777" w:rsidR="000D1E11" w:rsidRPr="00535F87" w:rsidRDefault="000D1E11">
      <w:pPr>
        <w:sectPr w:rsidR="000D1E11" w:rsidRPr="00535F87" w:rsidSect="00CC0FD5">
          <w:headerReference w:type="even" r:id="rId20"/>
          <w:headerReference w:type="default" r:id="rId21"/>
          <w:footerReference w:type="default" r:id="rId22"/>
          <w:headerReference w:type="first" r:id="rId23"/>
          <w:footnotePr>
            <w:numRestart w:val="eachSect"/>
          </w:footnotePr>
          <w:pgSz w:w="11907" w:h="16840" w:code="9"/>
          <w:pgMar w:top="2126" w:right="1134" w:bottom="1418" w:left="1418" w:header="851" w:footer="567" w:gutter="0"/>
          <w:cols w:space="720"/>
          <w:formProt w:val="0"/>
          <w:docGrid w:linePitch="299"/>
        </w:sectPr>
      </w:pPr>
    </w:p>
    <w:p w14:paraId="2F069345" w14:textId="6C031349" w:rsidR="005F58EA" w:rsidRPr="00145429" w:rsidRDefault="000D1E11">
      <w:pPr>
        <w:pStyle w:val="SDMAppTitle"/>
        <w:rPr>
          <w:rFonts w:eastAsia="MS Mincho"/>
          <w:lang w:eastAsia="ja-JP"/>
        </w:rPr>
      </w:pPr>
      <w:bookmarkStart w:id="948" w:name="_Toc221096428"/>
      <w:bookmarkStart w:id="949" w:name="_Toc221097980"/>
      <w:bookmarkStart w:id="950" w:name="_Toc221116276"/>
      <w:bookmarkStart w:id="951" w:name="_Toc221117292"/>
      <w:bookmarkStart w:id="952" w:name="_Toc222132130"/>
      <w:bookmarkStart w:id="953" w:name="_Toc222494931"/>
      <w:bookmarkStart w:id="954" w:name="_Toc222512447"/>
      <w:bookmarkStart w:id="955" w:name="_Toc222741767"/>
      <w:bookmarkStart w:id="956" w:name="_Toc234853848"/>
      <w:bookmarkStart w:id="957" w:name="_Toc235002286"/>
      <w:bookmarkStart w:id="958" w:name="_Toc235003445"/>
      <w:bookmarkStart w:id="959" w:name="_Toc236154242"/>
      <w:bookmarkStart w:id="960" w:name="_Toc236216619"/>
      <w:bookmarkStart w:id="961" w:name="_Toc240545107"/>
      <w:bookmarkStart w:id="962" w:name="_Toc240545323"/>
      <w:bookmarkStart w:id="963" w:name="_Toc240576905"/>
      <w:r>
        <w:t>Flowchart</w:t>
      </w:r>
      <w:r w:rsidR="00E21B6C">
        <w:t>s illustrating the application of the methodological steps to scenarios A, B and C</w:t>
      </w:r>
      <w:bookmarkEnd w:id="948"/>
      <w:bookmarkEnd w:id="949"/>
      <w:bookmarkEnd w:id="950"/>
      <w:bookmarkEnd w:id="951"/>
      <w:bookmarkEnd w:id="952"/>
      <w:bookmarkEnd w:id="953"/>
      <w:bookmarkEnd w:id="954"/>
      <w:bookmarkEnd w:id="955"/>
      <w:bookmarkEnd w:id="956"/>
      <w:bookmarkEnd w:id="957"/>
      <w:bookmarkEnd w:id="958"/>
      <w:bookmarkEnd w:id="959"/>
      <w:r w:rsidR="00397CB3">
        <w:t xml:space="preserve"> </w:t>
      </w:r>
      <w:r w:rsidR="00132850" w:rsidRPr="00145429">
        <w:t>as described in section 5.2</w:t>
      </w:r>
      <w:bookmarkEnd w:id="960"/>
      <w:bookmarkEnd w:id="961"/>
      <w:bookmarkEnd w:id="962"/>
      <w:bookmarkEnd w:id="963"/>
    </w:p>
    <w:p w14:paraId="56BBC1D9" w14:textId="65EBBF46" w:rsidR="00445BF0" w:rsidRDefault="00EA6903" w:rsidP="00F743BF">
      <w:pPr>
        <w:pStyle w:val="CaptionFullPage"/>
        <w:rPr>
          <w:rFonts w:cs="Arial"/>
        </w:rPr>
      </w:pPr>
      <w:r w:rsidRPr="00E93FC7">
        <w:rPr>
          <w:noProof/>
        </w:rPr>
        <w:drawing>
          <wp:anchor distT="0" distB="0" distL="114300" distR="114300" simplePos="0" relativeHeight="251658240" behindDoc="1" locked="0" layoutInCell="1" allowOverlap="1" wp14:anchorId="324780A6" wp14:editId="7E0497C0">
            <wp:simplePos x="0" y="0"/>
            <wp:positionH relativeFrom="column">
              <wp:posOffset>45085</wp:posOffset>
            </wp:positionH>
            <wp:positionV relativeFrom="paragraph">
              <wp:posOffset>594360</wp:posOffset>
            </wp:positionV>
            <wp:extent cx="5806440" cy="4166235"/>
            <wp:effectExtent l="0" t="0" r="3810" b="5715"/>
            <wp:wrapTight wrapText="bothSides">
              <wp:wrapPolygon edited="0">
                <wp:start x="0" y="0"/>
                <wp:lineTo x="0" y="21531"/>
                <wp:lineTo x="21543" y="21531"/>
                <wp:lineTo x="21543" y="0"/>
                <wp:lineTo x="0" y="0"/>
              </wp:wrapPolygon>
            </wp:wrapTight>
            <wp:docPr id="15030294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3029409" name=""/>
                    <pic:cNvPicPr/>
                  </pic:nvPicPr>
                  <pic:blipFill>
                    <a:blip r:embed="rId24">
                      <a:extLst>
                        <a:ext uri="{28A0092B-C50C-407E-A947-70E740481C1C}">
                          <a14:useLocalDpi xmlns:a14="http://schemas.microsoft.com/office/drawing/2010/main" val="0"/>
                        </a:ext>
                      </a:extLst>
                    </a:blip>
                    <a:stretch>
                      <a:fillRect/>
                    </a:stretch>
                  </pic:blipFill>
                  <pic:spPr>
                    <a:xfrm>
                      <a:off x="0" y="0"/>
                      <a:ext cx="5806440" cy="4166235"/>
                    </a:xfrm>
                    <a:prstGeom prst="rect">
                      <a:avLst/>
                    </a:prstGeom>
                  </pic:spPr>
                </pic:pic>
              </a:graphicData>
            </a:graphic>
            <wp14:sizeRelH relativeFrom="margin">
              <wp14:pctWidth>0</wp14:pctWidth>
            </wp14:sizeRelH>
            <wp14:sizeRelV relativeFrom="margin">
              <wp14:pctHeight>0</wp14:pctHeight>
            </wp14:sizeRelV>
          </wp:anchor>
        </w:drawing>
      </w:r>
      <w:r w:rsidR="20422DD2">
        <w:t>Figure</w:t>
      </w:r>
      <w:r w:rsidR="2738CFCA">
        <w:t> </w:t>
      </w:r>
      <w:r w:rsidR="00C552AB">
        <w:fldChar w:fldCharType="begin"/>
      </w:r>
      <w:r w:rsidR="00C552AB">
        <w:instrText>SEQ Figure \* ARABIC</w:instrText>
      </w:r>
      <w:r w:rsidR="00C552AB">
        <w:fldChar w:fldCharType="separate"/>
      </w:r>
      <w:r w:rsidR="003B0135">
        <w:rPr>
          <w:noProof/>
        </w:rPr>
        <w:t>1</w:t>
      </w:r>
      <w:r w:rsidR="00C552AB">
        <w:fldChar w:fldCharType="end"/>
      </w:r>
      <w:r w:rsidR="524BCB4D">
        <w:rPr>
          <w:lang w:val="en-US"/>
        </w:rPr>
        <w:t>.</w:t>
      </w:r>
      <w:r w:rsidR="0046099D">
        <w:rPr>
          <w:lang w:val="en-US"/>
        </w:rPr>
        <w:tab/>
      </w:r>
      <w:r w:rsidR="524BCB4D">
        <w:rPr>
          <w:lang w:val="en-US"/>
        </w:rPr>
        <w:t>Flow</w:t>
      </w:r>
      <w:r w:rsidR="4478D50D">
        <w:rPr>
          <w:rFonts w:eastAsia="MS Mincho"/>
          <w:lang w:val="en-US" w:eastAsia="ja-JP"/>
        </w:rPr>
        <w:t>chart</w:t>
      </w:r>
      <w:r w:rsidR="61C38715">
        <w:rPr>
          <w:lang w:val="en-US"/>
        </w:rPr>
        <w:t xml:space="preserve"> to calculate the </w:t>
      </w:r>
      <w:r w:rsidR="61C38715" w:rsidRPr="00841D39">
        <w:t>emissions from electricity consumption and/or generation</w:t>
      </w:r>
      <w:r w:rsidR="61C38715">
        <w:rPr>
          <w:lang w:val="en-US"/>
        </w:rPr>
        <w:t xml:space="preserve"> for energy sources falling under </w:t>
      </w:r>
      <w:r w:rsidR="6E36CBF4">
        <w:rPr>
          <w:lang w:val="en-US"/>
        </w:rPr>
        <w:t>s</w:t>
      </w:r>
      <w:r w:rsidR="61C38715">
        <w:rPr>
          <w:lang w:val="en-US"/>
        </w:rPr>
        <w:t>cenario</w:t>
      </w:r>
      <w:r w:rsidR="2738CFCA">
        <w:rPr>
          <w:lang w:val="en-US"/>
        </w:rPr>
        <w:t> </w:t>
      </w:r>
      <w:r w:rsidR="61C38715">
        <w:rPr>
          <w:lang w:val="en-US"/>
        </w:rPr>
        <w:t>A</w:t>
      </w:r>
    </w:p>
    <w:p w14:paraId="62BA54E7" w14:textId="6CD941C4" w:rsidR="00D0418B" w:rsidRDefault="00D0418B" w:rsidP="00D23082">
      <w:pPr>
        <w:keepNext/>
        <w:spacing w:before="240"/>
        <w:jc w:val="right"/>
      </w:pPr>
    </w:p>
    <w:p w14:paraId="38B2A180" w14:textId="43C61E8B" w:rsidR="00C72647" w:rsidRDefault="00F615B0" w:rsidP="00F743BF">
      <w:pPr>
        <w:pStyle w:val="CaptionFullPage"/>
        <w:rPr>
          <w:lang w:val="en-US"/>
        </w:rPr>
      </w:pPr>
      <w:r w:rsidRPr="0091707A">
        <w:rPr>
          <w:noProof/>
          <w:lang w:val="en-US"/>
        </w:rPr>
        <w:drawing>
          <wp:anchor distT="0" distB="0" distL="114300" distR="114300" simplePos="0" relativeHeight="251658241" behindDoc="1" locked="0" layoutInCell="1" allowOverlap="1" wp14:anchorId="0FA7E2C9" wp14:editId="0F67C627">
            <wp:simplePos x="0" y="0"/>
            <wp:positionH relativeFrom="margin">
              <wp:posOffset>-4445</wp:posOffset>
            </wp:positionH>
            <wp:positionV relativeFrom="paragraph">
              <wp:posOffset>515620</wp:posOffset>
            </wp:positionV>
            <wp:extent cx="5849620" cy="3733800"/>
            <wp:effectExtent l="0" t="0" r="0" b="0"/>
            <wp:wrapTight wrapText="bothSides">
              <wp:wrapPolygon edited="0">
                <wp:start x="0" y="0"/>
                <wp:lineTo x="0" y="21490"/>
                <wp:lineTo x="21525" y="21490"/>
                <wp:lineTo x="21525" y="0"/>
                <wp:lineTo x="0" y="0"/>
              </wp:wrapPolygon>
            </wp:wrapTight>
            <wp:docPr id="4586370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637063" name=""/>
                    <pic:cNvPicPr/>
                  </pic:nvPicPr>
                  <pic:blipFill>
                    <a:blip r:embed="rId25">
                      <a:extLst>
                        <a:ext uri="{28A0092B-C50C-407E-A947-70E740481C1C}">
                          <a14:useLocalDpi xmlns:a14="http://schemas.microsoft.com/office/drawing/2010/main" val="0"/>
                        </a:ext>
                      </a:extLst>
                    </a:blip>
                    <a:stretch>
                      <a:fillRect/>
                    </a:stretch>
                  </pic:blipFill>
                  <pic:spPr>
                    <a:xfrm>
                      <a:off x="0" y="0"/>
                      <a:ext cx="5849620" cy="3733800"/>
                    </a:xfrm>
                    <a:prstGeom prst="rect">
                      <a:avLst/>
                    </a:prstGeom>
                  </pic:spPr>
                </pic:pic>
              </a:graphicData>
            </a:graphic>
            <wp14:sizeRelH relativeFrom="margin">
              <wp14:pctWidth>0</wp14:pctWidth>
            </wp14:sizeRelH>
            <wp14:sizeRelV relativeFrom="margin">
              <wp14:pctHeight>0</wp14:pctHeight>
            </wp14:sizeRelV>
          </wp:anchor>
        </w:drawing>
      </w:r>
      <w:r w:rsidR="61C38715" w:rsidRPr="0091707A">
        <w:rPr>
          <w:lang w:val="en-US"/>
        </w:rPr>
        <w:t>Figure</w:t>
      </w:r>
      <w:r w:rsidR="2738CFCA" w:rsidRPr="0091707A">
        <w:rPr>
          <w:lang w:val="en-US"/>
        </w:rPr>
        <w:t> </w:t>
      </w:r>
      <w:r w:rsidR="00D0418B" w:rsidRPr="0091707A">
        <w:rPr>
          <w:lang w:val="en-US"/>
        </w:rPr>
        <w:fldChar w:fldCharType="begin"/>
      </w:r>
      <w:r w:rsidR="00D0418B" w:rsidRPr="0091707A">
        <w:rPr>
          <w:lang w:val="en-US"/>
        </w:rPr>
        <w:instrText>SEQ Figure \* ARABIC</w:instrText>
      </w:r>
      <w:r w:rsidR="00D0418B" w:rsidRPr="0091707A">
        <w:rPr>
          <w:lang w:val="en-US"/>
        </w:rPr>
        <w:fldChar w:fldCharType="separate"/>
      </w:r>
      <w:r w:rsidR="003B0135">
        <w:rPr>
          <w:noProof/>
          <w:lang w:val="en-US"/>
        </w:rPr>
        <w:t>2</w:t>
      </w:r>
      <w:r w:rsidR="00D0418B" w:rsidRPr="0091707A">
        <w:rPr>
          <w:lang w:val="en-US"/>
        </w:rPr>
        <w:fldChar w:fldCharType="end"/>
      </w:r>
      <w:r w:rsidR="61C38715">
        <w:rPr>
          <w:lang w:val="en-US"/>
        </w:rPr>
        <w:t>.</w:t>
      </w:r>
      <w:r w:rsidR="00B55DED">
        <w:rPr>
          <w:lang w:val="en-US"/>
        </w:rPr>
        <w:tab/>
      </w:r>
      <w:r w:rsidR="61C38715" w:rsidRPr="00CA1B2B">
        <w:rPr>
          <w:lang w:val="en-US"/>
        </w:rPr>
        <w:t>Flow</w:t>
      </w:r>
      <w:r w:rsidR="4478D50D" w:rsidRPr="55FC4291">
        <w:rPr>
          <w:lang w:val="en-US"/>
        </w:rPr>
        <w:t>chart</w:t>
      </w:r>
      <w:r w:rsidR="61C38715" w:rsidRPr="00CA1B2B">
        <w:rPr>
          <w:lang w:val="en-US"/>
        </w:rPr>
        <w:t xml:space="preserve"> to calculate the emissions from electricity consumption and/or generation for energy sources falling under </w:t>
      </w:r>
      <w:r w:rsidR="6E36CBF4">
        <w:rPr>
          <w:lang w:val="en-US"/>
        </w:rPr>
        <w:t>s</w:t>
      </w:r>
      <w:r w:rsidR="61C38715" w:rsidRPr="00CA1B2B">
        <w:rPr>
          <w:lang w:val="en-US"/>
        </w:rPr>
        <w:t>cenario</w:t>
      </w:r>
      <w:r w:rsidR="2738CFCA">
        <w:rPr>
          <w:lang w:val="en-US"/>
        </w:rPr>
        <w:t> </w:t>
      </w:r>
      <w:r w:rsidR="61C38715">
        <w:rPr>
          <w:lang w:val="en-US"/>
        </w:rPr>
        <w:t>B</w:t>
      </w:r>
    </w:p>
    <w:p w14:paraId="5B3276E9" w14:textId="77777777" w:rsidR="0046439B" w:rsidRDefault="0046439B" w:rsidP="00F743BF">
      <w:pPr>
        <w:pStyle w:val="CaptionFullPage"/>
        <w:rPr>
          <w:lang w:val="en-US"/>
        </w:rPr>
      </w:pPr>
    </w:p>
    <w:p w14:paraId="089365B8" w14:textId="77777777" w:rsidR="00B57723" w:rsidRDefault="00B57723" w:rsidP="00B57723">
      <w:pPr>
        <w:pStyle w:val="CaptionFullPage"/>
        <w:rPr>
          <w:lang w:val="en-US"/>
        </w:rPr>
        <w:sectPr w:rsidR="00B57723" w:rsidSect="00964E72">
          <w:headerReference w:type="default" r:id="rId26"/>
          <w:footnotePr>
            <w:numRestart w:val="eachSect"/>
          </w:footnotePr>
          <w:pgSz w:w="11907" w:h="16840" w:code="9"/>
          <w:pgMar w:top="2268" w:right="1276" w:bottom="1418" w:left="1418" w:header="851" w:footer="567" w:gutter="0"/>
          <w:cols w:space="720"/>
          <w:formProt w:val="0"/>
          <w:docGrid w:linePitch="299"/>
        </w:sectPr>
      </w:pPr>
    </w:p>
    <w:p w14:paraId="58E67B60" w14:textId="060FCE14" w:rsidR="00B57723" w:rsidRPr="00B57723" w:rsidRDefault="00B57723" w:rsidP="00B57723">
      <w:pPr>
        <w:pStyle w:val="CaptionFullPage"/>
      </w:pPr>
      <w:r w:rsidRPr="0091707A">
        <w:rPr>
          <w:lang w:val="en-US"/>
        </w:rPr>
        <w:t>Figure </w:t>
      </w:r>
      <w:r w:rsidRPr="0091707A">
        <w:rPr>
          <w:lang w:val="en-US"/>
        </w:rPr>
        <w:fldChar w:fldCharType="begin"/>
      </w:r>
      <w:r w:rsidRPr="0091707A">
        <w:rPr>
          <w:lang w:val="en-US"/>
        </w:rPr>
        <w:instrText>SEQ Figure \</w:instrText>
      </w:r>
      <w:r>
        <w:rPr>
          <w:lang w:val="en-US"/>
        </w:rPr>
        <w:instrText>r3\</w:instrText>
      </w:r>
      <w:r w:rsidRPr="0091707A">
        <w:rPr>
          <w:lang w:val="en-US"/>
        </w:rPr>
        <w:instrText>* ARABIC</w:instrText>
      </w:r>
      <w:r w:rsidRPr="0091707A">
        <w:rPr>
          <w:lang w:val="en-US"/>
        </w:rPr>
        <w:fldChar w:fldCharType="separate"/>
      </w:r>
      <w:r w:rsidR="003B0135">
        <w:rPr>
          <w:noProof/>
          <w:lang w:val="en-US"/>
        </w:rPr>
        <w:t>3</w:t>
      </w:r>
      <w:r w:rsidRPr="0091707A">
        <w:rPr>
          <w:lang w:val="en-US"/>
        </w:rPr>
        <w:fldChar w:fldCharType="end"/>
      </w:r>
      <w:r>
        <w:rPr>
          <w:lang w:val="en-US"/>
        </w:rPr>
        <w:t>.</w:t>
      </w:r>
      <w:r>
        <w:rPr>
          <w:lang w:val="en-US"/>
        </w:rPr>
        <w:tab/>
      </w:r>
      <w:r w:rsidR="45F65A18" w:rsidRPr="00CA1B2B">
        <w:rPr>
          <w:lang w:val="en-US"/>
        </w:rPr>
        <w:t>Flow</w:t>
      </w:r>
      <w:r w:rsidR="45F65A18" w:rsidRPr="55FC4291">
        <w:rPr>
          <w:lang w:val="en-US"/>
        </w:rPr>
        <w:t>chart</w:t>
      </w:r>
      <w:r w:rsidR="45F65A18" w:rsidRPr="00CA1B2B">
        <w:rPr>
          <w:lang w:val="en-US"/>
        </w:rPr>
        <w:t xml:space="preserve"> to calculate the emissions from electricity consumption and/or generation for energy sources falling under </w:t>
      </w:r>
      <w:r w:rsidR="45F65A18">
        <w:rPr>
          <w:lang w:val="en-US"/>
        </w:rPr>
        <w:t>s</w:t>
      </w:r>
      <w:r w:rsidR="45F65A18" w:rsidRPr="00CA1B2B">
        <w:rPr>
          <w:lang w:val="en-US"/>
        </w:rPr>
        <w:t>cenario</w:t>
      </w:r>
      <w:r w:rsidR="45F65A18">
        <w:rPr>
          <w:lang w:val="en-US"/>
        </w:rPr>
        <w:t> C</w:t>
      </w:r>
    </w:p>
    <w:p w14:paraId="73EC1F10" w14:textId="173D0955" w:rsidR="0091707A" w:rsidRDefault="17A18D5A" w:rsidP="00F743BF">
      <w:pPr>
        <w:pStyle w:val="CaptionFullPage"/>
        <w:jc w:val="left"/>
        <w:rPr>
          <w:b w:val="0"/>
          <w:lang w:val="en-US"/>
        </w:rPr>
      </w:pPr>
      <w:r>
        <w:rPr>
          <w:noProof/>
        </w:rPr>
        <w:drawing>
          <wp:inline distT="0" distB="0" distL="0" distR="0" wp14:anchorId="4CEC4CF4" wp14:editId="75CBEAFB">
            <wp:extent cx="6086498" cy="4527550"/>
            <wp:effectExtent l="0" t="0" r="9525"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6113987" cy="4547998"/>
                    </a:xfrm>
                    <a:prstGeom prst="rect">
                      <a:avLst/>
                    </a:prstGeom>
                  </pic:spPr>
                </pic:pic>
              </a:graphicData>
            </a:graphic>
          </wp:inline>
        </w:drawing>
      </w:r>
    </w:p>
    <w:p w14:paraId="3B21C9D4" w14:textId="77777777" w:rsidR="00B57723" w:rsidRDefault="00B57723" w:rsidP="00F743BF">
      <w:pPr>
        <w:pStyle w:val="CaptionFullPage"/>
        <w:jc w:val="left"/>
        <w:sectPr w:rsidR="00B57723" w:rsidSect="00964E72">
          <w:footnotePr>
            <w:numRestart w:val="eachSect"/>
          </w:footnotePr>
          <w:pgSz w:w="11907" w:h="16840" w:code="9"/>
          <w:pgMar w:top="2268" w:right="1276" w:bottom="1418" w:left="1418" w:header="851" w:footer="567" w:gutter="0"/>
          <w:cols w:space="720"/>
          <w:formProt w:val="0"/>
          <w:docGrid w:linePitch="299"/>
        </w:sectPr>
      </w:pPr>
      <w:bookmarkStart w:id="964" w:name="_Toc221097981"/>
      <w:bookmarkStart w:id="965" w:name="_Toc221116277"/>
      <w:bookmarkStart w:id="966" w:name="_Toc221117293"/>
      <w:bookmarkStart w:id="967" w:name="_Toc222132131"/>
      <w:bookmarkStart w:id="968" w:name="_Toc222494932"/>
      <w:bookmarkStart w:id="969" w:name="_Toc222512448"/>
      <w:bookmarkStart w:id="970" w:name="_Toc222741768"/>
      <w:bookmarkStart w:id="971" w:name="_Toc234853849"/>
      <w:bookmarkStart w:id="972" w:name="_Toc221096429"/>
    </w:p>
    <w:p w14:paraId="31B43AA8" w14:textId="3A7D1A18" w:rsidR="00EC2B1A" w:rsidRDefault="00FA65C4">
      <w:pPr>
        <w:pStyle w:val="SDMAppTitle"/>
      </w:pPr>
      <w:bookmarkStart w:id="973" w:name="_Toc235002287"/>
      <w:bookmarkStart w:id="974" w:name="_Toc235003446"/>
      <w:bookmarkStart w:id="975" w:name="_Toc236154243"/>
      <w:bookmarkStart w:id="976" w:name="_Toc236216620"/>
      <w:bookmarkStart w:id="977" w:name="_Toc240545108"/>
      <w:bookmarkStart w:id="978" w:name="_Toc240545324"/>
      <w:bookmarkStart w:id="979" w:name="_Toc240576906"/>
      <w:r>
        <w:rPr>
          <w:lang w:val="en-US"/>
        </w:rPr>
        <w:t>Values for the parameters F</w:t>
      </w:r>
      <w:r w:rsidRPr="00667CBA">
        <w:rPr>
          <w:vertAlign w:val="subscript"/>
          <w:lang w:val="en-US"/>
        </w:rPr>
        <w:t>OM,simple</w:t>
      </w:r>
      <w:r>
        <w:rPr>
          <w:lang w:val="en-US"/>
        </w:rPr>
        <w:t>, F</w:t>
      </w:r>
      <w:r w:rsidRPr="00667CBA">
        <w:rPr>
          <w:vertAlign w:val="subscript"/>
          <w:lang w:val="en-US"/>
        </w:rPr>
        <w:t>OM,av</w:t>
      </w:r>
      <w:r w:rsidR="008E19B0">
        <w:rPr>
          <w:vertAlign w:val="subscript"/>
          <w:lang w:val="en-US"/>
        </w:rPr>
        <w:t>g</w:t>
      </w:r>
      <w:r>
        <w:rPr>
          <w:lang w:val="en-US"/>
        </w:rPr>
        <w:t xml:space="preserve"> and F</w:t>
      </w:r>
      <w:r w:rsidRPr="00667CBA">
        <w:rPr>
          <w:vertAlign w:val="subscript"/>
          <w:lang w:val="en-US"/>
        </w:rPr>
        <w:t>BM</w:t>
      </w:r>
      <w:bookmarkEnd w:id="964"/>
      <w:bookmarkEnd w:id="965"/>
      <w:bookmarkEnd w:id="966"/>
      <w:bookmarkEnd w:id="967"/>
      <w:bookmarkEnd w:id="968"/>
      <w:bookmarkEnd w:id="969"/>
      <w:bookmarkEnd w:id="970"/>
      <w:bookmarkEnd w:id="971"/>
      <w:bookmarkEnd w:id="973"/>
      <w:bookmarkEnd w:id="974"/>
      <w:bookmarkEnd w:id="975"/>
      <w:bookmarkEnd w:id="976"/>
      <w:bookmarkEnd w:id="977"/>
      <w:bookmarkEnd w:id="978"/>
      <w:bookmarkEnd w:id="979"/>
    </w:p>
    <w:p w14:paraId="2E5E476F" w14:textId="431ACD8B" w:rsidR="00F92791" w:rsidRDefault="00EC2B1A" w:rsidP="00F92791">
      <w:pPr>
        <w:pStyle w:val="SDMPara"/>
        <w:numPr>
          <w:ilvl w:val="0"/>
          <w:numId w:val="177"/>
        </w:numPr>
      </w:pPr>
      <w:r w:rsidRPr="006C14E8">
        <w:t>Table</w:t>
      </w:r>
      <w:r w:rsidR="00C704CD" w:rsidRPr="006C14E8">
        <w:t> </w:t>
      </w:r>
      <w:r w:rsidRPr="006C14E8">
        <w:t>1</w:t>
      </w:r>
      <w:r>
        <w:t xml:space="preserve"> sets out values to be used for the parameters </w:t>
      </w:r>
      <w:r w:rsidRPr="00B337F3">
        <w:rPr>
          <w:i/>
          <w:iCs/>
        </w:rPr>
        <w:t>F</w:t>
      </w:r>
      <w:r w:rsidRPr="00B337F3">
        <w:rPr>
          <w:i/>
          <w:iCs/>
          <w:vertAlign w:val="subscript"/>
        </w:rPr>
        <w:t>OM,simple</w:t>
      </w:r>
      <w:r>
        <w:t xml:space="preserve">, </w:t>
      </w:r>
      <w:r w:rsidRPr="00B337F3">
        <w:rPr>
          <w:i/>
          <w:iCs/>
        </w:rPr>
        <w:t>F</w:t>
      </w:r>
      <w:r w:rsidRPr="00B337F3">
        <w:rPr>
          <w:i/>
          <w:iCs/>
          <w:vertAlign w:val="subscript"/>
        </w:rPr>
        <w:t>OM,av</w:t>
      </w:r>
      <w:r w:rsidR="008E19B0" w:rsidRPr="00B337F3">
        <w:rPr>
          <w:i/>
          <w:iCs/>
          <w:vertAlign w:val="subscript"/>
        </w:rPr>
        <w:t>g</w:t>
      </w:r>
      <w:r w:rsidRPr="00B337F3">
        <w:rPr>
          <w:vertAlign w:val="subscript"/>
        </w:rPr>
        <w:t xml:space="preserve"> </w:t>
      </w:r>
      <w:r>
        <w:t xml:space="preserve">and </w:t>
      </w:r>
      <w:r w:rsidRPr="00B337F3">
        <w:rPr>
          <w:i/>
          <w:iCs/>
        </w:rPr>
        <w:t>F</w:t>
      </w:r>
      <w:r w:rsidRPr="00B337F3">
        <w:rPr>
          <w:i/>
          <w:iCs/>
          <w:vertAlign w:val="subscript"/>
        </w:rPr>
        <w:t>BM</w:t>
      </w:r>
      <w:r>
        <w:t xml:space="preserve">. In accordance with </w:t>
      </w:r>
      <w:r w:rsidRPr="00632BB8">
        <w:t xml:space="preserve">paragraphs </w:t>
      </w:r>
      <w:r w:rsidR="00A85CF6" w:rsidRPr="00632BB8">
        <w:fldChar w:fldCharType="begin"/>
      </w:r>
      <w:r w:rsidR="00A85CF6" w:rsidRPr="00632BB8">
        <w:instrText xml:space="preserve"> REF _Ref220943627 \r \h </w:instrText>
      </w:r>
      <w:r w:rsidR="00632BB8">
        <w:instrText xml:space="preserve"> \* MERGEFORMAT </w:instrText>
      </w:r>
      <w:r w:rsidR="00A85CF6" w:rsidRPr="00632BB8">
        <w:fldChar w:fldCharType="separate"/>
      </w:r>
      <w:r w:rsidR="003B0135">
        <w:rPr>
          <w:cs/>
        </w:rPr>
        <w:t>‎</w:t>
      </w:r>
      <w:r w:rsidR="003B0135">
        <w:t>83</w:t>
      </w:r>
      <w:r w:rsidR="00A85CF6" w:rsidRPr="00632BB8">
        <w:fldChar w:fldCharType="end"/>
      </w:r>
      <w:r w:rsidRPr="00632BB8">
        <w:rPr>
          <w:cs/>
        </w:rPr>
        <w:t>‎</w:t>
      </w:r>
      <w:r w:rsidRPr="00632BB8">
        <w:t xml:space="preserve"> and </w:t>
      </w:r>
      <w:r w:rsidR="00A85CF6" w:rsidRPr="00632BB8">
        <w:fldChar w:fldCharType="begin"/>
      </w:r>
      <w:r w:rsidR="00A85CF6" w:rsidRPr="00632BB8">
        <w:instrText xml:space="preserve"> REF _Ref221039187 \r \h </w:instrText>
      </w:r>
      <w:r w:rsidR="00632BB8">
        <w:instrText xml:space="preserve"> \* MERGEFORMAT </w:instrText>
      </w:r>
      <w:r w:rsidR="00A85CF6" w:rsidRPr="00632BB8">
        <w:fldChar w:fldCharType="separate"/>
      </w:r>
      <w:r w:rsidR="003B0135">
        <w:rPr>
          <w:cs/>
        </w:rPr>
        <w:t>‎</w:t>
      </w:r>
      <w:r w:rsidR="003B0135">
        <w:t>97</w:t>
      </w:r>
      <w:r w:rsidR="00A85CF6" w:rsidRPr="00632BB8">
        <w:fldChar w:fldCharType="end"/>
      </w:r>
      <w:r w:rsidRPr="00632BB8">
        <w:rPr>
          <w:cs/>
        </w:rPr>
        <w:t>‎</w:t>
      </w:r>
      <w:r>
        <w:t xml:space="preserve"> of the main part of the methodological tool, activity participants shall use either the global value indicated in the first line or the relevant country-specific value.</w:t>
      </w:r>
      <w:r>
        <w:rPr>
          <w:rStyle w:val="FootnoteReference"/>
        </w:rPr>
        <w:footnoteReference w:id="36"/>
      </w:r>
    </w:p>
    <w:p w14:paraId="49804086" w14:textId="5FED3E2D" w:rsidR="003C531F" w:rsidRPr="003C531F" w:rsidRDefault="317C72D3" w:rsidP="003C531F">
      <w:pPr>
        <w:pStyle w:val="SDMPara"/>
        <w:numPr>
          <w:ilvl w:val="0"/>
          <w:numId w:val="177"/>
        </w:numPr>
      </w:pPr>
      <w:r>
        <w:t>The values in Table</w:t>
      </w:r>
      <w:r w:rsidR="3050F6D8">
        <w:t> </w:t>
      </w:r>
      <w:r>
        <w:t>1 were computed based on a regression analysis of how the carbon dioxide intensity of electricity generation changed over the most recent ten-year period for which data is available (2015 to 2024). All countries for which data was available were considered in the analysis. An uncertainty analysis was conducted, and the lower confidence value was used here to account for uncertainty. The uncertainty was estimated using the standard error of the slope derived from the linear regression analysis. A 95 per cent confidence interval was calculated for the regression coefficient, and the lower bound of this interval was applied to ensure a conservative estimate. Data provided by Ember was used for this purpose.</w:t>
      </w:r>
      <w:r w:rsidR="00EC2B1A">
        <w:rPr>
          <w:rStyle w:val="FootnoteReference"/>
        </w:rPr>
        <w:footnoteReference w:id="37"/>
      </w:r>
      <w:r w:rsidR="00611399">
        <w:t xml:space="preserve"> </w:t>
      </w:r>
      <w:r w:rsidR="5B83A229" w:rsidRPr="00F92791">
        <w:rPr>
          <w:rFonts w:eastAsia="MS Mincho"/>
          <w:lang w:eastAsia="ja-JP"/>
        </w:rPr>
        <w:t>Note that p</w:t>
      </w:r>
      <w:r w:rsidR="7B30129E" w:rsidRPr="00F92791">
        <w:rPr>
          <w:rFonts w:eastAsia="MS Mincho"/>
          <w:lang w:eastAsia="ja-JP"/>
        </w:rPr>
        <w:t>aragraph</w:t>
      </w:r>
      <w:r w:rsidR="082B35A6" w:rsidRPr="00F92791">
        <w:rPr>
          <w:rFonts w:eastAsia="MS Mincho"/>
          <w:lang w:eastAsia="ja-JP"/>
        </w:rPr>
        <w:t> </w:t>
      </w:r>
      <w:r w:rsidR="00A85CF6" w:rsidRPr="00F92791">
        <w:rPr>
          <w:rFonts w:eastAsia="MS Mincho"/>
          <w:lang w:eastAsia="ja-JP"/>
        </w:rPr>
        <w:fldChar w:fldCharType="begin"/>
      </w:r>
      <w:r w:rsidR="00A85CF6" w:rsidRPr="00F92791">
        <w:rPr>
          <w:rFonts w:eastAsia="MS Mincho"/>
          <w:lang w:eastAsia="ja-JP"/>
        </w:rPr>
        <w:instrText xml:space="preserve"> REF _Ref220943627 \r \h </w:instrText>
      </w:r>
      <w:r w:rsidR="00632BB8" w:rsidRPr="00F92791">
        <w:rPr>
          <w:rFonts w:eastAsia="MS Mincho"/>
          <w:lang w:eastAsia="ja-JP"/>
        </w:rPr>
        <w:instrText xml:space="preserve"> \* MERGEFORMAT </w:instrText>
      </w:r>
      <w:r w:rsidR="00A85CF6" w:rsidRPr="00F92791">
        <w:rPr>
          <w:rFonts w:eastAsia="MS Mincho"/>
          <w:lang w:eastAsia="ja-JP"/>
        </w:rPr>
      </w:r>
      <w:r w:rsidR="00A85CF6" w:rsidRPr="00F92791">
        <w:rPr>
          <w:rFonts w:eastAsia="MS Mincho"/>
          <w:lang w:eastAsia="ja-JP"/>
        </w:rPr>
        <w:fldChar w:fldCharType="separate"/>
      </w:r>
      <w:r w:rsidR="003B0135">
        <w:rPr>
          <w:rFonts w:eastAsia="MS Mincho"/>
          <w:cs/>
          <w:lang w:eastAsia="ja-JP"/>
        </w:rPr>
        <w:t>‎</w:t>
      </w:r>
      <w:r w:rsidR="003B0135">
        <w:rPr>
          <w:rFonts w:eastAsia="MS Mincho"/>
          <w:lang w:eastAsia="ja-JP"/>
        </w:rPr>
        <w:t>83</w:t>
      </w:r>
      <w:r w:rsidR="00A85CF6" w:rsidRPr="00F92791">
        <w:rPr>
          <w:rFonts w:eastAsia="MS Mincho"/>
          <w:lang w:eastAsia="ja-JP"/>
        </w:rPr>
        <w:fldChar w:fldCharType="end"/>
      </w:r>
      <w:r w:rsidR="7B30129E" w:rsidRPr="00F92791">
        <w:rPr>
          <w:rFonts w:eastAsia="MS Mincho"/>
          <w:lang w:eastAsia="ja-JP"/>
        </w:rPr>
        <w:t xml:space="preserve"> of the tool specifies that activity participants shall either use the global value or a respective country specific value. </w:t>
      </w:r>
      <w:r>
        <w:t xml:space="preserve">For some countries, sufficient data </w:t>
      </w:r>
      <w:r w:rsidR="35069B17" w:rsidRPr="00F92791">
        <w:rPr>
          <w:rFonts w:eastAsia="MS Mincho"/>
          <w:lang w:eastAsia="ja-JP"/>
        </w:rPr>
        <w:t>was</w:t>
      </w:r>
      <w:r w:rsidR="35069B17">
        <w:t xml:space="preserve"> </w:t>
      </w:r>
      <w:r>
        <w:t>not available</w:t>
      </w:r>
      <w:r w:rsidR="35069B17" w:rsidRPr="00F92791">
        <w:rPr>
          <w:rFonts w:eastAsia="MS Mincho"/>
          <w:lang w:eastAsia="ja-JP"/>
        </w:rPr>
        <w:t xml:space="preserve"> to compute a value</w:t>
      </w:r>
      <w:r>
        <w:t xml:space="preserve">. In these instances, </w:t>
      </w:r>
      <w:r w:rsidR="00D82A2B" w:rsidRPr="00F92791">
        <w:rPr>
          <w:color w:val="000000" w:themeColor="text1"/>
        </w:rPr>
        <w:t>t</w:t>
      </w:r>
      <w:r w:rsidR="089BDE96" w:rsidRPr="00F92791">
        <w:rPr>
          <w:color w:val="000000" w:themeColor="text1"/>
        </w:rPr>
        <w:t xml:space="preserve">able 1 therefore provides both global and country-specific values for </w:t>
      </w:r>
      <w:r w:rsidR="089BDE96" w:rsidRPr="00F92791">
        <w:rPr>
          <w:i/>
          <w:iCs/>
          <w:color w:val="000000" w:themeColor="text1"/>
        </w:rPr>
        <w:t>F</w:t>
      </w:r>
      <w:r w:rsidR="00402F3C" w:rsidRPr="00F92791">
        <w:rPr>
          <w:i/>
          <w:iCs/>
          <w:color w:val="000000" w:themeColor="text1"/>
          <w:vertAlign w:val="subscript"/>
        </w:rPr>
        <w:t>OM,simple</w:t>
      </w:r>
      <w:r w:rsidR="089BDE96" w:rsidRPr="00F92791">
        <w:rPr>
          <w:color w:val="000000" w:themeColor="text1"/>
        </w:rPr>
        <w:t xml:space="preserve">, </w:t>
      </w:r>
      <w:r w:rsidR="089BDE96" w:rsidRPr="00F92791">
        <w:rPr>
          <w:i/>
          <w:iCs/>
          <w:color w:val="000000" w:themeColor="text1"/>
        </w:rPr>
        <w:t>F</w:t>
      </w:r>
      <w:r w:rsidR="00402F3C" w:rsidRPr="00F92791">
        <w:rPr>
          <w:i/>
          <w:iCs/>
          <w:color w:val="000000" w:themeColor="text1"/>
          <w:vertAlign w:val="subscript"/>
        </w:rPr>
        <w:t>OM,avg</w:t>
      </w:r>
      <w:r w:rsidR="089BDE96" w:rsidRPr="00F92791">
        <w:rPr>
          <w:color w:val="000000" w:themeColor="text1"/>
        </w:rPr>
        <w:t xml:space="preserve"> and </w:t>
      </w:r>
      <w:r w:rsidR="089BDE96" w:rsidRPr="00F92791">
        <w:rPr>
          <w:i/>
          <w:iCs/>
          <w:color w:val="000000" w:themeColor="text1"/>
        </w:rPr>
        <w:t>F</w:t>
      </w:r>
      <w:r w:rsidR="00402F3C" w:rsidRPr="00F92791">
        <w:rPr>
          <w:i/>
          <w:iCs/>
          <w:color w:val="000000" w:themeColor="text1"/>
          <w:vertAlign w:val="subscript"/>
        </w:rPr>
        <w:t>BM</w:t>
      </w:r>
      <w:r w:rsidR="089BDE96" w:rsidRPr="00F92791">
        <w:rPr>
          <w:color w:val="000000" w:themeColor="text1"/>
        </w:rPr>
        <w:t>, and identifies where the global value applies because no country-specific value could be determined.</w:t>
      </w:r>
      <w:bookmarkStart w:id="980" w:name="_Ref220943495"/>
      <w:bookmarkStart w:id="981" w:name="_Ref220950730"/>
      <w:bookmarkEnd w:id="972"/>
    </w:p>
    <w:p w14:paraId="7A7BB0FB" w14:textId="1485E0D6" w:rsidR="00F662D0" w:rsidRPr="00C178B6" w:rsidRDefault="00F662D0" w:rsidP="00C178B6">
      <w:pPr>
        <w:pStyle w:val="Caption"/>
      </w:pPr>
      <w:r>
        <w:t>Table </w:t>
      </w:r>
      <w:bookmarkEnd w:id="980"/>
      <w:r w:rsidR="003F42FF">
        <w:fldChar w:fldCharType="begin"/>
      </w:r>
      <w:r w:rsidR="003F42FF">
        <w:instrText xml:space="preserve"> SEQ Table \r1 </w:instrText>
      </w:r>
      <w:r w:rsidR="003F42FF">
        <w:fldChar w:fldCharType="separate"/>
      </w:r>
      <w:r w:rsidR="003B0135">
        <w:rPr>
          <w:noProof/>
        </w:rPr>
        <w:t>1</w:t>
      </w:r>
      <w:r w:rsidR="003F42FF">
        <w:fldChar w:fldCharType="end"/>
      </w:r>
      <w:bookmarkEnd w:id="981"/>
      <w:r>
        <w:rPr>
          <w:noProof/>
        </w:rPr>
        <w:t>.</w:t>
      </w:r>
      <w:r>
        <w:tab/>
      </w:r>
      <w:r w:rsidR="00C6125A">
        <w:t xml:space="preserve">Global and country-level values for </w:t>
      </w:r>
      <w:r w:rsidR="00C6125A" w:rsidRPr="0097281D">
        <w:rPr>
          <w:i/>
          <w:iCs/>
        </w:rPr>
        <w:t>F</w:t>
      </w:r>
      <w:r w:rsidR="00C6125A" w:rsidRPr="0097281D">
        <w:rPr>
          <w:i/>
          <w:iCs/>
          <w:vertAlign w:val="subscript"/>
        </w:rPr>
        <w:t>OM</w:t>
      </w:r>
      <w:r w:rsidR="682E2AA4" w:rsidRPr="0097281D">
        <w:rPr>
          <w:i/>
          <w:iCs/>
          <w:vertAlign w:val="subscript"/>
        </w:rPr>
        <w:t>,</w:t>
      </w:r>
      <w:r w:rsidR="00C6125A" w:rsidRPr="0097281D">
        <w:rPr>
          <w:i/>
          <w:iCs/>
          <w:vertAlign w:val="subscript"/>
        </w:rPr>
        <w:t>simple</w:t>
      </w:r>
      <w:r w:rsidR="00C6125A">
        <w:t xml:space="preserve">, </w:t>
      </w:r>
      <w:r w:rsidR="00C6125A" w:rsidRPr="0097281D">
        <w:rPr>
          <w:i/>
          <w:iCs/>
        </w:rPr>
        <w:t>F</w:t>
      </w:r>
      <w:r w:rsidR="00C6125A" w:rsidRPr="0097281D">
        <w:rPr>
          <w:i/>
          <w:iCs/>
          <w:vertAlign w:val="subscript"/>
        </w:rPr>
        <w:t>OM</w:t>
      </w:r>
      <w:r w:rsidR="321E05BC" w:rsidRPr="0097281D">
        <w:rPr>
          <w:i/>
          <w:iCs/>
          <w:vertAlign w:val="subscript"/>
        </w:rPr>
        <w:t>,</w:t>
      </w:r>
      <w:r w:rsidR="00C6125A" w:rsidRPr="0097281D">
        <w:rPr>
          <w:i/>
          <w:iCs/>
          <w:vertAlign w:val="subscript"/>
        </w:rPr>
        <w:t>av</w:t>
      </w:r>
      <w:r w:rsidR="008E19B0">
        <w:rPr>
          <w:i/>
          <w:iCs/>
          <w:vertAlign w:val="subscript"/>
        </w:rPr>
        <w:t>g</w:t>
      </w:r>
      <w:r w:rsidR="00C6125A">
        <w:t xml:space="preserve"> and </w:t>
      </w:r>
      <w:r w:rsidR="00C6125A" w:rsidRPr="0097281D">
        <w:rPr>
          <w:i/>
          <w:iCs/>
        </w:rPr>
        <w:t>F</w:t>
      </w:r>
      <w:r w:rsidR="00C6125A" w:rsidRPr="0097281D">
        <w:rPr>
          <w:i/>
          <w:iCs/>
          <w:vertAlign w:val="subscript"/>
        </w:rPr>
        <w:t>BM</w:t>
      </w:r>
      <w:r w:rsidR="00FE7104">
        <w:rPr>
          <w:rStyle w:val="FootnoteReference"/>
        </w:rPr>
        <w:footnoteReference w:id="38"/>
      </w:r>
      <w:r w:rsidR="00030CE7" w:rsidRPr="00030CE7">
        <w:t xml:space="preserve"> </w:t>
      </w:r>
      <w:r w:rsidR="00030CE7">
        <w:t>as a percentage</w:t>
      </w:r>
    </w:p>
    <w:tbl>
      <w:tblPr>
        <w:tblStyle w:val="SDMTable"/>
        <w:tblW w:w="8387" w:type="dxa"/>
        <w:tblLook w:val="04A0" w:firstRow="1" w:lastRow="0" w:firstColumn="1" w:lastColumn="0" w:noHBand="0" w:noVBand="1"/>
      </w:tblPr>
      <w:tblGrid>
        <w:gridCol w:w="3285"/>
        <w:gridCol w:w="1700"/>
        <w:gridCol w:w="1701"/>
        <w:gridCol w:w="1701"/>
      </w:tblGrid>
      <w:tr w:rsidR="00F662D0" w:rsidRPr="00572F61" w14:paraId="4A828C6D" w14:textId="77777777" w:rsidTr="0061139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8" w:type="pct"/>
            <w:tcBorders>
              <w:top w:val="none" w:sz="0" w:space="0" w:color="auto"/>
              <w:left w:val="none" w:sz="0" w:space="0" w:color="auto"/>
              <w:bottom w:val="none" w:sz="0" w:space="0" w:color="auto"/>
              <w:right w:val="none" w:sz="0" w:space="0" w:color="auto"/>
              <w:tl2br w:val="none" w:sz="0" w:space="0" w:color="auto"/>
              <w:tr2bl w:val="none" w:sz="0" w:space="0" w:color="auto"/>
            </w:tcBorders>
            <w:vAlign w:val="top"/>
          </w:tcPr>
          <w:p w14:paraId="7641897D" w14:textId="344457DB" w:rsidR="00F662D0" w:rsidRPr="00572F61" w:rsidRDefault="00F662D0" w:rsidP="00572F61">
            <w:pPr>
              <w:pStyle w:val="SDMTableBoxParaNumbered"/>
              <w:numPr>
                <w:ilvl w:val="0"/>
                <w:numId w:val="0"/>
              </w:numPr>
            </w:pPr>
            <w:r w:rsidRPr="00572F61">
              <w:t>Country</w:t>
            </w:r>
          </w:p>
        </w:tc>
        <w:tc>
          <w:tcPr>
            <w:tcW w:w="1013" w:type="pct"/>
            <w:tcBorders>
              <w:top w:val="none" w:sz="0" w:space="0" w:color="auto"/>
              <w:left w:val="none" w:sz="0" w:space="0" w:color="auto"/>
              <w:bottom w:val="none" w:sz="0" w:space="0" w:color="auto"/>
              <w:right w:val="none" w:sz="0" w:space="0" w:color="auto"/>
              <w:tl2br w:val="none" w:sz="0" w:space="0" w:color="auto"/>
              <w:tr2bl w:val="none" w:sz="0" w:space="0" w:color="auto"/>
            </w:tcBorders>
            <w:vAlign w:val="top"/>
          </w:tcPr>
          <w:p w14:paraId="4B446770" w14:textId="24B5F46A" w:rsidR="00F662D0" w:rsidRPr="00572F61" w:rsidRDefault="00F662D0" w:rsidP="00572F61">
            <w:pPr>
              <w:pStyle w:val="SDMTableBoxParaNotNumbered"/>
              <w:cnfStyle w:val="100000000000" w:firstRow="1" w:lastRow="0" w:firstColumn="0" w:lastColumn="0" w:oddVBand="0" w:evenVBand="0" w:oddHBand="0" w:evenHBand="0" w:firstRowFirstColumn="0" w:firstRowLastColumn="0" w:lastRowFirstColumn="0" w:lastRowLastColumn="0"/>
              <w:rPr>
                <w:i/>
                <w:iCs/>
              </w:rPr>
            </w:pPr>
            <w:r w:rsidRPr="00572F61">
              <w:rPr>
                <w:i/>
                <w:iCs/>
              </w:rPr>
              <w:t>F</w:t>
            </w:r>
            <w:r w:rsidRPr="00572F61">
              <w:rPr>
                <w:i/>
                <w:iCs/>
                <w:vertAlign w:val="subscript"/>
              </w:rPr>
              <w:t>OM</w:t>
            </w:r>
            <w:r w:rsidR="006F59A9" w:rsidRPr="00572F61">
              <w:rPr>
                <w:i/>
                <w:iCs/>
                <w:vertAlign w:val="subscript"/>
              </w:rPr>
              <w:t>,</w:t>
            </w:r>
            <w:r w:rsidRPr="00572F61">
              <w:rPr>
                <w:i/>
                <w:iCs/>
                <w:vertAlign w:val="subscript"/>
              </w:rPr>
              <w:t>simple</w:t>
            </w:r>
          </w:p>
        </w:tc>
        <w:tc>
          <w:tcPr>
            <w:tcW w:w="1014" w:type="pct"/>
            <w:tcBorders>
              <w:top w:val="none" w:sz="0" w:space="0" w:color="auto"/>
              <w:left w:val="none" w:sz="0" w:space="0" w:color="auto"/>
              <w:bottom w:val="none" w:sz="0" w:space="0" w:color="auto"/>
              <w:right w:val="none" w:sz="0" w:space="0" w:color="auto"/>
              <w:tl2br w:val="none" w:sz="0" w:space="0" w:color="auto"/>
              <w:tr2bl w:val="none" w:sz="0" w:space="0" w:color="auto"/>
            </w:tcBorders>
            <w:vAlign w:val="top"/>
          </w:tcPr>
          <w:p w14:paraId="1A41043D" w14:textId="70C7E575" w:rsidR="00F662D0" w:rsidRPr="00572F61" w:rsidRDefault="00F662D0" w:rsidP="00572F61">
            <w:pPr>
              <w:pStyle w:val="SDMTableBoxParaNotNumbered"/>
              <w:cnfStyle w:val="100000000000" w:firstRow="1" w:lastRow="0" w:firstColumn="0" w:lastColumn="0" w:oddVBand="0" w:evenVBand="0" w:oddHBand="0" w:evenHBand="0" w:firstRowFirstColumn="0" w:firstRowLastColumn="0" w:lastRowFirstColumn="0" w:lastRowLastColumn="0"/>
              <w:rPr>
                <w:i/>
                <w:iCs/>
              </w:rPr>
            </w:pPr>
            <w:r w:rsidRPr="00572F61">
              <w:rPr>
                <w:i/>
                <w:iCs/>
              </w:rPr>
              <w:t>F</w:t>
            </w:r>
            <w:r w:rsidRPr="00572F61">
              <w:rPr>
                <w:i/>
                <w:iCs/>
                <w:vertAlign w:val="subscript"/>
              </w:rPr>
              <w:t>OM</w:t>
            </w:r>
            <w:r w:rsidR="006F59A9" w:rsidRPr="00572F61">
              <w:rPr>
                <w:i/>
                <w:iCs/>
                <w:vertAlign w:val="subscript"/>
              </w:rPr>
              <w:t>,</w:t>
            </w:r>
            <w:r w:rsidR="00794EB9" w:rsidRPr="00572F61">
              <w:rPr>
                <w:i/>
                <w:iCs/>
                <w:vertAlign w:val="subscript"/>
              </w:rPr>
              <w:t>avg</w:t>
            </w:r>
          </w:p>
        </w:tc>
        <w:tc>
          <w:tcPr>
            <w:tcW w:w="1014" w:type="pct"/>
            <w:tcBorders>
              <w:top w:val="none" w:sz="0" w:space="0" w:color="auto"/>
              <w:left w:val="none" w:sz="0" w:space="0" w:color="auto"/>
              <w:bottom w:val="none" w:sz="0" w:space="0" w:color="auto"/>
              <w:right w:val="none" w:sz="0" w:space="0" w:color="auto"/>
              <w:tl2br w:val="none" w:sz="0" w:space="0" w:color="auto"/>
              <w:tr2bl w:val="none" w:sz="0" w:space="0" w:color="auto"/>
            </w:tcBorders>
            <w:vAlign w:val="top"/>
          </w:tcPr>
          <w:p w14:paraId="4B4C55C0" w14:textId="77777777" w:rsidR="00F662D0" w:rsidRPr="00572F61" w:rsidRDefault="00F662D0" w:rsidP="00572F61">
            <w:pPr>
              <w:pStyle w:val="SDMTableBoxParaNotNumbered"/>
              <w:cnfStyle w:val="100000000000" w:firstRow="1" w:lastRow="0" w:firstColumn="0" w:lastColumn="0" w:oddVBand="0" w:evenVBand="0" w:oddHBand="0" w:evenHBand="0" w:firstRowFirstColumn="0" w:firstRowLastColumn="0" w:lastRowFirstColumn="0" w:lastRowLastColumn="0"/>
              <w:rPr>
                <w:i/>
                <w:iCs/>
              </w:rPr>
            </w:pPr>
            <w:r w:rsidRPr="00572F61">
              <w:rPr>
                <w:i/>
                <w:iCs/>
              </w:rPr>
              <w:t>F</w:t>
            </w:r>
            <w:r w:rsidRPr="00572F61">
              <w:rPr>
                <w:i/>
                <w:iCs/>
                <w:vertAlign w:val="subscript"/>
              </w:rPr>
              <w:t>BM</w:t>
            </w:r>
          </w:p>
        </w:tc>
      </w:tr>
      <w:tr w:rsidR="00F662D0" w:rsidRPr="00572F61" w14:paraId="1B5B3005"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0D521E19" w14:textId="1A0100ED" w:rsidR="00F662D0" w:rsidRPr="00572F61" w:rsidRDefault="00D117B5" w:rsidP="00572F61">
            <w:pPr>
              <w:pStyle w:val="SDMTableBoxParaNumbered"/>
              <w:numPr>
                <w:ilvl w:val="0"/>
                <w:numId w:val="0"/>
              </w:numPr>
            </w:pPr>
            <w:r w:rsidRPr="00572F61">
              <w:t>Global</w:t>
            </w:r>
          </w:p>
        </w:tc>
        <w:tc>
          <w:tcPr>
            <w:tcW w:w="1013" w:type="pct"/>
          </w:tcPr>
          <w:p w14:paraId="22595929" w14:textId="5492B9D2" w:rsidR="00F662D0" w:rsidRPr="00572F61" w:rsidRDefault="00DE6709" w:rsidP="00572F61">
            <w:pPr>
              <w:pStyle w:val="SDMTableBoxParaNotNumbered"/>
              <w:cnfStyle w:val="000000000000" w:firstRow="0" w:lastRow="0" w:firstColumn="0" w:lastColumn="0" w:oddVBand="0" w:evenVBand="0" w:oddHBand="0" w:evenHBand="0" w:firstRowFirstColumn="0" w:firstRowLastColumn="0" w:lastRowFirstColumn="0" w:lastRowLastColumn="0"/>
              <w:rPr>
                <w:b/>
              </w:rPr>
            </w:pPr>
            <w:r w:rsidRPr="00572F61">
              <w:rPr>
                <w:b/>
              </w:rPr>
              <w:t>0.23</w:t>
            </w:r>
          </w:p>
        </w:tc>
        <w:tc>
          <w:tcPr>
            <w:tcW w:w="1014" w:type="pct"/>
          </w:tcPr>
          <w:p w14:paraId="58BE3696" w14:textId="1BEF86FB" w:rsidR="00F662D0" w:rsidRPr="00572F61" w:rsidRDefault="00DE6709" w:rsidP="00572F61">
            <w:pPr>
              <w:pStyle w:val="SDMTableBoxParaNotNumbered"/>
              <w:cnfStyle w:val="000000000000" w:firstRow="0" w:lastRow="0" w:firstColumn="0" w:lastColumn="0" w:oddVBand="0" w:evenVBand="0" w:oddHBand="0" w:evenHBand="0" w:firstRowFirstColumn="0" w:firstRowLastColumn="0" w:lastRowFirstColumn="0" w:lastRowLastColumn="0"/>
              <w:rPr>
                <w:b/>
              </w:rPr>
            </w:pPr>
            <w:r w:rsidRPr="00572F61">
              <w:rPr>
                <w:b/>
              </w:rPr>
              <w:t>1.46</w:t>
            </w:r>
          </w:p>
        </w:tc>
        <w:tc>
          <w:tcPr>
            <w:tcW w:w="1014" w:type="pct"/>
          </w:tcPr>
          <w:p w14:paraId="1440F748" w14:textId="4F1A0EEB" w:rsidR="00F662D0" w:rsidRPr="00572F61" w:rsidRDefault="008A5078" w:rsidP="00572F61">
            <w:pPr>
              <w:pStyle w:val="SDMTableBoxParaNotNumbered"/>
              <w:cnfStyle w:val="000000000000" w:firstRow="0" w:lastRow="0" w:firstColumn="0" w:lastColumn="0" w:oddVBand="0" w:evenVBand="0" w:oddHBand="0" w:evenHBand="0" w:firstRowFirstColumn="0" w:firstRowLastColumn="0" w:lastRowFirstColumn="0" w:lastRowLastColumn="0"/>
              <w:rPr>
                <w:b/>
              </w:rPr>
            </w:pPr>
            <w:r w:rsidRPr="00572F61">
              <w:rPr>
                <w:b/>
              </w:rPr>
              <w:t>9.21</w:t>
            </w:r>
          </w:p>
        </w:tc>
      </w:tr>
      <w:tr w:rsidR="00F662D0" w:rsidRPr="00EC2B1A" w14:paraId="48924CBE"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144DDF66" w14:textId="77777777" w:rsidR="00F662D0" w:rsidRPr="00572F61" w:rsidRDefault="00F662D0" w:rsidP="00572F61">
            <w:pPr>
              <w:pStyle w:val="SDMTableBoxParaNumbered"/>
              <w:numPr>
                <w:ilvl w:val="0"/>
                <w:numId w:val="0"/>
              </w:numPr>
              <w:rPr>
                <w:b w:val="0"/>
                <w:bCs/>
              </w:rPr>
            </w:pPr>
            <w:r w:rsidRPr="00572F61">
              <w:rPr>
                <w:b w:val="0"/>
                <w:bCs/>
              </w:rPr>
              <w:t>Afghanistan</w:t>
            </w:r>
          </w:p>
        </w:tc>
        <w:tc>
          <w:tcPr>
            <w:tcW w:w="1013" w:type="pct"/>
          </w:tcPr>
          <w:p w14:paraId="0A800CA5" w14:textId="35BB2F01"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1.28</w:t>
            </w:r>
          </w:p>
        </w:tc>
        <w:tc>
          <w:tcPr>
            <w:tcW w:w="1014" w:type="pct"/>
          </w:tcPr>
          <w:p w14:paraId="6D71DF72" w14:textId="690706D6"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2.72</w:t>
            </w:r>
          </w:p>
        </w:tc>
        <w:tc>
          <w:tcPr>
            <w:tcW w:w="1014" w:type="pct"/>
          </w:tcPr>
          <w:p w14:paraId="4495F985" w14:textId="4D9E38E7" w:rsidR="00F662D0" w:rsidRPr="00CF6457" w:rsidRDefault="000A16B8"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0.00</w:t>
            </w:r>
          </w:p>
        </w:tc>
      </w:tr>
      <w:tr w:rsidR="00F662D0" w:rsidRPr="00EC2B1A" w14:paraId="7DEE4FA6"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2F96DE4E" w14:textId="77777777" w:rsidR="00F662D0" w:rsidRPr="00572F61" w:rsidRDefault="00F662D0" w:rsidP="00572F61">
            <w:pPr>
              <w:pStyle w:val="SDMTableBoxParaNotNumbered"/>
              <w:rPr>
                <w:b w:val="0"/>
                <w:bCs/>
              </w:rPr>
            </w:pPr>
            <w:r w:rsidRPr="00572F61">
              <w:rPr>
                <w:b w:val="0"/>
                <w:bCs/>
              </w:rPr>
              <w:t>Albania</w:t>
            </w:r>
          </w:p>
        </w:tc>
        <w:tc>
          <w:tcPr>
            <w:tcW w:w="1013" w:type="pct"/>
          </w:tcPr>
          <w:p w14:paraId="49DB228A" w14:textId="55C136F0"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Use global value</w:t>
            </w:r>
          </w:p>
        </w:tc>
        <w:tc>
          <w:tcPr>
            <w:tcW w:w="1014" w:type="pct"/>
          </w:tcPr>
          <w:p w14:paraId="76C8D78E" w14:textId="42C24ED7"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0.12</w:t>
            </w:r>
          </w:p>
        </w:tc>
        <w:tc>
          <w:tcPr>
            <w:tcW w:w="1014" w:type="pct"/>
          </w:tcPr>
          <w:p w14:paraId="1202511C" w14:textId="49F9C4BE" w:rsidR="00F662D0" w:rsidRPr="00CF6457" w:rsidRDefault="003650DC"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6.30</w:t>
            </w:r>
          </w:p>
        </w:tc>
      </w:tr>
      <w:tr w:rsidR="00F662D0" w:rsidRPr="00EC2B1A" w14:paraId="01228CD6"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3A728126" w14:textId="77777777" w:rsidR="00F662D0" w:rsidRPr="00572F61" w:rsidRDefault="00F662D0" w:rsidP="00572F61">
            <w:pPr>
              <w:pStyle w:val="SDMTableBoxParaNotNumbered"/>
              <w:rPr>
                <w:b w:val="0"/>
                <w:bCs/>
              </w:rPr>
            </w:pPr>
            <w:r w:rsidRPr="00572F61">
              <w:rPr>
                <w:b w:val="0"/>
                <w:bCs/>
              </w:rPr>
              <w:t>Algeria</w:t>
            </w:r>
          </w:p>
        </w:tc>
        <w:tc>
          <w:tcPr>
            <w:tcW w:w="1013" w:type="pct"/>
          </w:tcPr>
          <w:p w14:paraId="55D173BB" w14:textId="7A138C84"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0.01</w:t>
            </w:r>
          </w:p>
        </w:tc>
        <w:tc>
          <w:tcPr>
            <w:tcW w:w="1014" w:type="pct"/>
          </w:tcPr>
          <w:p w14:paraId="5F51C079" w14:textId="3357585C"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0.14</w:t>
            </w:r>
          </w:p>
        </w:tc>
        <w:tc>
          <w:tcPr>
            <w:tcW w:w="1014" w:type="pct"/>
          </w:tcPr>
          <w:p w14:paraId="5E51BF3E" w14:textId="0DFD8A2A" w:rsidR="00F662D0" w:rsidRPr="00CF6457" w:rsidRDefault="003650DC"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21.49</w:t>
            </w:r>
          </w:p>
        </w:tc>
      </w:tr>
      <w:tr w:rsidR="00F662D0" w:rsidRPr="00EC2B1A" w14:paraId="1CABC85C"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3E155190" w14:textId="77777777" w:rsidR="00F662D0" w:rsidRPr="00572F61" w:rsidRDefault="00F662D0" w:rsidP="00572F61">
            <w:pPr>
              <w:pStyle w:val="SDMTableBoxParaNotNumbered"/>
              <w:rPr>
                <w:b w:val="0"/>
                <w:bCs/>
              </w:rPr>
            </w:pPr>
            <w:r w:rsidRPr="00572F61">
              <w:rPr>
                <w:b w:val="0"/>
                <w:bCs/>
              </w:rPr>
              <w:t>Angola</w:t>
            </w:r>
          </w:p>
        </w:tc>
        <w:tc>
          <w:tcPr>
            <w:tcW w:w="1013" w:type="pct"/>
          </w:tcPr>
          <w:p w14:paraId="52E6E5DE" w14:textId="5B028B94"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1.05</w:t>
            </w:r>
          </w:p>
        </w:tc>
        <w:tc>
          <w:tcPr>
            <w:tcW w:w="1014" w:type="pct"/>
          </w:tcPr>
          <w:p w14:paraId="7F0D4658" w14:textId="38E59B7D"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14.29</w:t>
            </w:r>
          </w:p>
        </w:tc>
        <w:tc>
          <w:tcPr>
            <w:tcW w:w="1014" w:type="pct"/>
          </w:tcPr>
          <w:p w14:paraId="3B508FDC" w14:textId="52AA1844" w:rsidR="00F662D0" w:rsidRPr="00CF6457" w:rsidRDefault="003650DC"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105.17</w:t>
            </w:r>
          </w:p>
        </w:tc>
      </w:tr>
      <w:tr w:rsidR="00F662D0" w:rsidRPr="00EC2B1A" w14:paraId="5F96DD0A"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0532384F" w14:textId="77777777" w:rsidR="00F662D0" w:rsidRPr="00572F61" w:rsidRDefault="00F662D0" w:rsidP="00572F61">
            <w:pPr>
              <w:pStyle w:val="SDMTableBoxParaNotNumbered"/>
              <w:rPr>
                <w:b w:val="0"/>
                <w:bCs/>
              </w:rPr>
            </w:pPr>
            <w:r w:rsidRPr="00572F61">
              <w:rPr>
                <w:b w:val="0"/>
                <w:bCs/>
              </w:rPr>
              <w:t>Antigua and Barbuda</w:t>
            </w:r>
          </w:p>
        </w:tc>
        <w:tc>
          <w:tcPr>
            <w:tcW w:w="1013" w:type="pct"/>
          </w:tcPr>
          <w:p w14:paraId="72A6DBBA" w14:textId="0BB18EB3"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0.30</w:t>
            </w:r>
          </w:p>
        </w:tc>
        <w:tc>
          <w:tcPr>
            <w:tcW w:w="1014" w:type="pct"/>
          </w:tcPr>
          <w:p w14:paraId="06487525" w14:textId="5B8ACA9F"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1.05</w:t>
            </w:r>
          </w:p>
        </w:tc>
        <w:tc>
          <w:tcPr>
            <w:tcW w:w="1014" w:type="pct"/>
          </w:tcPr>
          <w:p w14:paraId="24C2C89C" w14:textId="1F417CCE" w:rsidR="00F662D0" w:rsidRPr="00CF6457" w:rsidRDefault="000A16B8"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Use global value</w:t>
            </w:r>
          </w:p>
        </w:tc>
      </w:tr>
      <w:tr w:rsidR="00F662D0" w:rsidRPr="00EC2B1A" w14:paraId="3D44C843"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39AAB6B4" w14:textId="77777777" w:rsidR="00F662D0" w:rsidRPr="00572F61" w:rsidRDefault="00F662D0" w:rsidP="00572F61">
            <w:pPr>
              <w:pStyle w:val="SDMTableBoxParaNotNumbered"/>
              <w:rPr>
                <w:b w:val="0"/>
                <w:bCs/>
              </w:rPr>
            </w:pPr>
            <w:r w:rsidRPr="00572F61">
              <w:rPr>
                <w:b w:val="0"/>
                <w:bCs/>
              </w:rPr>
              <w:t>Argentina</w:t>
            </w:r>
          </w:p>
        </w:tc>
        <w:tc>
          <w:tcPr>
            <w:tcW w:w="1013" w:type="pct"/>
          </w:tcPr>
          <w:p w14:paraId="652FEAB5" w14:textId="35BC2C04"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0.42</w:t>
            </w:r>
          </w:p>
        </w:tc>
        <w:tc>
          <w:tcPr>
            <w:tcW w:w="1014" w:type="pct"/>
          </w:tcPr>
          <w:p w14:paraId="7A4C215B" w14:textId="768C2926"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3.22</w:t>
            </w:r>
          </w:p>
        </w:tc>
        <w:tc>
          <w:tcPr>
            <w:tcW w:w="1014" w:type="pct"/>
          </w:tcPr>
          <w:p w14:paraId="55A886B6" w14:textId="6271CC95" w:rsidR="00F662D0" w:rsidRPr="00CF6457" w:rsidRDefault="003650DC"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14.06</w:t>
            </w:r>
          </w:p>
        </w:tc>
      </w:tr>
      <w:tr w:rsidR="00F662D0" w:rsidRPr="00EC2B1A" w14:paraId="5078AFEE"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12C38B82" w14:textId="77777777" w:rsidR="00F662D0" w:rsidRPr="00572F61" w:rsidRDefault="00F662D0" w:rsidP="00572F61">
            <w:pPr>
              <w:pStyle w:val="SDMTableBoxParaNotNumbered"/>
              <w:rPr>
                <w:b w:val="0"/>
                <w:bCs/>
              </w:rPr>
            </w:pPr>
            <w:r w:rsidRPr="00572F61">
              <w:rPr>
                <w:b w:val="0"/>
                <w:bCs/>
              </w:rPr>
              <w:t>Armenia</w:t>
            </w:r>
          </w:p>
        </w:tc>
        <w:tc>
          <w:tcPr>
            <w:tcW w:w="1013" w:type="pct"/>
          </w:tcPr>
          <w:p w14:paraId="72CBB38B" w14:textId="0EF157C5"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0.00</w:t>
            </w:r>
          </w:p>
        </w:tc>
        <w:tc>
          <w:tcPr>
            <w:tcW w:w="1014" w:type="pct"/>
          </w:tcPr>
          <w:p w14:paraId="0BB3D9FB" w14:textId="5BC0CA86"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0.29</w:t>
            </w:r>
          </w:p>
        </w:tc>
        <w:tc>
          <w:tcPr>
            <w:tcW w:w="1014" w:type="pct"/>
          </w:tcPr>
          <w:p w14:paraId="0DBE16AD" w14:textId="6CCF2E10" w:rsidR="00F662D0" w:rsidRPr="00CF6457" w:rsidRDefault="003650DC"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13.82</w:t>
            </w:r>
          </w:p>
        </w:tc>
      </w:tr>
      <w:tr w:rsidR="00F662D0" w:rsidRPr="00EC2B1A" w14:paraId="2ECFB853"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696952A5" w14:textId="77777777" w:rsidR="00F662D0" w:rsidRPr="00572F61" w:rsidRDefault="00F662D0" w:rsidP="00572F61">
            <w:pPr>
              <w:pStyle w:val="SDMTableBoxParaNotNumbered"/>
              <w:rPr>
                <w:b w:val="0"/>
                <w:bCs/>
              </w:rPr>
            </w:pPr>
            <w:r w:rsidRPr="00572F61">
              <w:rPr>
                <w:b w:val="0"/>
                <w:bCs/>
              </w:rPr>
              <w:t>Australia</w:t>
            </w:r>
          </w:p>
        </w:tc>
        <w:tc>
          <w:tcPr>
            <w:tcW w:w="1013" w:type="pct"/>
          </w:tcPr>
          <w:p w14:paraId="08948426" w14:textId="0E266C18"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0.17</w:t>
            </w:r>
          </w:p>
        </w:tc>
        <w:tc>
          <w:tcPr>
            <w:tcW w:w="1014" w:type="pct"/>
          </w:tcPr>
          <w:p w14:paraId="449E511D" w14:textId="730DA065"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4.00</w:t>
            </w:r>
          </w:p>
        </w:tc>
        <w:tc>
          <w:tcPr>
            <w:tcW w:w="1014" w:type="pct"/>
          </w:tcPr>
          <w:p w14:paraId="089A9EEE" w14:textId="632700E4" w:rsidR="00F662D0" w:rsidRPr="00CF6457" w:rsidRDefault="003650DC"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58.87</w:t>
            </w:r>
          </w:p>
        </w:tc>
      </w:tr>
      <w:tr w:rsidR="00F662D0" w:rsidRPr="00EC2B1A" w14:paraId="6B5AEB79"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71DF13E7" w14:textId="77777777" w:rsidR="00F662D0" w:rsidRPr="00572F61" w:rsidRDefault="00F662D0" w:rsidP="00572F61">
            <w:pPr>
              <w:pStyle w:val="SDMTableBoxParaNotNumbered"/>
              <w:rPr>
                <w:b w:val="0"/>
                <w:bCs/>
              </w:rPr>
            </w:pPr>
            <w:r w:rsidRPr="00572F61">
              <w:rPr>
                <w:b w:val="0"/>
                <w:bCs/>
              </w:rPr>
              <w:t>Austria</w:t>
            </w:r>
          </w:p>
        </w:tc>
        <w:tc>
          <w:tcPr>
            <w:tcW w:w="1013" w:type="pct"/>
          </w:tcPr>
          <w:p w14:paraId="160B7743" w14:textId="15E20FF3"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3.15</w:t>
            </w:r>
          </w:p>
        </w:tc>
        <w:tc>
          <w:tcPr>
            <w:tcW w:w="1014" w:type="pct"/>
          </w:tcPr>
          <w:p w14:paraId="50EB0002" w14:textId="55E38E97"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6.48</w:t>
            </w:r>
          </w:p>
        </w:tc>
        <w:tc>
          <w:tcPr>
            <w:tcW w:w="1014" w:type="pct"/>
          </w:tcPr>
          <w:p w14:paraId="626C2F2E" w14:textId="6A5A0603" w:rsidR="00F662D0" w:rsidRPr="00CF6457" w:rsidRDefault="003650DC"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16.92</w:t>
            </w:r>
          </w:p>
        </w:tc>
      </w:tr>
      <w:tr w:rsidR="00F662D0" w:rsidRPr="00EC2B1A" w14:paraId="075FEE2C"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1A087326" w14:textId="77777777" w:rsidR="00F662D0" w:rsidRPr="00572F61" w:rsidRDefault="00F662D0" w:rsidP="00572F61">
            <w:pPr>
              <w:pStyle w:val="SDMTableBoxParaNotNumbered"/>
              <w:rPr>
                <w:b w:val="0"/>
                <w:bCs/>
              </w:rPr>
            </w:pPr>
            <w:r w:rsidRPr="00572F61">
              <w:rPr>
                <w:b w:val="0"/>
                <w:bCs/>
              </w:rPr>
              <w:t>Azerbaijan</w:t>
            </w:r>
          </w:p>
        </w:tc>
        <w:tc>
          <w:tcPr>
            <w:tcW w:w="1013" w:type="pct"/>
          </w:tcPr>
          <w:p w14:paraId="51364BC0" w14:textId="1C8A8FA2"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0.00</w:t>
            </w:r>
          </w:p>
        </w:tc>
        <w:tc>
          <w:tcPr>
            <w:tcW w:w="1014" w:type="pct"/>
          </w:tcPr>
          <w:p w14:paraId="2B04E183" w14:textId="0AB4EFBB"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0.81</w:t>
            </w:r>
          </w:p>
        </w:tc>
        <w:tc>
          <w:tcPr>
            <w:tcW w:w="1014" w:type="pct"/>
          </w:tcPr>
          <w:p w14:paraId="754C337B" w14:textId="1AA5A378" w:rsidR="00F662D0" w:rsidRPr="00CF6457" w:rsidRDefault="003650DC"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27.13</w:t>
            </w:r>
          </w:p>
        </w:tc>
      </w:tr>
      <w:tr w:rsidR="00F662D0" w:rsidRPr="00EC2B1A" w14:paraId="4BED40BD"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0640C476" w14:textId="24F0578F" w:rsidR="00F662D0" w:rsidRPr="00572F61" w:rsidRDefault="00F662D0" w:rsidP="00572F61">
            <w:pPr>
              <w:pStyle w:val="SDMTableBoxParaNotNumbered"/>
              <w:rPr>
                <w:b w:val="0"/>
                <w:bCs/>
              </w:rPr>
            </w:pPr>
            <w:r w:rsidRPr="00572F61">
              <w:rPr>
                <w:b w:val="0"/>
                <w:bCs/>
              </w:rPr>
              <w:t>Bahamas</w:t>
            </w:r>
          </w:p>
        </w:tc>
        <w:tc>
          <w:tcPr>
            <w:tcW w:w="1013" w:type="pct"/>
          </w:tcPr>
          <w:p w14:paraId="7DBD985D" w14:textId="5A5D7D0C"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0.06</w:t>
            </w:r>
          </w:p>
        </w:tc>
        <w:tc>
          <w:tcPr>
            <w:tcW w:w="1014" w:type="pct"/>
          </w:tcPr>
          <w:p w14:paraId="6D8B1C25" w14:textId="4F932454"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0.19</w:t>
            </w:r>
          </w:p>
        </w:tc>
        <w:tc>
          <w:tcPr>
            <w:tcW w:w="1014" w:type="pct"/>
          </w:tcPr>
          <w:p w14:paraId="0CC3BB18" w14:textId="5F7CE82A" w:rsidR="00F662D0" w:rsidRPr="00CF6457" w:rsidRDefault="009B0137"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0.</w:t>
            </w:r>
            <w:r w:rsidR="003650DC" w:rsidRPr="00A644C5">
              <w:t>36</w:t>
            </w:r>
          </w:p>
        </w:tc>
      </w:tr>
      <w:tr w:rsidR="00F662D0" w:rsidRPr="00EC2B1A" w14:paraId="3AFFD15F"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67D97544" w14:textId="77777777" w:rsidR="00F662D0" w:rsidRPr="00572F61" w:rsidRDefault="00F662D0" w:rsidP="00572F61">
            <w:pPr>
              <w:pStyle w:val="SDMTableBoxParaNotNumbered"/>
              <w:rPr>
                <w:b w:val="0"/>
                <w:bCs/>
              </w:rPr>
            </w:pPr>
            <w:r w:rsidRPr="00572F61">
              <w:rPr>
                <w:b w:val="0"/>
                <w:bCs/>
              </w:rPr>
              <w:t>Bahrain</w:t>
            </w:r>
          </w:p>
        </w:tc>
        <w:tc>
          <w:tcPr>
            <w:tcW w:w="1013" w:type="pct"/>
          </w:tcPr>
          <w:p w14:paraId="1C748D0B" w14:textId="5AE584BA"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0.01</w:t>
            </w:r>
          </w:p>
        </w:tc>
        <w:tc>
          <w:tcPr>
            <w:tcW w:w="1014" w:type="pct"/>
          </w:tcPr>
          <w:p w14:paraId="3E53A295" w14:textId="3221C816"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0.05</w:t>
            </w:r>
          </w:p>
        </w:tc>
        <w:tc>
          <w:tcPr>
            <w:tcW w:w="1014" w:type="pct"/>
          </w:tcPr>
          <w:p w14:paraId="299101D3" w14:textId="30496930" w:rsidR="00F662D0" w:rsidRPr="00CF6457" w:rsidRDefault="000A16B8"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Use global value</w:t>
            </w:r>
          </w:p>
        </w:tc>
      </w:tr>
      <w:tr w:rsidR="00F662D0" w:rsidRPr="00EC2B1A" w14:paraId="6C1B3B18"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030FFB90" w14:textId="77777777" w:rsidR="00F662D0" w:rsidRPr="00572F61" w:rsidRDefault="00F662D0" w:rsidP="00572F61">
            <w:pPr>
              <w:pStyle w:val="SDMTableBoxParaNotNumbered"/>
              <w:rPr>
                <w:b w:val="0"/>
                <w:bCs/>
              </w:rPr>
            </w:pPr>
            <w:r w:rsidRPr="00572F61">
              <w:rPr>
                <w:b w:val="0"/>
                <w:bCs/>
              </w:rPr>
              <w:t>Bangladesh</w:t>
            </w:r>
          </w:p>
        </w:tc>
        <w:tc>
          <w:tcPr>
            <w:tcW w:w="1013" w:type="pct"/>
          </w:tcPr>
          <w:p w14:paraId="173272D2" w14:textId="5505B8C7"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0.02</w:t>
            </w:r>
          </w:p>
        </w:tc>
        <w:tc>
          <w:tcPr>
            <w:tcW w:w="1014" w:type="pct"/>
          </w:tcPr>
          <w:p w14:paraId="056B9BEA" w14:textId="578E7A64"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0.00</w:t>
            </w:r>
          </w:p>
        </w:tc>
        <w:tc>
          <w:tcPr>
            <w:tcW w:w="1014" w:type="pct"/>
          </w:tcPr>
          <w:p w14:paraId="0C491E47" w14:textId="0FFA2ED7" w:rsidR="00F662D0" w:rsidRPr="00CF6457" w:rsidRDefault="009B0137"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0.</w:t>
            </w:r>
            <w:r w:rsidR="000A16B8" w:rsidRPr="00A644C5">
              <w:t>00</w:t>
            </w:r>
          </w:p>
        </w:tc>
      </w:tr>
      <w:tr w:rsidR="00F662D0" w:rsidRPr="00EC2B1A" w14:paraId="5B757FB0"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6BB6F57D" w14:textId="77777777" w:rsidR="00F662D0" w:rsidRPr="00572F61" w:rsidRDefault="00F662D0" w:rsidP="00572F61">
            <w:pPr>
              <w:pStyle w:val="SDMTableBoxParaNotNumbered"/>
              <w:rPr>
                <w:b w:val="0"/>
                <w:bCs/>
              </w:rPr>
            </w:pPr>
            <w:r w:rsidRPr="00572F61">
              <w:rPr>
                <w:b w:val="0"/>
                <w:bCs/>
              </w:rPr>
              <w:t>Barbados</w:t>
            </w:r>
          </w:p>
        </w:tc>
        <w:tc>
          <w:tcPr>
            <w:tcW w:w="1013" w:type="pct"/>
          </w:tcPr>
          <w:p w14:paraId="64F49A4B" w14:textId="0BE39FC9"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0.03</w:t>
            </w:r>
          </w:p>
        </w:tc>
        <w:tc>
          <w:tcPr>
            <w:tcW w:w="1014" w:type="pct"/>
          </w:tcPr>
          <w:p w14:paraId="16D02004" w14:textId="3675A5E8"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1.11</w:t>
            </w:r>
          </w:p>
        </w:tc>
        <w:tc>
          <w:tcPr>
            <w:tcW w:w="1014" w:type="pct"/>
          </w:tcPr>
          <w:p w14:paraId="4968FB17" w14:textId="46F3652B" w:rsidR="00F662D0" w:rsidRPr="00CF6457" w:rsidRDefault="000A16B8"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Use global value</w:t>
            </w:r>
          </w:p>
        </w:tc>
      </w:tr>
      <w:tr w:rsidR="00F662D0" w:rsidRPr="00EC2B1A" w14:paraId="358B68AE"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45B07714" w14:textId="77777777" w:rsidR="00F662D0" w:rsidRPr="00572F61" w:rsidRDefault="00F662D0" w:rsidP="00572F61">
            <w:pPr>
              <w:pStyle w:val="SDMTableBoxParaNotNumbered"/>
              <w:rPr>
                <w:b w:val="0"/>
                <w:bCs/>
              </w:rPr>
            </w:pPr>
            <w:r w:rsidRPr="00572F61">
              <w:rPr>
                <w:b w:val="0"/>
                <w:bCs/>
              </w:rPr>
              <w:t>Belarus</w:t>
            </w:r>
          </w:p>
        </w:tc>
        <w:tc>
          <w:tcPr>
            <w:tcW w:w="1013" w:type="pct"/>
          </w:tcPr>
          <w:p w14:paraId="1DD50293" w14:textId="5A6A7E7C"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0.07</w:t>
            </w:r>
          </w:p>
        </w:tc>
        <w:tc>
          <w:tcPr>
            <w:tcW w:w="1014" w:type="pct"/>
          </w:tcPr>
          <w:p w14:paraId="0FD07FBF" w14:textId="428346A5"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6.50</w:t>
            </w:r>
          </w:p>
        </w:tc>
        <w:tc>
          <w:tcPr>
            <w:tcW w:w="1014" w:type="pct"/>
          </w:tcPr>
          <w:p w14:paraId="4CC17AA8" w14:textId="4139FB7D" w:rsidR="00F662D0" w:rsidRPr="00CF6457" w:rsidRDefault="003650DC"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34.80</w:t>
            </w:r>
          </w:p>
        </w:tc>
      </w:tr>
      <w:tr w:rsidR="00F662D0" w:rsidRPr="00EC2B1A" w14:paraId="777C24B6"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403BB965" w14:textId="77777777" w:rsidR="00F662D0" w:rsidRPr="00572F61" w:rsidRDefault="00F662D0" w:rsidP="00572F61">
            <w:pPr>
              <w:pStyle w:val="SDMTableBoxParaNotNumbered"/>
              <w:rPr>
                <w:b w:val="0"/>
                <w:bCs/>
              </w:rPr>
            </w:pPr>
            <w:r w:rsidRPr="00572F61">
              <w:rPr>
                <w:b w:val="0"/>
                <w:bCs/>
              </w:rPr>
              <w:t>Belgium</w:t>
            </w:r>
          </w:p>
        </w:tc>
        <w:tc>
          <w:tcPr>
            <w:tcW w:w="1013" w:type="pct"/>
          </w:tcPr>
          <w:p w14:paraId="4E443DE5" w14:textId="6871B230"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1.48</w:t>
            </w:r>
          </w:p>
        </w:tc>
        <w:tc>
          <w:tcPr>
            <w:tcW w:w="1014" w:type="pct"/>
          </w:tcPr>
          <w:p w14:paraId="2B074ABE" w14:textId="6CCDDC16"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8.16</w:t>
            </w:r>
          </w:p>
        </w:tc>
        <w:tc>
          <w:tcPr>
            <w:tcW w:w="1014" w:type="pct"/>
          </w:tcPr>
          <w:p w14:paraId="51CB189D" w14:textId="3081337A" w:rsidR="00F662D0" w:rsidRPr="00CF6457" w:rsidRDefault="003650DC"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12.69</w:t>
            </w:r>
          </w:p>
        </w:tc>
      </w:tr>
      <w:tr w:rsidR="00F662D0" w:rsidRPr="00EC2B1A" w14:paraId="0327317E"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7099469C" w14:textId="77777777" w:rsidR="00F662D0" w:rsidRPr="00572F61" w:rsidRDefault="00F662D0" w:rsidP="00572F61">
            <w:pPr>
              <w:pStyle w:val="SDMTableBoxParaNotNumbered"/>
              <w:rPr>
                <w:b w:val="0"/>
                <w:bCs/>
              </w:rPr>
            </w:pPr>
            <w:r w:rsidRPr="00572F61">
              <w:rPr>
                <w:b w:val="0"/>
                <w:bCs/>
              </w:rPr>
              <w:t>Belize</w:t>
            </w:r>
          </w:p>
        </w:tc>
        <w:tc>
          <w:tcPr>
            <w:tcW w:w="1013" w:type="pct"/>
          </w:tcPr>
          <w:p w14:paraId="4336CF79" w14:textId="67A08FFB"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2.95</w:t>
            </w:r>
          </w:p>
        </w:tc>
        <w:tc>
          <w:tcPr>
            <w:tcW w:w="1014" w:type="pct"/>
          </w:tcPr>
          <w:p w14:paraId="28C23817" w14:textId="15C08706"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0.00</w:t>
            </w:r>
          </w:p>
        </w:tc>
        <w:tc>
          <w:tcPr>
            <w:tcW w:w="1014" w:type="pct"/>
          </w:tcPr>
          <w:p w14:paraId="3DEE89BF" w14:textId="4923789D" w:rsidR="00F662D0" w:rsidRPr="00CF6457" w:rsidRDefault="000A16B8"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Use global value</w:t>
            </w:r>
          </w:p>
        </w:tc>
      </w:tr>
      <w:tr w:rsidR="00F662D0" w:rsidRPr="00EC2B1A" w14:paraId="4A57B70A"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11A25EBB" w14:textId="77777777" w:rsidR="00F662D0" w:rsidRPr="00572F61" w:rsidRDefault="00F662D0" w:rsidP="00572F61">
            <w:pPr>
              <w:pStyle w:val="SDMTableBoxParaNotNumbered"/>
              <w:rPr>
                <w:b w:val="0"/>
                <w:bCs/>
              </w:rPr>
            </w:pPr>
            <w:r w:rsidRPr="00572F61">
              <w:rPr>
                <w:b w:val="0"/>
                <w:bCs/>
              </w:rPr>
              <w:t>Benin</w:t>
            </w:r>
          </w:p>
        </w:tc>
        <w:tc>
          <w:tcPr>
            <w:tcW w:w="1013" w:type="pct"/>
          </w:tcPr>
          <w:p w14:paraId="1D18E901" w14:textId="1608A7CE"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1.86</w:t>
            </w:r>
          </w:p>
        </w:tc>
        <w:tc>
          <w:tcPr>
            <w:tcW w:w="1014" w:type="pct"/>
          </w:tcPr>
          <w:p w14:paraId="5FAF9744" w14:textId="651A4D45"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2.28</w:t>
            </w:r>
          </w:p>
        </w:tc>
        <w:tc>
          <w:tcPr>
            <w:tcW w:w="1014" w:type="pct"/>
          </w:tcPr>
          <w:p w14:paraId="6E4AE59D" w14:textId="45732526" w:rsidR="00F662D0" w:rsidRPr="00CF6457" w:rsidRDefault="000A16B8"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Use global value</w:t>
            </w:r>
          </w:p>
        </w:tc>
      </w:tr>
      <w:tr w:rsidR="00F662D0" w:rsidRPr="00EC2B1A" w14:paraId="4E5DFF3C"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1EE0D6A4" w14:textId="77777777" w:rsidR="00F662D0" w:rsidRPr="00572F61" w:rsidRDefault="00F662D0" w:rsidP="00572F61">
            <w:pPr>
              <w:pStyle w:val="SDMTableBoxParaNotNumbered"/>
              <w:rPr>
                <w:b w:val="0"/>
                <w:bCs/>
              </w:rPr>
            </w:pPr>
            <w:r w:rsidRPr="00572F61">
              <w:rPr>
                <w:b w:val="0"/>
                <w:bCs/>
              </w:rPr>
              <w:t>Bhutan</w:t>
            </w:r>
          </w:p>
        </w:tc>
        <w:tc>
          <w:tcPr>
            <w:tcW w:w="1013" w:type="pct"/>
          </w:tcPr>
          <w:p w14:paraId="32970ECC" w14:textId="28FBE57B"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Use global value</w:t>
            </w:r>
          </w:p>
        </w:tc>
        <w:tc>
          <w:tcPr>
            <w:tcW w:w="1014" w:type="pct"/>
          </w:tcPr>
          <w:p w14:paraId="681F6AF1" w14:textId="3D133C30"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0.00</w:t>
            </w:r>
          </w:p>
        </w:tc>
        <w:tc>
          <w:tcPr>
            <w:tcW w:w="1014" w:type="pct"/>
          </w:tcPr>
          <w:p w14:paraId="1856A0A8" w14:textId="6D5EC9CC" w:rsidR="00F662D0" w:rsidRPr="00CF6457" w:rsidRDefault="000A16B8"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Use global value</w:t>
            </w:r>
          </w:p>
        </w:tc>
      </w:tr>
      <w:tr w:rsidR="00F662D0" w:rsidRPr="00EC2B1A" w14:paraId="7E5373F1"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07156F1A" w14:textId="637A498A" w:rsidR="00F662D0" w:rsidRPr="00572F61" w:rsidRDefault="00E752CF" w:rsidP="00572F61">
            <w:pPr>
              <w:pStyle w:val="SDMTableBoxParaNotNumbered"/>
              <w:rPr>
                <w:b w:val="0"/>
                <w:bCs/>
              </w:rPr>
            </w:pPr>
            <w:r w:rsidRPr="00572F61">
              <w:rPr>
                <w:b w:val="0"/>
                <w:bCs/>
              </w:rPr>
              <w:t>Bolivia</w:t>
            </w:r>
            <w:r w:rsidR="00931EFD" w:rsidRPr="00572F61">
              <w:rPr>
                <w:b w:val="0"/>
                <w:bCs/>
              </w:rPr>
              <w:t xml:space="preserve"> (Plurinational State of)</w:t>
            </w:r>
          </w:p>
        </w:tc>
        <w:tc>
          <w:tcPr>
            <w:tcW w:w="1013" w:type="pct"/>
          </w:tcPr>
          <w:p w14:paraId="5C53E4CD" w14:textId="25F8DB66"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0.05</w:t>
            </w:r>
          </w:p>
        </w:tc>
        <w:tc>
          <w:tcPr>
            <w:tcW w:w="1014" w:type="pct"/>
          </w:tcPr>
          <w:p w14:paraId="197D7AB2" w14:textId="5705A95A"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3.53</w:t>
            </w:r>
          </w:p>
        </w:tc>
        <w:tc>
          <w:tcPr>
            <w:tcW w:w="1014" w:type="pct"/>
          </w:tcPr>
          <w:p w14:paraId="7DD8B98E" w14:textId="0F3EBE9C" w:rsidR="00F662D0" w:rsidRPr="00CF6457" w:rsidRDefault="003650DC"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20.21</w:t>
            </w:r>
          </w:p>
        </w:tc>
      </w:tr>
      <w:tr w:rsidR="00F662D0" w:rsidRPr="00EC2B1A" w14:paraId="6661249F"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6293F263" w14:textId="0EAFA2AD" w:rsidR="00F662D0" w:rsidRPr="00572F61" w:rsidRDefault="00F662D0" w:rsidP="00572F61">
            <w:pPr>
              <w:pStyle w:val="SDMTableBoxParaNotNumbered"/>
              <w:rPr>
                <w:b w:val="0"/>
                <w:bCs/>
              </w:rPr>
            </w:pPr>
            <w:r w:rsidRPr="00572F61">
              <w:rPr>
                <w:b w:val="0"/>
                <w:bCs/>
              </w:rPr>
              <w:t xml:space="preserve">Bosnia </w:t>
            </w:r>
            <w:r w:rsidR="00D35853" w:rsidRPr="00572F61">
              <w:rPr>
                <w:b w:val="0"/>
                <w:bCs/>
              </w:rPr>
              <w:t xml:space="preserve">and </w:t>
            </w:r>
            <w:r w:rsidRPr="00572F61">
              <w:rPr>
                <w:b w:val="0"/>
                <w:bCs/>
              </w:rPr>
              <w:t>Herzegovina</w:t>
            </w:r>
          </w:p>
        </w:tc>
        <w:tc>
          <w:tcPr>
            <w:tcW w:w="1013" w:type="pct"/>
          </w:tcPr>
          <w:p w14:paraId="60C6BA52" w14:textId="75232323"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0.09</w:t>
            </w:r>
          </w:p>
        </w:tc>
        <w:tc>
          <w:tcPr>
            <w:tcW w:w="1014" w:type="pct"/>
          </w:tcPr>
          <w:p w14:paraId="42E6CD61" w14:textId="6007E5F5"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2.53</w:t>
            </w:r>
          </w:p>
        </w:tc>
        <w:tc>
          <w:tcPr>
            <w:tcW w:w="1014" w:type="pct"/>
          </w:tcPr>
          <w:p w14:paraId="2B61EA2A" w14:textId="2A0DC5BE" w:rsidR="00F662D0" w:rsidRPr="00CF6457" w:rsidRDefault="003650DC"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84.84</w:t>
            </w:r>
          </w:p>
        </w:tc>
      </w:tr>
      <w:tr w:rsidR="00F662D0" w:rsidRPr="00EC2B1A" w14:paraId="14D2E33D"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37C6E006" w14:textId="77777777" w:rsidR="00F662D0" w:rsidRPr="00572F61" w:rsidRDefault="00F662D0" w:rsidP="00572F61">
            <w:pPr>
              <w:pStyle w:val="SDMTableBoxParaNotNumbered"/>
              <w:rPr>
                <w:b w:val="0"/>
                <w:bCs/>
              </w:rPr>
            </w:pPr>
            <w:r w:rsidRPr="00572F61">
              <w:rPr>
                <w:b w:val="0"/>
                <w:bCs/>
              </w:rPr>
              <w:t>Botswana</w:t>
            </w:r>
          </w:p>
        </w:tc>
        <w:tc>
          <w:tcPr>
            <w:tcW w:w="1013" w:type="pct"/>
          </w:tcPr>
          <w:p w14:paraId="638D0E1C" w14:textId="6D67C66A"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0.24</w:t>
            </w:r>
          </w:p>
        </w:tc>
        <w:tc>
          <w:tcPr>
            <w:tcW w:w="1014" w:type="pct"/>
          </w:tcPr>
          <w:p w14:paraId="35633066" w14:textId="4133B9C8"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0.31</w:t>
            </w:r>
          </w:p>
        </w:tc>
        <w:tc>
          <w:tcPr>
            <w:tcW w:w="1014" w:type="pct"/>
          </w:tcPr>
          <w:p w14:paraId="394485EF" w14:textId="56F10323" w:rsidR="00F662D0" w:rsidRPr="00CF6457" w:rsidRDefault="000A16B8"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Use global value</w:t>
            </w:r>
          </w:p>
        </w:tc>
      </w:tr>
      <w:tr w:rsidR="00F662D0" w:rsidRPr="00EC2B1A" w14:paraId="0918FFC8"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79646496" w14:textId="77777777" w:rsidR="00F662D0" w:rsidRPr="00572F61" w:rsidRDefault="00F662D0" w:rsidP="00572F61">
            <w:pPr>
              <w:pStyle w:val="SDMTableBoxParaNotNumbered"/>
              <w:rPr>
                <w:b w:val="0"/>
                <w:bCs/>
              </w:rPr>
            </w:pPr>
            <w:r w:rsidRPr="00572F61">
              <w:rPr>
                <w:b w:val="0"/>
                <w:bCs/>
              </w:rPr>
              <w:t>Brazil</w:t>
            </w:r>
          </w:p>
        </w:tc>
        <w:tc>
          <w:tcPr>
            <w:tcW w:w="1013" w:type="pct"/>
          </w:tcPr>
          <w:p w14:paraId="1B73CEFF" w14:textId="786B0F6F"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0.36</w:t>
            </w:r>
          </w:p>
        </w:tc>
        <w:tc>
          <w:tcPr>
            <w:tcW w:w="1014" w:type="pct"/>
          </w:tcPr>
          <w:p w14:paraId="44D8D3E5" w14:textId="3E3C171A"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8.63</w:t>
            </w:r>
          </w:p>
        </w:tc>
        <w:tc>
          <w:tcPr>
            <w:tcW w:w="1014" w:type="pct"/>
          </w:tcPr>
          <w:p w14:paraId="4D45C811" w14:textId="224F0B00" w:rsidR="00F662D0" w:rsidRPr="00CF6457" w:rsidRDefault="003650DC"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16.07</w:t>
            </w:r>
          </w:p>
        </w:tc>
      </w:tr>
      <w:tr w:rsidR="00F662D0" w:rsidRPr="00EC2B1A" w14:paraId="7EAB367B"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1F1959B3" w14:textId="77777777" w:rsidR="00F662D0" w:rsidRPr="00572F61" w:rsidRDefault="00F662D0" w:rsidP="00572F61">
            <w:pPr>
              <w:pStyle w:val="SDMTableBoxParaNotNumbered"/>
              <w:rPr>
                <w:b w:val="0"/>
                <w:bCs/>
              </w:rPr>
            </w:pPr>
            <w:r w:rsidRPr="00572F61">
              <w:rPr>
                <w:b w:val="0"/>
                <w:bCs/>
              </w:rPr>
              <w:t>Brunei Darussalam</w:t>
            </w:r>
          </w:p>
        </w:tc>
        <w:tc>
          <w:tcPr>
            <w:tcW w:w="1013" w:type="pct"/>
          </w:tcPr>
          <w:p w14:paraId="2A92EACA" w14:textId="4D65CE93"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0.19</w:t>
            </w:r>
          </w:p>
        </w:tc>
        <w:tc>
          <w:tcPr>
            <w:tcW w:w="1014" w:type="pct"/>
          </w:tcPr>
          <w:p w14:paraId="61461B27" w14:textId="55B2B37E"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0.19</w:t>
            </w:r>
          </w:p>
        </w:tc>
        <w:tc>
          <w:tcPr>
            <w:tcW w:w="1014" w:type="pct"/>
          </w:tcPr>
          <w:p w14:paraId="598C83DA" w14:textId="439CDDA9" w:rsidR="00F662D0" w:rsidRPr="00CF6457" w:rsidRDefault="003650DC"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11.06</w:t>
            </w:r>
          </w:p>
        </w:tc>
      </w:tr>
      <w:tr w:rsidR="00F662D0" w:rsidRPr="00EC2B1A" w14:paraId="79C81783"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0956094B" w14:textId="77777777" w:rsidR="00F662D0" w:rsidRPr="00572F61" w:rsidRDefault="00F662D0" w:rsidP="00572F61">
            <w:pPr>
              <w:pStyle w:val="SDMTableBoxParaNotNumbered"/>
              <w:rPr>
                <w:b w:val="0"/>
                <w:bCs/>
              </w:rPr>
            </w:pPr>
            <w:r w:rsidRPr="00572F61">
              <w:rPr>
                <w:b w:val="0"/>
                <w:bCs/>
              </w:rPr>
              <w:t>Bulgaria</w:t>
            </w:r>
          </w:p>
        </w:tc>
        <w:tc>
          <w:tcPr>
            <w:tcW w:w="1013" w:type="pct"/>
          </w:tcPr>
          <w:p w14:paraId="44AF386B" w14:textId="73F08404"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1.05</w:t>
            </w:r>
          </w:p>
        </w:tc>
        <w:tc>
          <w:tcPr>
            <w:tcW w:w="1014" w:type="pct"/>
          </w:tcPr>
          <w:p w14:paraId="1114473A" w14:textId="6D0595AC"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8.09</w:t>
            </w:r>
          </w:p>
        </w:tc>
        <w:tc>
          <w:tcPr>
            <w:tcW w:w="1014" w:type="pct"/>
          </w:tcPr>
          <w:p w14:paraId="51FD3431" w14:textId="0A4BCA05" w:rsidR="00F662D0" w:rsidRPr="00CF6457" w:rsidRDefault="003650DC"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34.14</w:t>
            </w:r>
          </w:p>
        </w:tc>
      </w:tr>
      <w:tr w:rsidR="00F662D0" w:rsidRPr="00EC2B1A" w14:paraId="7A3D46B1"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0C3AE305" w14:textId="77777777" w:rsidR="00F662D0" w:rsidRPr="00572F61" w:rsidRDefault="00F662D0" w:rsidP="00572F61">
            <w:pPr>
              <w:pStyle w:val="SDMTableBoxParaNotNumbered"/>
              <w:rPr>
                <w:b w:val="0"/>
                <w:bCs/>
              </w:rPr>
            </w:pPr>
            <w:r w:rsidRPr="00572F61">
              <w:rPr>
                <w:b w:val="0"/>
                <w:bCs/>
              </w:rPr>
              <w:t>Burkina Faso</w:t>
            </w:r>
          </w:p>
        </w:tc>
        <w:tc>
          <w:tcPr>
            <w:tcW w:w="1013" w:type="pct"/>
          </w:tcPr>
          <w:p w14:paraId="4A23F5FB" w14:textId="1891CFE6"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0.13</w:t>
            </w:r>
          </w:p>
        </w:tc>
        <w:tc>
          <w:tcPr>
            <w:tcW w:w="1014" w:type="pct"/>
          </w:tcPr>
          <w:p w14:paraId="60A07CBE" w14:textId="2CE1793B"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1.45</w:t>
            </w:r>
          </w:p>
        </w:tc>
        <w:tc>
          <w:tcPr>
            <w:tcW w:w="1014" w:type="pct"/>
          </w:tcPr>
          <w:p w14:paraId="07DE67B5" w14:textId="60F49BA2" w:rsidR="00F662D0" w:rsidRPr="00CF6457" w:rsidRDefault="009B0137"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0.</w:t>
            </w:r>
            <w:r w:rsidR="003650DC" w:rsidRPr="00A644C5">
              <w:t>17</w:t>
            </w:r>
          </w:p>
        </w:tc>
      </w:tr>
      <w:tr w:rsidR="00F662D0" w:rsidRPr="00EC2B1A" w14:paraId="414BBE42"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1BCE007F" w14:textId="77777777" w:rsidR="00F662D0" w:rsidRPr="00572F61" w:rsidRDefault="00F662D0" w:rsidP="00572F61">
            <w:pPr>
              <w:pStyle w:val="SDMTableBoxParaNotNumbered"/>
              <w:rPr>
                <w:b w:val="0"/>
                <w:bCs/>
              </w:rPr>
            </w:pPr>
            <w:r w:rsidRPr="00572F61">
              <w:rPr>
                <w:b w:val="0"/>
                <w:bCs/>
              </w:rPr>
              <w:t>Burundi</w:t>
            </w:r>
          </w:p>
        </w:tc>
        <w:tc>
          <w:tcPr>
            <w:tcW w:w="1013" w:type="pct"/>
          </w:tcPr>
          <w:p w14:paraId="48F5B5EB" w14:textId="23036F78"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2.23</w:t>
            </w:r>
          </w:p>
        </w:tc>
        <w:tc>
          <w:tcPr>
            <w:tcW w:w="1014" w:type="pct"/>
          </w:tcPr>
          <w:p w14:paraId="1550D18A" w14:textId="55D80B5C"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0.00</w:t>
            </w:r>
          </w:p>
        </w:tc>
        <w:tc>
          <w:tcPr>
            <w:tcW w:w="1014" w:type="pct"/>
          </w:tcPr>
          <w:p w14:paraId="58835474" w14:textId="05E7384E" w:rsidR="00F662D0" w:rsidRPr="00CF6457" w:rsidRDefault="000A16B8"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Use global value</w:t>
            </w:r>
          </w:p>
        </w:tc>
      </w:tr>
      <w:tr w:rsidR="00F662D0" w:rsidRPr="00EC2B1A" w14:paraId="27E30188"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11CEB4D5" w14:textId="77777777" w:rsidR="00F662D0" w:rsidRPr="00572F61" w:rsidRDefault="00F662D0" w:rsidP="00572F61">
            <w:pPr>
              <w:pStyle w:val="SDMTableBoxParaNotNumbered"/>
              <w:rPr>
                <w:b w:val="0"/>
                <w:bCs/>
              </w:rPr>
            </w:pPr>
            <w:r w:rsidRPr="00572F61">
              <w:rPr>
                <w:b w:val="0"/>
                <w:bCs/>
              </w:rPr>
              <w:t>Cabo Verde</w:t>
            </w:r>
          </w:p>
        </w:tc>
        <w:tc>
          <w:tcPr>
            <w:tcW w:w="1013" w:type="pct"/>
          </w:tcPr>
          <w:p w14:paraId="41FC1477" w14:textId="5C38AE2C"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0.25</w:t>
            </w:r>
          </w:p>
        </w:tc>
        <w:tc>
          <w:tcPr>
            <w:tcW w:w="1014" w:type="pct"/>
          </w:tcPr>
          <w:p w14:paraId="7EA9DED6" w14:textId="057EC174"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2.73</w:t>
            </w:r>
          </w:p>
        </w:tc>
        <w:tc>
          <w:tcPr>
            <w:tcW w:w="1014" w:type="pct"/>
          </w:tcPr>
          <w:p w14:paraId="55D6AE21" w14:textId="6AD02F18" w:rsidR="00F662D0" w:rsidRPr="00CF6457" w:rsidRDefault="009B0137"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0.</w:t>
            </w:r>
            <w:r w:rsidR="003650DC" w:rsidRPr="00A644C5">
              <w:t>26</w:t>
            </w:r>
          </w:p>
        </w:tc>
      </w:tr>
      <w:tr w:rsidR="00F662D0" w:rsidRPr="00EC2B1A" w14:paraId="705B4AA4"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4ABE7434" w14:textId="77777777" w:rsidR="00F662D0" w:rsidRPr="00572F61" w:rsidRDefault="00F662D0" w:rsidP="00572F61">
            <w:pPr>
              <w:pStyle w:val="SDMTableBoxParaNotNumbered"/>
              <w:rPr>
                <w:b w:val="0"/>
                <w:bCs/>
              </w:rPr>
            </w:pPr>
            <w:r w:rsidRPr="00572F61">
              <w:rPr>
                <w:b w:val="0"/>
                <w:bCs/>
              </w:rPr>
              <w:t>Cambodia</w:t>
            </w:r>
          </w:p>
        </w:tc>
        <w:tc>
          <w:tcPr>
            <w:tcW w:w="1013" w:type="pct"/>
          </w:tcPr>
          <w:p w14:paraId="077CD8C5" w14:textId="4FAB8F26"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0.50</w:t>
            </w:r>
          </w:p>
        </w:tc>
        <w:tc>
          <w:tcPr>
            <w:tcW w:w="1014" w:type="pct"/>
          </w:tcPr>
          <w:p w14:paraId="5B94A3EE" w14:textId="039F8025"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5.62</w:t>
            </w:r>
          </w:p>
        </w:tc>
        <w:tc>
          <w:tcPr>
            <w:tcW w:w="1014" w:type="pct"/>
          </w:tcPr>
          <w:p w14:paraId="7061BB4C" w14:textId="1903CF08" w:rsidR="00F662D0" w:rsidRPr="00CF6457" w:rsidRDefault="003650DC"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29.73</w:t>
            </w:r>
          </w:p>
        </w:tc>
      </w:tr>
      <w:tr w:rsidR="00F662D0" w:rsidRPr="00EC2B1A" w14:paraId="37624B99"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794B757A" w14:textId="77777777" w:rsidR="00F662D0" w:rsidRPr="00572F61" w:rsidRDefault="00F662D0" w:rsidP="00572F61">
            <w:pPr>
              <w:pStyle w:val="SDMTableBoxParaNotNumbered"/>
              <w:rPr>
                <w:b w:val="0"/>
                <w:bCs/>
              </w:rPr>
            </w:pPr>
            <w:r w:rsidRPr="00572F61">
              <w:rPr>
                <w:b w:val="0"/>
                <w:bCs/>
              </w:rPr>
              <w:t>Cameroon</w:t>
            </w:r>
          </w:p>
        </w:tc>
        <w:tc>
          <w:tcPr>
            <w:tcW w:w="1013" w:type="pct"/>
          </w:tcPr>
          <w:p w14:paraId="5EE6CBEB" w14:textId="422A133D"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0.17</w:t>
            </w:r>
          </w:p>
        </w:tc>
        <w:tc>
          <w:tcPr>
            <w:tcW w:w="1014" w:type="pct"/>
          </w:tcPr>
          <w:p w14:paraId="5729E749" w14:textId="6330E0E0"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2.93</w:t>
            </w:r>
          </w:p>
        </w:tc>
        <w:tc>
          <w:tcPr>
            <w:tcW w:w="1014" w:type="pct"/>
          </w:tcPr>
          <w:p w14:paraId="7D9AD174" w14:textId="67C63102" w:rsidR="00F662D0" w:rsidRPr="00CF6457" w:rsidRDefault="000A16B8"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Use global value</w:t>
            </w:r>
          </w:p>
        </w:tc>
      </w:tr>
      <w:tr w:rsidR="00F662D0" w:rsidRPr="00EC2B1A" w14:paraId="7E1BCF84"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50FAFB2E" w14:textId="77777777" w:rsidR="00F662D0" w:rsidRPr="00572F61" w:rsidRDefault="00F662D0" w:rsidP="00572F61">
            <w:pPr>
              <w:pStyle w:val="SDMTableBoxParaNotNumbered"/>
              <w:rPr>
                <w:b w:val="0"/>
                <w:bCs/>
              </w:rPr>
            </w:pPr>
            <w:r w:rsidRPr="00572F61">
              <w:rPr>
                <w:b w:val="0"/>
                <w:bCs/>
              </w:rPr>
              <w:t>Canada</w:t>
            </w:r>
          </w:p>
        </w:tc>
        <w:tc>
          <w:tcPr>
            <w:tcW w:w="1013" w:type="pct"/>
          </w:tcPr>
          <w:p w14:paraId="4783024E" w14:textId="652FE9C8"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1.06</w:t>
            </w:r>
          </w:p>
        </w:tc>
        <w:tc>
          <w:tcPr>
            <w:tcW w:w="1014" w:type="pct"/>
          </w:tcPr>
          <w:p w14:paraId="07FC4813" w14:textId="7A2899E2"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2.26</w:t>
            </w:r>
          </w:p>
        </w:tc>
        <w:tc>
          <w:tcPr>
            <w:tcW w:w="1014" w:type="pct"/>
          </w:tcPr>
          <w:p w14:paraId="7465BD4B" w14:textId="02A47974" w:rsidR="00F662D0" w:rsidRPr="00CF6457" w:rsidRDefault="003650DC"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0.70</w:t>
            </w:r>
          </w:p>
        </w:tc>
      </w:tr>
      <w:tr w:rsidR="00F662D0" w:rsidRPr="00EC2B1A" w14:paraId="7F4097AC"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35C2647D" w14:textId="3A275074" w:rsidR="00F662D0" w:rsidRPr="00572F61" w:rsidRDefault="00F662D0" w:rsidP="00572F61">
            <w:pPr>
              <w:pStyle w:val="SDMTableBoxParaNotNumbered"/>
              <w:rPr>
                <w:b w:val="0"/>
                <w:bCs/>
              </w:rPr>
            </w:pPr>
            <w:r w:rsidRPr="00572F61">
              <w:rPr>
                <w:b w:val="0"/>
                <w:bCs/>
              </w:rPr>
              <w:t>Central African Republic</w:t>
            </w:r>
          </w:p>
        </w:tc>
        <w:tc>
          <w:tcPr>
            <w:tcW w:w="1013" w:type="pct"/>
          </w:tcPr>
          <w:p w14:paraId="7D95E281" w14:textId="12BBA2B2"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Use global value</w:t>
            </w:r>
          </w:p>
        </w:tc>
        <w:tc>
          <w:tcPr>
            <w:tcW w:w="1014" w:type="pct"/>
          </w:tcPr>
          <w:p w14:paraId="7A1F598F" w14:textId="79172505"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Use global value</w:t>
            </w:r>
          </w:p>
        </w:tc>
        <w:tc>
          <w:tcPr>
            <w:tcW w:w="1014" w:type="pct"/>
          </w:tcPr>
          <w:p w14:paraId="1FBBB5F7" w14:textId="4B84D580" w:rsidR="00F662D0" w:rsidRPr="00CF6457" w:rsidRDefault="000A16B8"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Use global value</w:t>
            </w:r>
          </w:p>
        </w:tc>
      </w:tr>
      <w:tr w:rsidR="00F662D0" w:rsidRPr="00EC2B1A" w14:paraId="69FFD8F1"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6C07A49B" w14:textId="77777777" w:rsidR="00F662D0" w:rsidRPr="00572F61" w:rsidRDefault="00F662D0" w:rsidP="00572F61">
            <w:pPr>
              <w:pStyle w:val="SDMTableBoxParaNotNumbered"/>
              <w:rPr>
                <w:b w:val="0"/>
                <w:bCs/>
              </w:rPr>
            </w:pPr>
            <w:r w:rsidRPr="00572F61">
              <w:rPr>
                <w:b w:val="0"/>
                <w:bCs/>
              </w:rPr>
              <w:t>Chad</w:t>
            </w:r>
          </w:p>
        </w:tc>
        <w:tc>
          <w:tcPr>
            <w:tcW w:w="1013" w:type="pct"/>
          </w:tcPr>
          <w:p w14:paraId="7C42C9B6" w14:textId="7AD3FE7A"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0.53</w:t>
            </w:r>
          </w:p>
        </w:tc>
        <w:tc>
          <w:tcPr>
            <w:tcW w:w="1014" w:type="pct"/>
          </w:tcPr>
          <w:p w14:paraId="2941519D" w14:textId="31D67606"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0.65</w:t>
            </w:r>
          </w:p>
        </w:tc>
        <w:tc>
          <w:tcPr>
            <w:tcW w:w="1014" w:type="pct"/>
          </w:tcPr>
          <w:p w14:paraId="49E4CFAC" w14:textId="7AD55B64" w:rsidR="00F662D0" w:rsidRPr="00CF6457" w:rsidRDefault="000A16B8"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Use global value</w:t>
            </w:r>
          </w:p>
        </w:tc>
      </w:tr>
      <w:tr w:rsidR="00F662D0" w:rsidRPr="00EC2B1A" w14:paraId="49C326D4"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17327F21" w14:textId="77777777" w:rsidR="00F662D0" w:rsidRPr="00572F61" w:rsidRDefault="00F662D0" w:rsidP="00572F61">
            <w:pPr>
              <w:pStyle w:val="SDMTableBoxParaNotNumbered"/>
              <w:rPr>
                <w:b w:val="0"/>
                <w:bCs/>
              </w:rPr>
            </w:pPr>
            <w:r w:rsidRPr="00572F61">
              <w:rPr>
                <w:b w:val="0"/>
                <w:bCs/>
              </w:rPr>
              <w:t>Chile</w:t>
            </w:r>
          </w:p>
        </w:tc>
        <w:tc>
          <w:tcPr>
            <w:tcW w:w="1013" w:type="pct"/>
          </w:tcPr>
          <w:p w14:paraId="0743C5D8" w14:textId="0B7A9DB9"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1.20</w:t>
            </w:r>
          </w:p>
        </w:tc>
        <w:tc>
          <w:tcPr>
            <w:tcW w:w="1014" w:type="pct"/>
          </w:tcPr>
          <w:p w14:paraId="4E09B36E" w14:textId="7A017801"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8.47</w:t>
            </w:r>
          </w:p>
        </w:tc>
        <w:tc>
          <w:tcPr>
            <w:tcW w:w="1014" w:type="pct"/>
          </w:tcPr>
          <w:p w14:paraId="65355322" w14:textId="2565A83D" w:rsidR="00F662D0" w:rsidRPr="00CF6457" w:rsidRDefault="003650DC"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48.48</w:t>
            </w:r>
          </w:p>
        </w:tc>
      </w:tr>
      <w:tr w:rsidR="00F662D0" w:rsidRPr="00EC2B1A" w14:paraId="76819414"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5EB566EF" w14:textId="77777777" w:rsidR="00F662D0" w:rsidRPr="00572F61" w:rsidRDefault="00F662D0" w:rsidP="00572F61">
            <w:pPr>
              <w:pStyle w:val="SDMTableBoxParaNotNumbered"/>
              <w:rPr>
                <w:b w:val="0"/>
                <w:bCs/>
              </w:rPr>
            </w:pPr>
            <w:r w:rsidRPr="00572F61">
              <w:rPr>
                <w:b w:val="0"/>
                <w:bCs/>
              </w:rPr>
              <w:t>China</w:t>
            </w:r>
          </w:p>
        </w:tc>
        <w:tc>
          <w:tcPr>
            <w:tcW w:w="1013" w:type="pct"/>
          </w:tcPr>
          <w:p w14:paraId="703AC972" w14:textId="47F3F8F6"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0.35</w:t>
            </w:r>
          </w:p>
        </w:tc>
        <w:tc>
          <w:tcPr>
            <w:tcW w:w="1014" w:type="pct"/>
          </w:tcPr>
          <w:p w14:paraId="1A4F0677" w14:textId="75A2D62C"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2.14</w:t>
            </w:r>
          </w:p>
        </w:tc>
        <w:tc>
          <w:tcPr>
            <w:tcW w:w="1014" w:type="pct"/>
          </w:tcPr>
          <w:p w14:paraId="64B7B402" w14:textId="02FF49E7" w:rsidR="00F662D0" w:rsidRPr="00CF6457" w:rsidRDefault="003650DC"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10.04</w:t>
            </w:r>
          </w:p>
        </w:tc>
      </w:tr>
      <w:tr w:rsidR="00F662D0" w:rsidRPr="00EC2B1A" w14:paraId="22A13AA4"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641ABDEC" w14:textId="77777777" w:rsidR="00F662D0" w:rsidRPr="00572F61" w:rsidRDefault="00F662D0" w:rsidP="00572F61">
            <w:pPr>
              <w:pStyle w:val="SDMTableBoxParaNotNumbered"/>
              <w:rPr>
                <w:b w:val="0"/>
                <w:bCs/>
              </w:rPr>
            </w:pPr>
            <w:r w:rsidRPr="00572F61">
              <w:rPr>
                <w:b w:val="0"/>
                <w:bCs/>
              </w:rPr>
              <w:t>Colombia</w:t>
            </w:r>
          </w:p>
        </w:tc>
        <w:tc>
          <w:tcPr>
            <w:tcW w:w="1013" w:type="pct"/>
          </w:tcPr>
          <w:p w14:paraId="70F4EDE8" w14:textId="16C2D666"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0.00</w:t>
            </w:r>
          </w:p>
        </w:tc>
        <w:tc>
          <w:tcPr>
            <w:tcW w:w="1014" w:type="pct"/>
          </w:tcPr>
          <w:p w14:paraId="7F57E20D" w14:textId="4BA7B25D"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4.47</w:t>
            </w:r>
          </w:p>
        </w:tc>
        <w:tc>
          <w:tcPr>
            <w:tcW w:w="1014" w:type="pct"/>
          </w:tcPr>
          <w:p w14:paraId="698807D4" w14:textId="7B728A2D" w:rsidR="00F662D0" w:rsidRPr="00CF6457" w:rsidRDefault="003650DC"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22.42</w:t>
            </w:r>
          </w:p>
        </w:tc>
      </w:tr>
      <w:tr w:rsidR="00F662D0" w:rsidRPr="00EC2B1A" w14:paraId="2EA11F4C"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1E536B44" w14:textId="4ED21AD5" w:rsidR="00F662D0" w:rsidRPr="00572F61" w:rsidRDefault="00F662D0" w:rsidP="00572F61">
            <w:pPr>
              <w:pStyle w:val="SDMTableBoxParaNotNumbered"/>
              <w:rPr>
                <w:b w:val="0"/>
                <w:bCs/>
              </w:rPr>
            </w:pPr>
            <w:r w:rsidRPr="00572F61">
              <w:rPr>
                <w:b w:val="0"/>
                <w:bCs/>
              </w:rPr>
              <w:t>Comoros</w:t>
            </w:r>
          </w:p>
        </w:tc>
        <w:tc>
          <w:tcPr>
            <w:tcW w:w="1013" w:type="pct"/>
          </w:tcPr>
          <w:p w14:paraId="0146C056" w14:textId="742BCBDE"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1.59</w:t>
            </w:r>
          </w:p>
        </w:tc>
        <w:tc>
          <w:tcPr>
            <w:tcW w:w="1014" w:type="pct"/>
          </w:tcPr>
          <w:p w14:paraId="124D524D" w14:textId="4F38F6AA"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1.59</w:t>
            </w:r>
          </w:p>
        </w:tc>
        <w:tc>
          <w:tcPr>
            <w:tcW w:w="1014" w:type="pct"/>
          </w:tcPr>
          <w:p w14:paraId="3B5B0A26" w14:textId="22A9A9A7" w:rsidR="00F662D0" w:rsidRPr="00CF6457" w:rsidRDefault="000A16B8"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Use global value</w:t>
            </w:r>
          </w:p>
        </w:tc>
      </w:tr>
      <w:tr w:rsidR="00F662D0" w:rsidRPr="00EC2B1A" w14:paraId="2E435486"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2E72FE88" w14:textId="78A14FBE" w:rsidR="00F662D0" w:rsidRPr="00572F61" w:rsidRDefault="00F662D0" w:rsidP="00572F61">
            <w:pPr>
              <w:pStyle w:val="SDMTableBoxParaNotNumbered"/>
              <w:rPr>
                <w:b w:val="0"/>
                <w:bCs/>
              </w:rPr>
            </w:pPr>
            <w:r w:rsidRPr="00572F61">
              <w:rPr>
                <w:b w:val="0"/>
                <w:bCs/>
              </w:rPr>
              <w:t>Congo</w:t>
            </w:r>
          </w:p>
        </w:tc>
        <w:tc>
          <w:tcPr>
            <w:tcW w:w="1013" w:type="pct"/>
          </w:tcPr>
          <w:p w14:paraId="0C9B7376" w14:textId="575BAAB4"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0.11</w:t>
            </w:r>
          </w:p>
        </w:tc>
        <w:tc>
          <w:tcPr>
            <w:tcW w:w="1014" w:type="pct"/>
          </w:tcPr>
          <w:p w14:paraId="42A9375B" w14:textId="72B09826"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0.00</w:t>
            </w:r>
          </w:p>
        </w:tc>
        <w:tc>
          <w:tcPr>
            <w:tcW w:w="1014" w:type="pct"/>
          </w:tcPr>
          <w:p w14:paraId="70BD6E74" w14:textId="7BC9E50F" w:rsidR="00F662D0" w:rsidRPr="00CF6457" w:rsidRDefault="000A16B8"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0.00</w:t>
            </w:r>
          </w:p>
        </w:tc>
      </w:tr>
      <w:tr w:rsidR="009D50A4" w:rsidRPr="00EC2B1A" w14:paraId="061A978F"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3B5CB0BB" w14:textId="0189F083" w:rsidR="009D50A4" w:rsidRPr="00572F61" w:rsidRDefault="009D50A4" w:rsidP="00572F61">
            <w:pPr>
              <w:pStyle w:val="SDMTableBoxParaNotNumbered"/>
              <w:rPr>
                <w:b w:val="0"/>
                <w:bCs/>
              </w:rPr>
            </w:pPr>
            <w:r w:rsidRPr="00572F61">
              <w:rPr>
                <w:b w:val="0"/>
                <w:bCs/>
              </w:rPr>
              <w:t>Cook Islands</w:t>
            </w:r>
          </w:p>
        </w:tc>
        <w:tc>
          <w:tcPr>
            <w:tcW w:w="1013" w:type="pct"/>
          </w:tcPr>
          <w:p w14:paraId="6DF4B70B" w14:textId="0B656903" w:rsidR="009D50A4" w:rsidRPr="0070652D" w:rsidRDefault="00BC270A" w:rsidP="00572F61">
            <w:pPr>
              <w:pStyle w:val="SDMTableBoxParaNotNumbered"/>
              <w:cnfStyle w:val="000000000000" w:firstRow="0" w:lastRow="0" w:firstColumn="0" w:lastColumn="0" w:oddVBand="0" w:evenVBand="0" w:oddHBand="0" w:evenHBand="0" w:firstRowFirstColumn="0" w:firstRowLastColumn="0" w:lastRowFirstColumn="0" w:lastRowLastColumn="0"/>
            </w:pPr>
            <w:r>
              <w:t>7.16</w:t>
            </w:r>
          </w:p>
        </w:tc>
        <w:tc>
          <w:tcPr>
            <w:tcW w:w="1014" w:type="pct"/>
          </w:tcPr>
          <w:p w14:paraId="601F1B47" w14:textId="4C7A559B" w:rsidR="009D50A4" w:rsidRPr="00B5612F" w:rsidRDefault="00865D5D" w:rsidP="00572F61">
            <w:pPr>
              <w:pStyle w:val="SDMTableBoxParaNotNumbered"/>
              <w:cnfStyle w:val="000000000000" w:firstRow="0" w:lastRow="0" w:firstColumn="0" w:lastColumn="0" w:oddVBand="0" w:evenVBand="0" w:oddHBand="0" w:evenHBand="0" w:firstRowFirstColumn="0" w:firstRowLastColumn="0" w:lastRowFirstColumn="0" w:lastRowLastColumn="0"/>
            </w:pPr>
            <w:r>
              <w:t>16.54</w:t>
            </w:r>
          </w:p>
        </w:tc>
        <w:tc>
          <w:tcPr>
            <w:tcW w:w="1014" w:type="pct"/>
          </w:tcPr>
          <w:p w14:paraId="24665D6B" w14:textId="1AD9F1E0" w:rsidR="009D50A4" w:rsidRPr="00A644C5" w:rsidRDefault="002F326B"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2F326B">
              <w:t>Use global value</w:t>
            </w:r>
          </w:p>
        </w:tc>
      </w:tr>
      <w:tr w:rsidR="00F662D0" w:rsidRPr="00EC2B1A" w14:paraId="5023539E"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68C3E0F6" w14:textId="77777777" w:rsidR="00F662D0" w:rsidRPr="00572F61" w:rsidRDefault="00F662D0" w:rsidP="00572F61">
            <w:pPr>
              <w:pStyle w:val="SDMTableBoxParaNotNumbered"/>
              <w:rPr>
                <w:b w:val="0"/>
                <w:bCs/>
              </w:rPr>
            </w:pPr>
            <w:r w:rsidRPr="00572F61">
              <w:rPr>
                <w:b w:val="0"/>
                <w:bCs/>
              </w:rPr>
              <w:t>Costa Rica</w:t>
            </w:r>
          </w:p>
        </w:tc>
        <w:tc>
          <w:tcPr>
            <w:tcW w:w="1013" w:type="pct"/>
          </w:tcPr>
          <w:p w14:paraId="3D9A218C" w14:textId="0C32FA05"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5.12</w:t>
            </w:r>
          </w:p>
        </w:tc>
        <w:tc>
          <w:tcPr>
            <w:tcW w:w="1014" w:type="pct"/>
          </w:tcPr>
          <w:p w14:paraId="5D05CC14" w14:textId="1AAE5C13"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12.08</w:t>
            </w:r>
          </w:p>
        </w:tc>
        <w:tc>
          <w:tcPr>
            <w:tcW w:w="1014" w:type="pct"/>
          </w:tcPr>
          <w:p w14:paraId="4272FB66" w14:textId="2E0EF89B" w:rsidR="00F662D0" w:rsidRPr="00CF6457" w:rsidRDefault="009B0137"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46</w:t>
            </w:r>
            <w:r w:rsidR="003650DC" w:rsidRPr="00A644C5">
              <w:t>.20</w:t>
            </w:r>
          </w:p>
        </w:tc>
      </w:tr>
      <w:tr w:rsidR="00F662D0" w:rsidRPr="00EC2B1A" w14:paraId="4E08F4DB"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764BACE3" w14:textId="77777777" w:rsidR="00F662D0" w:rsidRPr="00572F61" w:rsidRDefault="00F662D0" w:rsidP="00572F61">
            <w:pPr>
              <w:pStyle w:val="SDMTableBoxParaNotNumbered"/>
              <w:rPr>
                <w:b w:val="0"/>
                <w:bCs/>
              </w:rPr>
            </w:pPr>
            <w:r w:rsidRPr="00572F61">
              <w:rPr>
                <w:b w:val="0"/>
                <w:bCs/>
              </w:rPr>
              <w:t>Cote d'Ivoire</w:t>
            </w:r>
          </w:p>
        </w:tc>
        <w:tc>
          <w:tcPr>
            <w:tcW w:w="1013" w:type="pct"/>
          </w:tcPr>
          <w:p w14:paraId="50346E29" w14:textId="0F641287"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0.20</w:t>
            </w:r>
          </w:p>
        </w:tc>
        <w:tc>
          <w:tcPr>
            <w:tcW w:w="1014" w:type="pct"/>
          </w:tcPr>
          <w:p w14:paraId="0672F1BE" w14:textId="0D276BB6"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3.53</w:t>
            </w:r>
          </w:p>
        </w:tc>
        <w:tc>
          <w:tcPr>
            <w:tcW w:w="1014" w:type="pct"/>
          </w:tcPr>
          <w:p w14:paraId="02B0A725" w14:textId="3C5BCE1B" w:rsidR="00F662D0" w:rsidRPr="00CF6457" w:rsidRDefault="003650DC"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125.80</w:t>
            </w:r>
          </w:p>
        </w:tc>
      </w:tr>
      <w:tr w:rsidR="00F662D0" w:rsidRPr="00EC2B1A" w14:paraId="0EF56E28"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48A65B2A" w14:textId="77777777" w:rsidR="00F662D0" w:rsidRPr="00572F61" w:rsidRDefault="00F662D0" w:rsidP="00572F61">
            <w:pPr>
              <w:pStyle w:val="SDMTableBoxParaNotNumbered"/>
              <w:rPr>
                <w:b w:val="0"/>
                <w:bCs/>
              </w:rPr>
            </w:pPr>
            <w:r w:rsidRPr="00572F61">
              <w:rPr>
                <w:b w:val="0"/>
                <w:bCs/>
              </w:rPr>
              <w:t>Croatia</w:t>
            </w:r>
          </w:p>
        </w:tc>
        <w:tc>
          <w:tcPr>
            <w:tcW w:w="1013" w:type="pct"/>
          </w:tcPr>
          <w:p w14:paraId="3104306D" w14:textId="28FEA2FF"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5.52</w:t>
            </w:r>
          </w:p>
        </w:tc>
        <w:tc>
          <w:tcPr>
            <w:tcW w:w="1014" w:type="pct"/>
          </w:tcPr>
          <w:p w14:paraId="08C29B18" w14:textId="4BBFEB86"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5.82</w:t>
            </w:r>
          </w:p>
        </w:tc>
        <w:tc>
          <w:tcPr>
            <w:tcW w:w="1014" w:type="pct"/>
          </w:tcPr>
          <w:p w14:paraId="2CC4A4DD" w14:textId="1CBB5A2F" w:rsidR="00F662D0" w:rsidRPr="00CF6457" w:rsidRDefault="003650DC"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23.87</w:t>
            </w:r>
          </w:p>
        </w:tc>
      </w:tr>
      <w:tr w:rsidR="00F662D0" w:rsidRPr="00EC2B1A" w14:paraId="35D40DF2"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788FAD06" w14:textId="77777777" w:rsidR="00F662D0" w:rsidRPr="00572F61" w:rsidRDefault="00F662D0" w:rsidP="00572F61">
            <w:pPr>
              <w:pStyle w:val="SDMTableBoxParaNotNumbered"/>
              <w:rPr>
                <w:b w:val="0"/>
                <w:bCs/>
              </w:rPr>
            </w:pPr>
            <w:r w:rsidRPr="00572F61">
              <w:rPr>
                <w:b w:val="0"/>
                <w:bCs/>
              </w:rPr>
              <w:t>Cuba</w:t>
            </w:r>
          </w:p>
        </w:tc>
        <w:tc>
          <w:tcPr>
            <w:tcW w:w="1013" w:type="pct"/>
          </w:tcPr>
          <w:p w14:paraId="3AEDBDBC" w14:textId="5A7F8322"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0.07</w:t>
            </w:r>
          </w:p>
        </w:tc>
        <w:tc>
          <w:tcPr>
            <w:tcW w:w="1014" w:type="pct"/>
          </w:tcPr>
          <w:p w14:paraId="4D94A731" w14:textId="68D682D2"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0.20</w:t>
            </w:r>
          </w:p>
        </w:tc>
        <w:tc>
          <w:tcPr>
            <w:tcW w:w="1014" w:type="pct"/>
          </w:tcPr>
          <w:p w14:paraId="5ADEF118" w14:textId="08659978" w:rsidR="00F662D0" w:rsidRPr="00CF6457" w:rsidRDefault="003650DC"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27.25</w:t>
            </w:r>
          </w:p>
        </w:tc>
      </w:tr>
      <w:tr w:rsidR="00F662D0" w:rsidRPr="00EC2B1A" w14:paraId="3130BE6E"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2327C9CB" w14:textId="77777777" w:rsidR="00F662D0" w:rsidRPr="00572F61" w:rsidRDefault="00F662D0" w:rsidP="00572F61">
            <w:pPr>
              <w:pStyle w:val="SDMTableBoxParaNotNumbered"/>
              <w:rPr>
                <w:b w:val="0"/>
                <w:bCs/>
              </w:rPr>
            </w:pPr>
            <w:r w:rsidRPr="00572F61">
              <w:rPr>
                <w:b w:val="0"/>
                <w:bCs/>
              </w:rPr>
              <w:t>Cyprus</w:t>
            </w:r>
          </w:p>
        </w:tc>
        <w:tc>
          <w:tcPr>
            <w:tcW w:w="1013" w:type="pct"/>
          </w:tcPr>
          <w:p w14:paraId="48753229" w14:textId="3CBD48A4"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0.01</w:t>
            </w:r>
          </w:p>
        </w:tc>
        <w:tc>
          <w:tcPr>
            <w:tcW w:w="1014" w:type="pct"/>
          </w:tcPr>
          <w:p w14:paraId="53121853" w14:textId="44989052"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2.50</w:t>
            </w:r>
          </w:p>
        </w:tc>
        <w:tc>
          <w:tcPr>
            <w:tcW w:w="1014" w:type="pct"/>
          </w:tcPr>
          <w:p w14:paraId="783C024A" w14:textId="2BE58457" w:rsidR="00F662D0" w:rsidRPr="00CF6457" w:rsidRDefault="003650DC"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112.18</w:t>
            </w:r>
          </w:p>
        </w:tc>
      </w:tr>
      <w:tr w:rsidR="00F662D0" w:rsidRPr="00EC2B1A" w14:paraId="15D84969"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36064B04" w14:textId="77777777" w:rsidR="00F662D0" w:rsidRPr="00572F61" w:rsidRDefault="00F662D0" w:rsidP="00572F61">
            <w:pPr>
              <w:pStyle w:val="SDMTableBoxParaNotNumbered"/>
              <w:rPr>
                <w:b w:val="0"/>
                <w:bCs/>
              </w:rPr>
            </w:pPr>
            <w:r w:rsidRPr="00572F61">
              <w:rPr>
                <w:b w:val="0"/>
                <w:bCs/>
              </w:rPr>
              <w:t>Czechia</w:t>
            </w:r>
          </w:p>
        </w:tc>
        <w:tc>
          <w:tcPr>
            <w:tcW w:w="1013" w:type="pct"/>
          </w:tcPr>
          <w:p w14:paraId="2A78B61D" w14:textId="1F12BC53"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0.76</w:t>
            </w:r>
          </w:p>
        </w:tc>
        <w:tc>
          <w:tcPr>
            <w:tcW w:w="1014" w:type="pct"/>
          </w:tcPr>
          <w:p w14:paraId="73EF5252" w14:textId="2CCF70E7"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4.19</w:t>
            </w:r>
          </w:p>
        </w:tc>
        <w:tc>
          <w:tcPr>
            <w:tcW w:w="1014" w:type="pct"/>
          </w:tcPr>
          <w:p w14:paraId="3F36012F" w14:textId="2D2B22F7" w:rsidR="00F662D0" w:rsidRPr="00CF6457" w:rsidRDefault="003650DC"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55.01</w:t>
            </w:r>
          </w:p>
        </w:tc>
      </w:tr>
      <w:tr w:rsidR="00F22106" w:rsidRPr="00EC2B1A" w14:paraId="0F2700BC"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74220B6E" w14:textId="3F1603C1" w:rsidR="00F22106" w:rsidRPr="00572F61" w:rsidRDefault="00F22106" w:rsidP="00572F61">
            <w:pPr>
              <w:pStyle w:val="SDMTableBoxParaNotNumbered"/>
              <w:rPr>
                <w:b w:val="0"/>
                <w:bCs/>
              </w:rPr>
            </w:pPr>
            <w:r w:rsidRPr="00572F61">
              <w:rPr>
                <w:b w:val="0"/>
                <w:bCs/>
              </w:rPr>
              <w:t>Democratic People's Republic of Korea</w:t>
            </w:r>
          </w:p>
        </w:tc>
        <w:tc>
          <w:tcPr>
            <w:tcW w:w="1013" w:type="pct"/>
          </w:tcPr>
          <w:p w14:paraId="591D7EAF" w14:textId="6AE9176C" w:rsidR="00F22106" w:rsidRPr="00CF6457" w:rsidRDefault="00F22106"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0.00</w:t>
            </w:r>
          </w:p>
        </w:tc>
        <w:tc>
          <w:tcPr>
            <w:tcW w:w="1014" w:type="pct"/>
          </w:tcPr>
          <w:p w14:paraId="5B91E600" w14:textId="0B348532" w:rsidR="00F22106" w:rsidRPr="00CF6457" w:rsidRDefault="00F22106"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6.67</w:t>
            </w:r>
          </w:p>
        </w:tc>
        <w:tc>
          <w:tcPr>
            <w:tcW w:w="1014" w:type="pct"/>
          </w:tcPr>
          <w:p w14:paraId="07317375" w14:textId="78E6857C" w:rsidR="00F22106" w:rsidRPr="00CF6457" w:rsidRDefault="00F22106"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18.73</w:t>
            </w:r>
          </w:p>
        </w:tc>
      </w:tr>
      <w:tr w:rsidR="00F22106" w:rsidRPr="00EC2B1A" w14:paraId="12DC86CE"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624B824B" w14:textId="3BB75B2A" w:rsidR="00F22106" w:rsidRPr="00572F61" w:rsidRDefault="00F22106" w:rsidP="00572F61">
            <w:pPr>
              <w:pStyle w:val="SDMTableBoxParaNotNumbered"/>
              <w:rPr>
                <w:b w:val="0"/>
                <w:bCs/>
              </w:rPr>
            </w:pPr>
            <w:r w:rsidRPr="00572F61">
              <w:rPr>
                <w:b w:val="0"/>
                <w:bCs/>
              </w:rPr>
              <w:t>Democratic Republic of the Congo</w:t>
            </w:r>
          </w:p>
        </w:tc>
        <w:tc>
          <w:tcPr>
            <w:tcW w:w="1013" w:type="pct"/>
          </w:tcPr>
          <w:p w14:paraId="05D270C9" w14:textId="3E9BDA56" w:rsidR="00F22106" w:rsidRPr="00CF6457" w:rsidRDefault="00F22106"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0.00</w:t>
            </w:r>
          </w:p>
        </w:tc>
        <w:tc>
          <w:tcPr>
            <w:tcW w:w="1014" w:type="pct"/>
          </w:tcPr>
          <w:p w14:paraId="753D73F5" w14:textId="7C13EB7B" w:rsidR="00F22106" w:rsidRPr="00CF6457" w:rsidRDefault="00F22106"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1.83</w:t>
            </w:r>
          </w:p>
        </w:tc>
        <w:tc>
          <w:tcPr>
            <w:tcW w:w="1014" w:type="pct"/>
          </w:tcPr>
          <w:p w14:paraId="51966CE6" w14:textId="233DD083" w:rsidR="00F22106" w:rsidRPr="00CF6457" w:rsidRDefault="00F22106"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2.30</w:t>
            </w:r>
          </w:p>
        </w:tc>
      </w:tr>
      <w:tr w:rsidR="00F662D0" w:rsidRPr="00EC2B1A" w14:paraId="65F6F548"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2584F2C0" w14:textId="77777777" w:rsidR="00F662D0" w:rsidRPr="00572F61" w:rsidRDefault="00F662D0" w:rsidP="00572F61">
            <w:pPr>
              <w:pStyle w:val="SDMTableBoxParaNotNumbered"/>
              <w:rPr>
                <w:b w:val="0"/>
                <w:bCs/>
              </w:rPr>
            </w:pPr>
            <w:r w:rsidRPr="00572F61">
              <w:rPr>
                <w:b w:val="0"/>
                <w:bCs/>
              </w:rPr>
              <w:t>Denmark</w:t>
            </w:r>
          </w:p>
        </w:tc>
        <w:tc>
          <w:tcPr>
            <w:tcW w:w="1013" w:type="pct"/>
          </w:tcPr>
          <w:p w14:paraId="78616CAA" w14:textId="1574EAC3"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1.37</w:t>
            </w:r>
          </w:p>
        </w:tc>
        <w:tc>
          <w:tcPr>
            <w:tcW w:w="1014" w:type="pct"/>
          </w:tcPr>
          <w:p w14:paraId="4C92A972" w14:textId="415F0505"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12.34</w:t>
            </w:r>
          </w:p>
        </w:tc>
        <w:tc>
          <w:tcPr>
            <w:tcW w:w="1014" w:type="pct"/>
          </w:tcPr>
          <w:p w14:paraId="317B65A3" w14:textId="755063E9" w:rsidR="00F662D0" w:rsidRPr="00CF6457" w:rsidRDefault="003650DC"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21.76</w:t>
            </w:r>
          </w:p>
        </w:tc>
      </w:tr>
      <w:tr w:rsidR="00F662D0" w:rsidRPr="00EC2B1A" w14:paraId="51E6366D"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4E2CA78B" w14:textId="77777777" w:rsidR="00F662D0" w:rsidRPr="00572F61" w:rsidRDefault="00F662D0" w:rsidP="00572F61">
            <w:pPr>
              <w:pStyle w:val="SDMTableBoxParaNotNumbered"/>
              <w:rPr>
                <w:b w:val="0"/>
                <w:bCs/>
              </w:rPr>
            </w:pPr>
            <w:r w:rsidRPr="00572F61">
              <w:rPr>
                <w:b w:val="0"/>
                <w:bCs/>
              </w:rPr>
              <w:t>Djibouti</w:t>
            </w:r>
          </w:p>
        </w:tc>
        <w:tc>
          <w:tcPr>
            <w:tcW w:w="1013" w:type="pct"/>
          </w:tcPr>
          <w:p w14:paraId="222457EA" w14:textId="2815CC58"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0.00</w:t>
            </w:r>
          </w:p>
        </w:tc>
        <w:tc>
          <w:tcPr>
            <w:tcW w:w="1014" w:type="pct"/>
          </w:tcPr>
          <w:p w14:paraId="674D6C5F" w14:textId="674D189E"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7.75</w:t>
            </w:r>
          </w:p>
        </w:tc>
        <w:tc>
          <w:tcPr>
            <w:tcW w:w="1014" w:type="pct"/>
          </w:tcPr>
          <w:p w14:paraId="2043537A" w14:textId="2C39B282" w:rsidR="00F662D0" w:rsidRPr="00CF6457" w:rsidRDefault="000A16B8"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Use global value</w:t>
            </w:r>
          </w:p>
        </w:tc>
      </w:tr>
      <w:tr w:rsidR="00F662D0" w:rsidRPr="00EC2B1A" w14:paraId="3C48755A"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07C2DBE7" w14:textId="77777777" w:rsidR="00F662D0" w:rsidRPr="00572F61" w:rsidRDefault="00F662D0" w:rsidP="00572F61">
            <w:pPr>
              <w:pStyle w:val="SDMTableBoxParaNotNumbered"/>
              <w:rPr>
                <w:b w:val="0"/>
                <w:bCs/>
              </w:rPr>
            </w:pPr>
            <w:r w:rsidRPr="00572F61">
              <w:rPr>
                <w:b w:val="0"/>
                <w:bCs/>
              </w:rPr>
              <w:t>Dominica</w:t>
            </w:r>
          </w:p>
        </w:tc>
        <w:tc>
          <w:tcPr>
            <w:tcW w:w="1013" w:type="pct"/>
          </w:tcPr>
          <w:p w14:paraId="597ADA66" w14:textId="13B65EA3"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0.72</w:t>
            </w:r>
          </w:p>
        </w:tc>
        <w:tc>
          <w:tcPr>
            <w:tcW w:w="1014" w:type="pct"/>
          </w:tcPr>
          <w:p w14:paraId="59195EB5" w14:textId="565942A5"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1.37</w:t>
            </w:r>
          </w:p>
        </w:tc>
        <w:tc>
          <w:tcPr>
            <w:tcW w:w="1014" w:type="pct"/>
          </w:tcPr>
          <w:p w14:paraId="3D5335EC" w14:textId="6C48CDF7" w:rsidR="00F662D0" w:rsidRPr="00CF6457" w:rsidRDefault="000A16B8"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Use global value</w:t>
            </w:r>
          </w:p>
        </w:tc>
      </w:tr>
      <w:tr w:rsidR="00F662D0" w:rsidRPr="00EC2B1A" w14:paraId="02BF2BFE"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42CAD6A3" w14:textId="44E620B8" w:rsidR="00F662D0" w:rsidRPr="00572F61" w:rsidRDefault="00F662D0" w:rsidP="00572F61">
            <w:pPr>
              <w:pStyle w:val="SDMTableBoxParaNotNumbered"/>
              <w:rPr>
                <w:b w:val="0"/>
                <w:bCs/>
              </w:rPr>
            </w:pPr>
            <w:r w:rsidRPr="00572F61">
              <w:rPr>
                <w:b w:val="0"/>
                <w:bCs/>
              </w:rPr>
              <w:t>Dominican Republic</w:t>
            </w:r>
          </w:p>
        </w:tc>
        <w:tc>
          <w:tcPr>
            <w:tcW w:w="1013" w:type="pct"/>
          </w:tcPr>
          <w:p w14:paraId="7A98F5FD" w14:textId="395E8CF5"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0.00</w:t>
            </w:r>
          </w:p>
        </w:tc>
        <w:tc>
          <w:tcPr>
            <w:tcW w:w="1014" w:type="pct"/>
          </w:tcPr>
          <w:p w14:paraId="5921F5C0" w14:textId="7B5264BF"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1.11</w:t>
            </w:r>
          </w:p>
        </w:tc>
        <w:tc>
          <w:tcPr>
            <w:tcW w:w="1014" w:type="pct"/>
          </w:tcPr>
          <w:p w14:paraId="06DDB6EC" w14:textId="22EFFA1C" w:rsidR="00F662D0" w:rsidRPr="00CF6457" w:rsidRDefault="003650DC"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24.18</w:t>
            </w:r>
          </w:p>
        </w:tc>
      </w:tr>
      <w:tr w:rsidR="00F662D0" w:rsidRPr="00EC2B1A" w14:paraId="1F447B59"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7B0761D9" w14:textId="77777777" w:rsidR="00F662D0" w:rsidRPr="00572F61" w:rsidRDefault="00F662D0" w:rsidP="00572F61">
            <w:pPr>
              <w:pStyle w:val="SDMTableBoxParaNotNumbered"/>
              <w:rPr>
                <w:b w:val="0"/>
                <w:bCs/>
              </w:rPr>
            </w:pPr>
            <w:r w:rsidRPr="00572F61">
              <w:rPr>
                <w:b w:val="0"/>
                <w:bCs/>
              </w:rPr>
              <w:t>Ecuador</w:t>
            </w:r>
          </w:p>
        </w:tc>
        <w:tc>
          <w:tcPr>
            <w:tcW w:w="1013" w:type="pct"/>
          </w:tcPr>
          <w:p w14:paraId="6541B2F9" w14:textId="6B5ACE6C"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0.26</w:t>
            </w:r>
          </w:p>
        </w:tc>
        <w:tc>
          <w:tcPr>
            <w:tcW w:w="1014" w:type="pct"/>
          </w:tcPr>
          <w:p w14:paraId="247BF604" w14:textId="15AE05AA"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14.66</w:t>
            </w:r>
          </w:p>
        </w:tc>
        <w:tc>
          <w:tcPr>
            <w:tcW w:w="1014" w:type="pct"/>
          </w:tcPr>
          <w:p w14:paraId="4299BF16" w14:textId="501C0B1F" w:rsidR="00F662D0" w:rsidRPr="00CF6457" w:rsidRDefault="003650DC"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0.70</w:t>
            </w:r>
          </w:p>
        </w:tc>
      </w:tr>
      <w:tr w:rsidR="00F662D0" w:rsidRPr="00EC2B1A" w14:paraId="522A031C"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213CBC55" w14:textId="77777777" w:rsidR="00F662D0" w:rsidRPr="00572F61" w:rsidRDefault="00F662D0" w:rsidP="00572F61">
            <w:pPr>
              <w:pStyle w:val="SDMTableBoxParaNotNumbered"/>
              <w:rPr>
                <w:b w:val="0"/>
                <w:bCs/>
              </w:rPr>
            </w:pPr>
            <w:r w:rsidRPr="00572F61">
              <w:rPr>
                <w:b w:val="0"/>
                <w:bCs/>
              </w:rPr>
              <w:t>Egypt</w:t>
            </w:r>
          </w:p>
        </w:tc>
        <w:tc>
          <w:tcPr>
            <w:tcW w:w="1013" w:type="pct"/>
          </w:tcPr>
          <w:p w14:paraId="3211C8CB" w14:textId="5EE37F39"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0.07</w:t>
            </w:r>
          </w:p>
        </w:tc>
        <w:tc>
          <w:tcPr>
            <w:tcW w:w="1014" w:type="pct"/>
          </w:tcPr>
          <w:p w14:paraId="6F50EB43" w14:textId="58949B2D"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0.81</w:t>
            </w:r>
          </w:p>
        </w:tc>
        <w:tc>
          <w:tcPr>
            <w:tcW w:w="1014" w:type="pct"/>
          </w:tcPr>
          <w:p w14:paraId="0E5E492D" w14:textId="5811F5A6" w:rsidR="00F662D0" w:rsidRPr="00CF6457" w:rsidRDefault="003650DC"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26</w:t>
            </w:r>
            <w:r w:rsidR="009B0137" w:rsidRPr="00A644C5">
              <w:t>.51</w:t>
            </w:r>
          </w:p>
        </w:tc>
      </w:tr>
      <w:tr w:rsidR="00F662D0" w:rsidRPr="00EC2B1A" w14:paraId="776546FF"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30C6391E" w14:textId="77777777" w:rsidR="00F662D0" w:rsidRPr="00572F61" w:rsidRDefault="00F662D0" w:rsidP="00572F61">
            <w:pPr>
              <w:pStyle w:val="SDMTableBoxParaNotNumbered"/>
              <w:rPr>
                <w:b w:val="0"/>
                <w:bCs/>
              </w:rPr>
            </w:pPr>
            <w:r w:rsidRPr="00572F61">
              <w:rPr>
                <w:b w:val="0"/>
                <w:bCs/>
              </w:rPr>
              <w:t>El Salvador</w:t>
            </w:r>
          </w:p>
        </w:tc>
        <w:tc>
          <w:tcPr>
            <w:tcW w:w="1013" w:type="pct"/>
          </w:tcPr>
          <w:p w14:paraId="3F89F59C" w14:textId="4409B526"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0.13</w:t>
            </w:r>
          </w:p>
        </w:tc>
        <w:tc>
          <w:tcPr>
            <w:tcW w:w="1014" w:type="pct"/>
          </w:tcPr>
          <w:p w14:paraId="2AA046FA" w14:textId="43775676"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15.70</w:t>
            </w:r>
          </w:p>
        </w:tc>
        <w:tc>
          <w:tcPr>
            <w:tcW w:w="1014" w:type="pct"/>
          </w:tcPr>
          <w:p w14:paraId="61CFAE79" w14:textId="543CB6AC" w:rsidR="00F662D0" w:rsidRPr="00CF6457" w:rsidRDefault="003650DC"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39.14</w:t>
            </w:r>
          </w:p>
        </w:tc>
      </w:tr>
      <w:tr w:rsidR="00F662D0" w:rsidRPr="00EC2B1A" w14:paraId="679D25AA"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0361AC30" w14:textId="77777777" w:rsidR="00F662D0" w:rsidRPr="00572F61" w:rsidRDefault="00F662D0" w:rsidP="00572F61">
            <w:pPr>
              <w:pStyle w:val="SDMTableBoxParaNotNumbered"/>
              <w:rPr>
                <w:b w:val="0"/>
                <w:bCs/>
              </w:rPr>
            </w:pPr>
            <w:r w:rsidRPr="00572F61">
              <w:rPr>
                <w:b w:val="0"/>
                <w:bCs/>
              </w:rPr>
              <w:t>Equatorial Guinea</w:t>
            </w:r>
          </w:p>
        </w:tc>
        <w:tc>
          <w:tcPr>
            <w:tcW w:w="1013" w:type="pct"/>
          </w:tcPr>
          <w:p w14:paraId="5517512D" w14:textId="3838BB1A"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0.19</w:t>
            </w:r>
          </w:p>
        </w:tc>
        <w:tc>
          <w:tcPr>
            <w:tcW w:w="1014" w:type="pct"/>
          </w:tcPr>
          <w:p w14:paraId="7A921DD6" w14:textId="736EAD62"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0.00</w:t>
            </w:r>
          </w:p>
        </w:tc>
        <w:tc>
          <w:tcPr>
            <w:tcW w:w="1014" w:type="pct"/>
          </w:tcPr>
          <w:p w14:paraId="528F898F" w14:textId="77FE79BD" w:rsidR="00F662D0" w:rsidRPr="00CF6457" w:rsidRDefault="003650DC"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26.31</w:t>
            </w:r>
          </w:p>
        </w:tc>
      </w:tr>
      <w:tr w:rsidR="00F662D0" w:rsidRPr="00EC2B1A" w14:paraId="7F0FE8F2"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12BAC81F" w14:textId="77777777" w:rsidR="00F662D0" w:rsidRPr="00572F61" w:rsidRDefault="00F662D0" w:rsidP="00572F61">
            <w:pPr>
              <w:pStyle w:val="SDMTableBoxParaNotNumbered"/>
              <w:rPr>
                <w:b w:val="0"/>
                <w:bCs/>
              </w:rPr>
            </w:pPr>
            <w:r w:rsidRPr="00572F61">
              <w:rPr>
                <w:b w:val="0"/>
                <w:bCs/>
              </w:rPr>
              <w:t>Eritrea</w:t>
            </w:r>
          </w:p>
        </w:tc>
        <w:tc>
          <w:tcPr>
            <w:tcW w:w="1013" w:type="pct"/>
          </w:tcPr>
          <w:p w14:paraId="229C0D2D" w14:textId="789152A6"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0.24</w:t>
            </w:r>
          </w:p>
        </w:tc>
        <w:tc>
          <w:tcPr>
            <w:tcW w:w="1014" w:type="pct"/>
          </w:tcPr>
          <w:p w14:paraId="57B24EDD" w14:textId="7A1CA868"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3.00</w:t>
            </w:r>
          </w:p>
        </w:tc>
        <w:tc>
          <w:tcPr>
            <w:tcW w:w="1014" w:type="pct"/>
          </w:tcPr>
          <w:p w14:paraId="6E88541E" w14:textId="38759298" w:rsidR="00F662D0" w:rsidRPr="00CF6457" w:rsidRDefault="003650DC"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6.15</w:t>
            </w:r>
          </w:p>
        </w:tc>
      </w:tr>
      <w:tr w:rsidR="00F662D0" w:rsidRPr="00EC2B1A" w14:paraId="5446B4BE"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20689B67" w14:textId="77777777" w:rsidR="00F662D0" w:rsidRPr="00572F61" w:rsidRDefault="00F662D0" w:rsidP="00572F61">
            <w:pPr>
              <w:pStyle w:val="SDMTableBoxParaNotNumbered"/>
              <w:rPr>
                <w:b w:val="0"/>
                <w:bCs/>
              </w:rPr>
            </w:pPr>
            <w:r w:rsidRPr="00572F61">
              <w:rPr>
                <w:b w:val="0"/>
                <w:bCs/>
              </w:rPr>
              <w:t>Estonia</w:t>
            </w:r>
          </w:p>
        </w:tc>
        <w:tc>
          <w:tcPr>
            <w:tcW w:w="1013" w:type="pct"/>
          </w:tcPr>
          <w:p w14:paraId="681E9243" w14:textId="1185B1F4"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0.03</w:t>
            </w:r>
          </w:p>
        </w:tc>
        <w:tc>
          <w:tcPr>
            <w:tcW w:w="1014" w:type="pct"/>
          </w:tcPr>
          <w:p w14:paraId="77DDF7FE" w14:textId="5108A439"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7.39</w:t>
            </w:r>
          </w:p>
        </w:tc>
        <w:tc>
          <w:tcPr>
            <w:tcW w:w="1014" w:type="pct"/>
          </w:tcPr>
          <w:p w14:paraId="197FBB72" w14:textId="5390FC97" w:rsidR="00F662D0" w:rsidRPr="00CF6457" w:rsidRDefault="003650DC"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46.17</w:t>
            </w:r>
          </w:p>
        </w:tc>
      </w:tr>
      <w:tr w:rsidR="00F662D0" w:rsidRPr="00EC2B1A" w14:paraId="5210A916"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3790BCEF" w14:textId="22D338E9" w:rsidR="00F662D0" w:rsidRPr="00572F61" w:rsidRDefault="00F662D0" w:rsidP="00572F61">
            <w:pPr>
              <w:pStyle w:val="SDMTableBoxParaNotNumbered"/>
              <w:rPr>
                <w:b w:val="0"/>
                <w:bCs/>
              </w:rPr>
            </w:pPr>
            <w:r w:rsidRPr="00572F61">
              <w:rPr>
                <w:b w:val="0"/>
                <w:bCs/>
              </w:rPr>
              <w:t>Eswatini</w:t>
            </w:r>
          </w:p>
        </w:tc>
        <w:tc>
          <w:tcPr>
            <w:tcW w:w="1013" w:type="pct"/>
          </w:tcPr>
          <w:p w14:paraId="46ACE37B" w14:textId="7C371D8B"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0.00</w:t>
            </w:r>
          </w:p>
        </w:tc>
        <w:tc>
          <w:tcPr>
            <w:tcW w:w="1014" w:type="pct"/>
          </w:tcPr>
          <w:p w14:paraId="719FCA89" w14:textId="697564E4"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8.60</w:t>
            </w:r>
          </w:p>
        </w:tc>
        <w:tc>
          <w:tcPr>
            <w:tcW w:w="1014" w:type="pct"/>
          </w:tcPr>
          <w:p w14:paraId="1A29D658" w14:textId="7F67375A" w:rsidR="00F662D0" w:rsidRPr="00CF6457" w:rsidRDefault="000A16B8"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Use global value</w:t>
            </w:r>
          </w:p>
        </w:tc>
      </w:tr>
      <w:tr w:rsidR="00F662D0" w:rsidRPr="00EC2B1A" w14:paraId="138BCC01"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643396E5" w14:textId="77777777" w:rsidR="00F662D0" w:rsidRPr="00572F61" w:rsidRDefault="00F662D0" w:rsidP="00572F61">
            <w:pPr>
              <w:pStyle w:val="SDMTableBoxParaNotNumbered"/>
              <w:rPr>
                <w:b w:val="0"/>
                <w:bCs/>
              </w:rPr>
            </w:pPr>
            <w:r w:rsidRPr="00572F61">
              <w:rPr>
                <w:b w:val="0"/>
                <w:bCs/>
              </w:rPr>
              <w:t>Ethiopia</w:t>
            </w:r>
          </w:p>
        </w:tc>
        <w:tc>
          <w:tcPr>
            <w:tcW w:w="1013" w:type="pct"/>
          </w:tcPr>
          <w:p w14:paraId="2A30AA3B" w14:textId="77626BEF"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Use global value</w:t>
            </w:r>
          </w:p>
        </w:tc>
        <w:tc>
          <w:tcPr>
            <w:tcW w:w="1014" w:type="pct"/>
          </w:tcPr>
          <w:p w14:paraId="27FF6783" w14:textId="57AC615C"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0.65</w:t>
            </w:r>
          </w:p>
        </w:tc>
        <w:tc>
          <w:tcPr>
            <w:tcW w:w="1014" w:type="pct"/>
          </w:tcPr>
          <w:p w14:paraId="0C32CA69" w14:textId="0B1FDACB" w:rsidR="00F662D0" w:rsidRPr="00CF6457" w:rsidRDefault="003650DC"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40.02</w:t>
            </w:r>
          </w:p>
        </w:tc>
      </w:tr>
      <w:tr w:rsidR="00F662D0" w:rsidRPr="00EC2B1A" w14:paraId="795055A7"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691008E9" w14:textId="77777777" w:rsidR="00F662D0" w:rsidRPr="00572F61" w:rsidRDefault="00F662D0" w:rsidP="00572F61">
            <w:pPr>
              <w:pStyle w:val="SDMTableBoxParaNotNumbered"/>
              <w:rPr>
                <w:b w:val="0"/>
                <w:bCs/>
              </w:rPr>
            </w:pPr>
            <w:r w:rsidRPr="00572F61">
              <w:rPr>
                <w:b w:val="0"/>
                <w:bCs/>
              </w:rPr>
              <w:t>Fiji</w:t>
            </w:r>
          </w:p>
        </w:tc>
        <w:tc>
          <w:tcPr>
            <w:tcW w:w="1013" w:type="pct"/>
          </w:tcPr>
          <w:p w14:paraId="2732C86F" w14:textId="60196573"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0.38</w:t>
            </w:r>
          </w:p>
        </w:tc>
        <w:tc>
          <w:tcPr>
            <w:tcW w:w="1014" w:type="pct"/>
          </w:tcPr>
          <w:p w14:paraId="6240127A" w14:textId="4955E676"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5.69</w:t>
            </w:r>
          </w:p>
        </w:tc>
        <w:tc>
          <w:tcPr>
            <w:tcW w:w="1014" w:type="pct"/>
          </w:tcPr>
          <w:p w14:paraId="4F11CF73" w14:textId="7F77161A" w:rsidR="00F662D0" w:rsidRPr="00CF6457" w:rsidRDefault="003650DC"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85.04</w:t>
            </w:r>
          </w:p>
        </w:tc>
      </w:tr>
      <w:tr w:rsidR="00F662D0" w:rsidRPr="00EC2B1A" w14:paraId="50E8B113"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19F2D092" w14:textId="77777777" w:rsidR="00F662D0" w:rsidRPr="00572F61" w:rsidRDefault="00F662D0" w:rsidP="00572F61">
            <w:pPr>
              <w:pStyle w:val="SDMTableBoxParaNotNumbered"/>
              <w:rPr>
                <w:b w:val="0"/>
                <w:bCs/>
              </w:rPr>
            </w:pPr>
            <w:r w:rsidRPr="00572F61">
              <w:rPr>
                <w:b w:val="0"/>
                <w:bCs/>
              </w:rPr>
              <w:t>Finland</w:t>
            </w:r>
          </w:p>
        </w:tc>
        <w:tc>
          <w:tcPr>
            <w:tcW w:w="1013" w:type="pct"/>
          </w:tcPr>
          <w:p w14:paraId="13382FE8" w14:textId="1697F077"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1.55</w:t>
            </w:r>
          </w:p>
        </w:tc>
        <w:tc>
          <w:tcPr>
            <w:tcW w:w="1014" w:type="pct"/>
          </w:tcPr>
          <w:p w14:paraId="6D9299F7" w14:textId="5DF0B303"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13.35</w:t>
            </w:r>
          </w:p>
        </w:tc>
        <w:tc>
          <w:tcPr>
            <w:tcW w:w="1014" w:type="pct"/>
          </w:tcPr>
          <w:p w14:paraId="2C298BE6" w14:textId="76105340" w:rsidR="00F662D0" w:rsidRPr="00CF6457" w:rsidRDefault="003650DC"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31.36</w:t>
            </w:r>
          </w:p>
        </w:tc>
      </w:tr>
      <w:tr w:rsidR="00F662D0" w:rsidRPr="00EC2B1A" w14:paraId="509BCF9E"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09DDFA6D" w14:textId="77777777" w:rsidR="00F662D0" w:rsidRPr="00572F61" w:rsidRDefault="00F662D0" w:rsidP="00572F61">
            <w:pPr>
              <w:pStyle w:val="SDMTableBoxParaNotNumbered"/>
              <w:rPr>
                <w:b w:val="0"/>
                <w:bCs/>
              </w:rPr>
            </w:pPr>
            <w:r w:rsidRPr="00572F61">
              <w:rPr>
                <w:b w:val="0"/>
                <w:bCs/>
              </w:rPr>
              <w:t>France</w:t>
            </w:r>
          </w:p>
        </w:tc>
        <w:tc>
          <w:tcPr>
            <w:tcW w:w="1013" w:type="pct"/>
          </w:tcPr>
          <w:p w14:paraId="23DCD6E1" w14:textId="6B56C44B"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3.51</w:t>
            </w:r>
          </w:p>
        </w:tc>
        <w:tc>
          <w:tcPr>
            <w:tcW w:w="1014" w:type="pct"/>
          </w:tcPr>
          <w:p w14:paraId="6A2C40D0" w14:textId="7AB56FCC"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7.06</w:t>
            </w:r>
          </w:p>
        </w:tc>
        <w:tc>
          <w:tcPr>
            <w:tcW w:w="1014" w:type="pct"/>
          </w:tcPr>
          <w:p w14:paraId="3EBF6BEA" w14:textId="1D8EDD5F" w:rsidR="00F662D0" w:rsidRPr="00CF6457" w:rsidRDefault="003650DC"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32.86</w:t>
            </w:r>
          </w:p>
        </w:tc>
      </w:tr>
      <w:tr w:rsidR="00F662D0" w:rsidRPr="00EC2B1A" w14:paraId="4898E665"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47713F16" w14:textId="77777777" w:rsidR="00F662D0" w:rsidRPr="00572F61" w:rsidRDefault="00F662D0" w:rsidP="00572F61">
            <w:pPr>
              <w:pStyle w:val="SDMTableBoxParaNotNumbered"/>
              <w:rPr>
                <w:b w:val="0"/>
                <w:bCs/>
              </w:rPr>
            </w:pPr>
            <w:r w:rsidRPr="00572F61">
              <w:rPr>
                <w:b w:val="0"/>
                <w:bCs/>
              </w:rPr>
              <w:t>Gabon</w:t>
            </w:r>
          </w:p>
        </w:tc>
        <w:tc>
          <w:tcPr>
            <w:tcW w:w="1013" w:type="pct"/>
          </w:tcPr>
          <w:p w14:paraId="5E8DF98B" w14:textId="0CCF4D85"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0.79</w:t>
            </w:r>
          </w:p>
        </w:tc>
        <w:tc>
          <w:tcPr>
            <w:tcW w:w="1014" w:type="pct"/>
          </w:tcPr>
          <w:p w14:paraId="07AB3F70" w14:textId="07DDB027"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3.86</w:t>
            </w:r>
          </w:p>
        </w:tc>
        <w:tc>
          <w:tcPr>
            <w:tcW w:w="1014" w:type="pct"/>
          </w:tcPr>
          <w:p w14:paraId="4FAD5B6B" w14:textId="5C466D4B" w:rsidR="00F662D0" w:rsidRPr="00CF6457" w:rsidRDefault="000A16B8"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Use global value</w:t>
            </w:r>
          </w:p>
        </w:tc>
      </w:tr>
      <w:tr w:rsidR="00F662D0" w:rsidRPr="00EC2B1A" w14:paraId="2FD7EBA0"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2CCB9852" w14:textId="7F840C79" w:rsidR="00F662D0" w:rsidRPr="00572F61" w:rsidRDefault="00F662D0" w:rsidP="00572F61">
            <w:pPr>
              <w:pStyle w:val="SDMTableBoxParaNotNumbered"/>
              <w:rPr>
                <w:b w:val="0"/>
                <w:bCs/>
              </w:rPr>
            </w:pPr>
            <w:r w:rsidRPr="00572F61">
              <w:rPr>
                <w:b w:val="0"/>
                <w:bCs/>
              </w:rPr>
              <w:t>Gambia</w:t>
            </w:r>
          </w:p>
        </w:tc>
        <w:tc>
          <w:tcPr>
            <w:tcW w:w="1013" w:type="pct"/>
          </w:tcPr>
          <w:p w14:paraId="199F3D49" w14:textId="5EBB6A8F"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0.09</w:t>
            </w:r>
          </w:p>
        </w:tc>
        <w:tc>
          <w:tcPr>
            <w:tcW w:w="1014" w:type="pct"/>
          </w:tcPr>
          <w:p w14:paraId="0CFED58A" w14:textId="56F3D819"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0.09</w:t>
            </w:r>
          </w:p>
        </w:tc>
        <w:tc>
          <w:tcPr>
            <w:tcW w:w="1014" w:type="pct"/>
          </w:tcPr>
          <w:p w14:paraId="2752D591" w14:textId="52DEFAA4" w:rsidR="00F662D0" w:rsidRPr="00CF6457" w:rsidRDefault="000A16B8"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Use global value</w:t>
            </w:r>
          </w:p>
        </w:tc>
      </w:tr>
      <w:tr w:rsidR="00F662D0" w:rsidRPr="00EC2B1A" w14:paraId="4F94B08F"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09772BB3" w14:textId="77777777" w:rsidR="00F662D0" w:rsidRPr="00572F61" w:rsidRDefault="00F662D0" w:rsidP="00572F61">
            <w:pPr>
              <w:pStyle w:val="SDMTableBoxParaNotNumbered"/>
              <w:rPr>
                <w:b w:val="0"/>
                <w:bCs/>
              </w:rPr>
            </w:pPr>
            <w:r w:rsidRPr="00572F61">
              <w:rPr>
                <w:b w:val="0"/>
                <w:bCs/>
              </w:rPr>
              <w:t>Georgia</w:t>
            </w:r>
          </w:p>
        </w:tc>
        <w:tc>
          <w:tcPr>
            <w:tcW w:w="1013" w:type="pct"/>
          </w:tcPr>
          <w:p w14:paraId="3BD42BF3" w14:textId="63B6235A"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0.10</w:t>
            </w:r>
          </w:p>
        </w:tc>
        <w:tc>
          <w:tcPr>
            <w:tcW w:w="1014" w:type="pct"/>
          </w:tcPr>
          <w:p w14:paraId="55A6CC69" w14:textId="5D771F97"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1.56</w:t>
            </w:r>
          </w:p>
        </w:tc>
        <w:tc>
          <w:tcPr>
            <w:tcW w:w="1014" w:type="pct"/>
          </w:tcPr>
          <w:p w14:paraId="7AFCCEC1" w14:textId="3E03D346" w:rsidR="00F662D0" w:rsidRPr="00CF6457" w:rsidRDefault="003650DC"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80.63</w:t>
            </w:r>
          </w:p>
        </w:tc>
      </w:tr>
      <w:tr w:rsidR="00F662D0" w:rsidRPr="00EC2B1A" w14:paraId="736B13E7"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16462DE7" w14:textId="77777777" w:rsidR="00F662D0" w:rsidRPr="00572F61" w:rsidRDefault="00F662D0" w:rsidP="00572F61">
            <w:pPr>
              <w:pStyle w:val="SDMTableBoxParaNotNumbered"/>
              <w:rPr>
                <w:b w:val="0"/>
                <w:bCs/>
              </w:rPr>
            </w:pPr>
            <w:r w:rsidRPr="00572F61">
              <w:rPr>
                <w:b w:val="0"/>
                <w:bCs/>
              </w:rPr>
              <w:t>Germany</w:t>
            </w:r>
          </w:p>
        </w:tc>
        <w:tc>
          <w:tcPr>
            <w:tcW w:w="1013" w:type="pct"/>
          </w:tcPr>
          <w:p w14:paraId="1D5BA321" w14:textId="33CD0217"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2.03</w:t>
            </w:r>
          </w:p>
        </w:tc>
        <w:tc>
          <w:tcPr>
            <w:tcW w:w="1014" w:type="pct"/>
          </w:tcPr>
          <w:p w14:paraId="5F8DE2E8" w14:textId="5AD60824"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5.21</w:t>
            </w:r>
          </w:p>
        </w:tc>
        <w:tc>
          <w:tcPr>
            <w:tcW w:w="1014" w:type="pct"/>
          </w:tcPr>
          <w:p w14:paraId="6146C7C7" w14:textId="60033A79" w:rsidR="00F662D0" w:rsidRPr="00CF6457" w:rsidRDefault="003650DC"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42.54</w:t>
            </w:r>
          </w:p>
        </w:tc>
      </w:tr>
      <w:tr w:rsidR="00F662D0" w:rsidRPr="00EC2B1A" w14:paraId="6E3F1DD9"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6DE7735C" w14:textId="77777777" w:rsidR="00F662D0" w:rsidRPr="00572F61" w:rsidRDefault="00F662D0" w:rsidP="00572F61">
            <w:pPr>
              <w:pStyle w:val="SDMTableBoxParaNotNumbered"/>
              <w:rPr>
                <w:b w:val="0"/>
                <w:bCs/>
              </w:rPr>
            </w:pPr>
            <w:r w:rsidRPr="00572F61">
              <w:rPr>
                <w:b w:val="0"/>
                <w:bCs/>
              </w:rPr>
              <w:t>Ghana</w:t>
            </w:r>
          </w:p>
        </w:tc>
        <w:tc>
          <w:tcPr>
            <w:tcW w:w="1013" w:type="pct"/>
          </w:tcPr>
          <w:p w14:paraId="634186BB" w14:textId="76E71549"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0.09</w:t>
            </w:r>
          </w:p>
        </w:tc>
        <w:tc>
          <w:tcPr>
            <w:tcW w:w="1014" w:type="pct"/>
          </w:tcPr>
          <w:p w14:paraId="63DAACF1" w14:textId="1A288FDA"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0.00</w:t>
            </w:r>
          </w:p>
        </w:tc>
        <w:tc>
          <w:tcPr>
            <w:tcW w:w="1014" w:type="pct"/>
          </w:tcPr>
          <w:p w14:paraId="572980CD" w14:textId="21235B44" w:rsidR="00F662D0" w:rsidRPr="00CF6457" w:rsidRDefault="003650DC"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31.35</w:t>
            </w:r>
          </w:p>
        </w:tc>
      </w:tr>
      <w:tr w:rsidR="00F662D0" w:rsidRPr="00EC2B1A" w14:paraId="73D6FC3E"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7CE869D7" w14:textId="77777777" w:rsidR="00F662D0" w:rsidRPr="00572F61" w:rsidRDefault="00F662D0" w:rsidP="00572F61">
            <w:pPr>
              <w:pStyle w:val="SDMTableBoxParaNotNumbered"/>
              <w:rPr>
                <w:b w:val="0"/>
                <w:bCs/>
              </w:rPr>
            </w:pPr>
            <w:r w:rsidRPr="00572F61">
              <w:rPr>
                <w:b w:val="0"/>
                <w:bCs/>
              </w:rPr>
              <w:t>Greece</w:t>
            </w:r>
          </w:p>
        </w:tc>
        <w:tc>
          <w:tcPr>
            <w:tcW w:w="1013" w:type="pct"/>
          </w:tcPr>
          <w:p w14:paraId="7B31641F" w14:textId="6470F49A"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4.38</w:t>
            </w:r>
          </w:p>
        </w:tc>
        <w:tc>
          <w:tcPr>
            <w:tcW w:w="1014" w:type="pct"/>
          </w:tcPr>
          <w:p w14:paraId="30DB05C1" w14:textId="5C649AED"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8.58</w:t>
            </w:r>
          </w:p>
        </w:tc>
        <w:tc>
          <w:tcPr>
            <w:tcW w:w="1014" w:type="pct"/>
          </w:tcPr>
          <w:p w14:paraId="5D7886C4" w14:textId="1A984DEB" w:rsidR="00F662D0" w:rsidRPr="00CF6457" w:rsidRDefault="003650DC"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58.90</w:t>
            </w:r>
          </w:p>
        </w:tc>
      </w:tr>
      <w:tr w:rsidR="00F662D0" w:rsidRPr="00EC2B1A" w14:paraId="56BFC9E2"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7AD0CB66" w14:textId="77777777" w:rsidR="00F662D0" w:rsidRPr="00572F61" w:rsidRDefault="00F662D0" w:rsidP="00572F61">
            <w:pPr>
              <w:pStyle w:val="SDMTableBoxParaNotNumbered"/>
              <w:rPr>
                <w:b w:val="0"/>
                <w:bCs/>
              </w:rPr>
            </w:pPr>
            <w:r w:rsidRPr="00572F61">
              <w:rPr>
                <w:b w:val="0"/>
                <w:bCs/>
              </w:rPr>
              <w:t>Grenada</w:t>
            </w:r>
          </w:p>
        </w:tc>
        <w:tc>
          <w:tcPr>
            <w:tcW w:w="1013" w:type="pct"/>
          </w:tcPr>
          <w:p w14:paraId="3717F274" w14:textId="5FF1DF59"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0.84</w:t>
            </w:r>
          </w:p>
        </w:tc>
        <w:tc>
          <w:tcPr>
            <w:tcW w:w="1014" w:type="pct"/>
          </w:tcPr>
          <w:p w14:paraId="2CBD2349" w14:textId="5D125543"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0.84</w:t>
            </w:r>
          </w:p>
        </w:tc>
        <w:tc>
          <w:tcPr>
            <w:tcW w:w="1014" w:type="pct"/>
          </w:tcPr>
          <w:p w14:paraId="6EFF6482" w14:textId="2A21CB4D" w:rsidR="00F662D0" w:rsidRPr="00CF6457" w:rsidRDefault="000A16B8"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Use global value</w:t>
            </w:r>
          </w:p>
        </w:tc>
      </w:tr>
      <w:tr w:rsidR="00F662D0" w:rsidRPr="00EC2B1A" w14:paraId="2058AAB3"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1C6EF017" w14:textId="77777777" w:rsidR="00F662D0" w:rsidRPr="00572F61" w:rsidRDefault="00F662D0" w:rsidP="00572F61">
            <w:pPr>
              <w:pStyle w:val="SDMTableBoxParaNotNumbered"/>
              <w:rPr>
                <w:b w:val="0"/>
                <w:bCs/>
              </w:rPr>
            </w:pPr>
            <w:r w:rsidRPr="00572F61">
              <w:rPr>
                <w:b w:val="0"/>
                <w:bCs/>
              </w:rPr>
              <w:t>Guatemala</w:t>
            </w:r>
          </w:p>
        </w:tc>
        <w:tc>
          <w:tcPr>
            <w:tcW w:w="1013" w:type="pct"/>
          </w:tcPr>
          <w:p w14:paraId="66FD5980" w14:textId="235DD5D1"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1.24</w:t>
            </w:r>
          </w:p>
        </w:tc>
        <w:tc>
          <w:tcPr>
            <w:tcW w:w="1014" w:type="pct"/>
          </w:tcPr>
          <w:p w14:paraId="205F77B7" w14:textId="61E06AAC"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9.54</w:t>
            </w:r>
          </w:p>
        </w:tc>
        <w:tc>
          <w:tcPr>
            <w:tcW w:w="1014" w:type="pct"/>
          </w:tcPr>
          <w:p w14:paraId="098076C2" w14:textId="796927B7" w:rsidR="00F662D0" w:rsidRPr="00CF6457" w:rsidRDefault="003650DC"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65.14</w:t>
            </w:r>
          </w:p>
        </w:tc>
      </w:tr>
      <w:tr w:rsidR="00F662D0" w:rsidRPr="00EC2B1A" w14:paraId="3F9E738D"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04994DAD" w14:textId="77777777" w:rsidR="00F662D0" w:rsidRPr="00572F61" w:rsidRDefault="00F662D0" w:rsidP="00572F61">
            <w:pPr>
              <w:pStyle w:val="SDMTableBoxParaNotNumbered"/>
              <w:rPr>
                <w:b w:val="0"/>
                <w:bCs/>
              </w:rPr>
            </w:pPr>
            <w:r w:rsidRPr="00572F61">
              <w:rPr>
                <w:b w:val="0"/>
                <w:bCs/>
              </w:rPr>
              <w:t>Guinea</w:t>
            </w:r>
          </w:p>
        </w:tc>
        <w:tc>
          <w:tcPr>
            <w:tcW w:w="1013" w:type="pct"/>
          </w:tcPr>
          <w:p w14:paraId="0845A59E" w14:textId="52259283"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0.34</w:t>
            </w:r>
          </w:p>
        </w:tc>
        <w:tc>
          <w:tcPr>
            <w:tcW w:w="1014" w:type="pct"/>
          </w:tcPr>
          <w:p w14:paraId="72EF419D" w14:textId="06728F53"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7.90</w:t>
            </w:r>
          </w:p>
        </w:tc>
        <w:tc>
          <w:tcPr>
            <w:tcW w:w="1014" w:type="pct"/>
          </w:tcPr>
          <w:p w14:paraId="5FB50C1C" w14:textId="73F10D8F" w:rsidR="00F662D0" w:rsidRPr="00CF6457" w:rsidRDefault="003650DC"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86.34</w:t>
            </w:r>
          </w:p>
        </w:tc>
      </w:tr>
      <w:tr w:rsidR="00F662D0" w:rsidRPr="00EC2B1A" w14:paraId="19F2B360"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3CC3B8D9" w14:textId="77777777" w:rsidR="00F662D0" w:rsidRPr="00572F61" w:rsidRDefault="00F662D0" w:rsidP="00572F61">
            <w:pPr>
              <w:pStyle w:val="SDMTableBoxParaNotNumbered"/>
              <w:rPr>
                <w:b w:val="0"/>
                <w:bCs/>
              </w:rPr>
            </w:pPr>
            <w:r w:rsidRPr="00572F61">
              <w:rPr>
                <w:b w:val="0"/>
                <w:bCs/>
              </w:rPr>
              <w:t>Guinea-Bissau</w:t>
            </w:r>
          </w:p>
        </w:tc>
        <w:tc>
          <w:tcPr>
            <w:tcW w:w="1013" w:type="pct"/>
          </w:tcPr>
          <w:p w14:paraId="3B972164" w14:textId="01A21FD0"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1.74</w:t>
            </w:r>
          </w:p>
        </w:tc>
        <w:tc>
          <w:tcPr>
            <w:tcW w:w="1014" w:type="pct"/>
          </w:tcPr>
          <w:p w14:paraId="2FE8DAE3" w14:textId="43AB2197"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1.74</w:t>
            </w:r>
          </w:p>
        </w:tc>
        <w:tc>
          <w:tcPr>
            <w:tcW w:w="1014" w:type="pct"/>
          </w:tcPr>
          <w:p w14:paraId="1321FCFA" w14:textId="3C0882A1" w:rsidR="00F662D0" w:rsidRPr="00CF6457" w:rsidRDefault="000A16B8"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Use global value</w:t>
            </w:r>
          </w:p>
        </w:tc>
      </w:tr>
      <w:tr w:rsidR="00F662D0" w:rsidRPr="00EC2B1A" w14:paraId="4D025803"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0ED83854" w14:textId="77777777" w:rsidR="00F662D0" w:rsidRPr="00572F61" w:rsidRDefault="00F662D0" w:rsidP="00572F61">
            <w:pPr>
              <w:pStyle w:val="SDMTableBoxParaNotNumbered"/>
              <w:rPr>
                <w:b w:val="0"/>
                <w:bCs/>
              </w:rPr>
            </w:pPr>
            <w:r w:rsidRPr="00572F61">
              <w:rPr>
                <w:b w:val="0"/>
                <w:bCs/>
              </w:rPr>
              <w:t>Guyana</w:t>
            </w:r>
          </w:p>
        </w:tc>
        <w:tc>
          <w:tcPr>
            <w:tcW w:w="1013" w:type="pct"/>
          </w:tcPr>
          <w:p w14:paraId="17F5A8D0" w14:textId="17346C16"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0.11</w:t>
            </w:r>
          </w:p>
        </w:tc>
        <w:tc>
          <w:tcPr>
            <w:tcW w:w="1014" w:type="pct"/>
          </w:tcPr>
          <w:p w14:paraId="4659F32D" w14:textId="512338D8"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0.47</w:t>
            </w:r>
          </w:p>
        </w:tc>
        <w:tc>
          <w:tcPr>
            <w:tcW w:w="1014" w:type="pct"/>
          </w:tcPr>
          <w:p w14:paraId="03D2E75C" w14:textId="4F48A0CB" w:rsidR="00F662D0" w:rsidRPr="00CF6457" w:rsidRDefault="009B0137"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0.</w:t>
            </w:r>
            <w:r w:rsidR="003650DC" w:rsidRPr="00A644C5">
              <w:t>61</w:t>
            </w:r>
          </w:p>
        </w:tc>
      </w:tr>
      <w:tr w:rsidR="00F662D0" w:rsidRPr="00EC2B1A" w14:paraId="6ACE0EA8"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6DF74FA4" w14:textId="77777777" w:rsidR="00F662D0" w:rsidRPr="00572F61" w:rsidRDefault="00F662D0" w:rsidP="00572F61">
            <w:pPr>
              <w:pStyle w:val="SDMTableBoxParaNotNumbered"/>
              <w:rPr>
                <w:b w:val="0"/>
                <w:bCs/>
              </w:rPr>
            </w:pPr>
            <w:r w:rsidRPr="00572F61">
              <w:rPr>
                <w:b w:val="0"/>
                <w:bCs/>
              </w:rPr>
              <w:t>Haiti</w:t>
            </w:r>
          </w:p>
        </w:tc>
        <w:tc>
          <w:tcPr>
            <w:tcW w:w="1013" w:type="pct"/>
          </w:tcPr>
          <w:p w14:paraId="43B73DA4" w14:textId="304D5BEC"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0.25</w:t>
            </w:r>
          </w:p>
        </w:tc>
        <w:tc>
          <w:tcPr>
            <w:tcW w:w="1014" w:type="pct"/>
          </w:tcPr>
          <w:p w14:paraId="67C4882E" w14:textId="22CC2DD9"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2.57</w:t>
            </w:r>
          </w:p>
        </w:tc>
        <w:tc>
          <w:tcPr>
            <w:tcW w:w="1014" w:type="pct"/>
          </w:tcPr>
          <w:p w14:paraId="79A9311D" w14:textId="08D09675" w:rsidR="00F662D0" w:rsidRPr="00CF6457" w:rsidRDefault="000A16B8"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Use global value</w:t>
            </w:r>
          </w:p>
        </w:tc>
      </w:tr>
      <w:tr w:rsidR="00F662D0" w:rsidRPr="00EC2B1A" w14:paraId="228CC342"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7E153D3C" w14:textId="77777777" w:rsidR="00F662D0" w:rsidRPr="00572F61" w:rsidRDefault="00F662D0" w:rsidP="00572F61">
            <w:pPr>
              <w:pStyle w:val="SDMTableBoxParaNotNumbered"/>
              <w:rPr>
                <w:b w:val="0"/>
                <w:bCs/>
              </w:rPr>
            </w:pPr>
            <w:r w:rsidRPr="00572F61">
              <w:rPr>
                <w:b w:val="0"/>
                <w:bCs/>
              </w:rPr>
              <w:t>Honduras</w:t>
            </w:r>
          </w:p>
        </w:tc>
        <w:tc>
          <w:tcPr>
            <w:tcW w:w="1013" w:type="pct"/>
          </w:tcPr>
          <w:p w14:paraId="0FDB30E5" w14:textId="0E07B1C1"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0.13</w:t>
            </w:r>
          </w:p>
        </w:tc>
        <w:tc>
          <w:tcPr>
            <w:tcW w:w="1014" w:type="pct"/>
          </w:tcPr>
          <w:p w14:paraId="66EF6BAC" w14:textId="583AFD5F"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5.64</w:t>
            </w:r>
          </w:p>
        </w:tc>
        <w:tc>
          <w:tcPr>
            <w:tcW w:w="1014" w:type="pct"/>
          </w:tcPr>
          <w:p w14:paraId="0A02A551" w14:textId="6A17118E" w:rsidR="00F662D0" w:rsidRPr="00CF6457" w:rsidRDefault="003650DC"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30.31</w:t>
            </w:r>
          </w:p>
        </w:tc>
      </w:tr>
      <w:tr w:rsidR="00F662D0" w:rsidRPr="00EC2B1A" w14:paraId="7DD9FF33"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0DFAB43B" w14:textId="77777777" w:rsidR="00F662D0" w:rsidRPr="00572F61" w:rsidRDefault="00F662D0" w:rsidP="00572F61">
            <w:pPr>
              <w:pStyle w:val="SDMTableBoxParaNotNumbered"/>
              <w:rPr>
                <w:b w:val="0"/>
                <w:bCs/>
              </w:rPr>
            </w:pPr>
            <w:r w:rsidRPr="00572F61">
              <w:rPr>
                <w:b w:val="0"/>
                <w:bCs/>
              </w:rPr>
              <w:t>Hungary</w:t>
            </w:r>
          </w:p>
        </w:tc>
        <w:tc>
          <w:tcPr>
            <w:tcW w:w="1013" w:type="pct"/>
          </w:tcPr>
          <w:p w14:paraId="65E0FB1F" w14:textId="120971F2"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3.68</w:t>
            </w:r>
          </w:p>
        </w:tc>
        <w:tc>
          <w:tcPr>
            <w:tcW w:w="1014" w:type="pct"/>
          </w:tcPr>
          <w:p w14:paraId="030EBD3E" w14:textId="0F64FFF9"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6.68</w:t>
            </w:r>
          </w:p>
        </w:tc>
        <w:tc>
          <w:tcPr>
            <w:tcW w:w="1014" w:type="pct"/>
          </w:tcPr>
          <w:p w14:paraId="677E92FE" w14:textId="30BCA9A2" w:rsidR="00F662D0" w:rsidRPr="00CF6457" w:rsidRDefault="003650DC"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42.18</w:t>
            </w:r>
          </w:p>
        </w:tc>
      </w:tr>
      <w:tr w:rsidR="00F662D0" w:rsidRPr="00EC2B1A" w14:paraId="096B847E"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2F205212" w14:textId="77777777" w:rsidR="00F662D0" w:rsidRPr="00572F61" w:rsidRDefault="00F662D0" w:rsidP="00572F61">
            <w:pPr>
              <w:pStyle w:val="SDMTableBoxParaNotNumbered"/>
              <w:rPr>
                <w:b w:val="0"/>
                <w:bCs/>
              </w:rPr>
            </w:pPr>
            <w:r w:rsidRPr="00572F61">
              <w:rPr>
                <w:b w:val="0"/>
                <w:bCs/>
              </w:rPr>
              <w:t>Iceland</w:t>
            </w:r>
          </w:p>
        </w:tc>
        <w:tc>
          <w:tcPr>
            <w:tcW w:w="1013" w:type="pct"/>
          </w:tcPr>
          <w:p w14:paraId="05F950D6" w14:textId="10C50E9D"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Use global value</w:t>
            </w:r>
          </w:p>
        </w:tc>
        <w:tc>
          <w:tcPr>
            <w:tcW w:w="1014" w:type="pct"/>
          </w:tcPr>
          <w:p w14:paraId="489EE27B" w14:textId="50C46BD7"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0.03</w:t>
            </w:r>
          </w:p>
        </w:tc>
        <w:tc>
          <w:tcPr>
            <w:tcW w:w="1014" w:type="pct"/>
          </w:tcPr>
          <w:p w14:paraId="12636021" w14:textId="1A69F598" w:rsidR="00F662D0" w:rsidRPr="00CF6457" w:rsidRDefault="003650DC"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7.38</w:t>
            </w:r>
          </w:p>
        </w:tc>
      </w:tr>
      <w:tr w:rsidR="00F662D0" w:rsidRPr="00EC2B1A" w14:paraId="4C9A828A"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7CC69995" w14:textId="77777777" w:rsidR="00F662D0" w:rsidRPr="00572F61" w:rsidRDefault="00F662D0" w:rsidP="00572F61">
            <w:pPr>
              <w:pStyle w:val="SDMTableBoxParaNotNumbered"/>
              <w:rPr>
                <w:b w:val="0"/>
                <w:bCs/>
              </w:rPr>
            </w:pPr>
            <w:r w:rsidRPr="00572F61">
              <w:rPr>
                <w:b w:val="0"/>
                <w:bCs/>
              </w:rPr>
              <w:t>India</w:t>
            </w:r>
          </w:p>
        </w:tc>
        <w:tc>
          <w:tcPr>
            <w:tcW w:w="1013" w:type="pct"/>
          </w:tcPr>
          <w:p w14:paraId="69FED1BA" w14:textId="6DFF7D91"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0.06</w:t>
            </w:r>
          </w:p>
        </w:tc>
        <w:tc>
          <w:tcPr>
            <w:tcW w:w="1014" w:type="pct"/>
          </w:tcPr>
          <w:p w14:paraId="6FC0BC49" w14:textId="7D810A19"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1.05</w:t>
            </w:r>
          </w:p>
        </w:tc>
        <w:tc>
          <w:tcPr>
            <w:tcW w:w="1014" w:type="pct"/>
          </w:tcPr>
          <w:p w14:paraId="5004360D" w14:textId="5A6D6CF9" w:rsidR="00F662D0" w:rsidRPr="00CF6457" w:rsidRDefault="003650DC"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15.70</w:t>
            </w:r>
          </w:p>
        </w:tc>
      </w:tr>
      <w:tr w:rsidR="00F662D0" w:rsidRPr="00EC2B1A" w14:paraId="2C45FE61"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5E8EBE99" w14:textId="77777777" w:rsidR="00F662D0" w:rsidRPr="00572F61" w:rsidRDefault="00F662D0" w:rsidP="00572F61">
            <w:pPr>
              <w:pStyle w:val="SDMTableBoxParaNotNumbered"/>
              <w:rPr>
                <w:b w:val="0"/>
                <w:bCs/>
              </w:rPr>
            </w:pPr>
            <w:r w:rsidRPr="00572F61">
              <w:rPr>
                <w:b w:val="0"/>
                <w:bCs/>
              </w:rPr>
              <w:t>Indonesia</w:t>
            </w:r>
          </w:p>
        </w:tc>
        <w:tc>
          <w:tcPr>
            <w:tcW w:w="1013" w:type="pct"/>
          </w:tcPr>
          <w:p w14:paraId="2532E4F3" w14:textId="32FA6B18"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0.00</w:t>
            </w:r>
          </w:p>
        </w:tc>
        <w:tc>
          <w:tcPr>
            <w:tcW w:w="1014" w:type="pct"/>
          </w:tcPr>
          <w:p w14:paraId="2C86114D" w14:textId="4BEB3B01"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0.36</w:t>
            </w:r>
          </w:p>
        </w:tc>
        <w:tc>
          <w:tcPr>
            <w:tcW w:w="1014" w:type="pct"/>
          </w:tcPr>
          <w:p w14:paraId="2E527457" w14:textId="1A43738D" w:rsidR="00F662D0" w:rsidRPr="00CF6457" w:rsidRDefault="003650DC"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3.30</w:t>
            </w:r>
          </w:p>
        </w:tc>
      </w:tr>
      <w:tr w:rsidR="00F662D0" w:rsidRPr="00EC2B1A" w14:paraId="10D1D1BD"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143CA1BD" w14:textId="77777777" w:rsidR="00F662D0" w:rsidRPr="00572F61" w:rsidRDefault="00F662D0" w:rsidP="00572F61">
            <w:pPr>
              <w:pStyle w:val="SDMTableBoxParaNotNumbered"/>
              <w:rPr>
                <w:b w:val="0"/>
                <w:bCs/>
              </w:rPr>
            </w:pPr>
            <w:r w:rsidRPr="00572F61">
              <w:rPr>
                <w:b w:val="0"/>
                <w:bCs/>
              </w:rPr>
              <w:t>Iran (Islamic Republic of)</w:t>
            </w:r>
          </w:p>
        </w:tc>
        <w:tc>
          <w:tcPr>
            <w:tcW w:w="1013" w:type="pct"/>
          </w:tcPr>
          <w:p w14:paraId="7515829C" w14:textId="28B4A810"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0.00</w:t>
            </w:r>
          </w:p>
        </w:tc>
        <w:tc>
          <w:tcPr>
            <w:tcW w:w="1014" w:type="pct"/>
          </w:tcPr>
          <w:p w14:paraId="5540884A" w14:textId="35A03E5D"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0.25</w:t>
            </w:r>
          </w:p>
        </w:tc>
        <w:tc>
          <w:tcPr>
            <w:tcW w:w="1014" w:type="pct"/>
          </w:tcPr>
          <w:p w14:paraId="27B97532" w14:textId="5F853360" w:rsidR="00F662D0" w:rsidRPr="00CF6457" w:rsidRDefault="009B0137"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0.</w:t>
            </w:r>
            <w:r w:rsidR="003650DC" w:rsidRPr="00A644C5">
              <w:t>84</w:t>
            </w:r>
          </w:p>
        </w:tc>
      </w:tr>
      <w:tr w:rsidR="00F662D0" w:rsidRPr="00EC2B1A" w14:paraId="5BED3D01"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5C67F994" w14:textId="77777777" w:rsidR="00F662D0" w:rsidRPr="00572F61" w:rsidRDefault="00F662D0" w:rsidP="00572F61">
            <w:pPr>
              <w:pStyle w:val="SDMTableBoxParaNotNumbered"/>
              <w:rPr>
                <w:b w:val="0"/>
                <w:bCs/>
              </w:rPr>
            </w:pPr>
            <w:r w:rsidRPr="00572F61">
              <w:rPr>
                <w:b w:val="0"/>
                <w:bCs/>
              </w:rPr>
              <w:t>Iraq</w:t>
            </w:r>
          </w:p>
        </w:tc>
        <w:tc>
          <w:tcPr>
            <w:tcW w:w="1013" w:type="pct"/>
          </w:tcPr>
          <w:p w14:paraId="1BDE8C44" w14:textId="1410CF8E"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0.00</w:t>
            </w:r>
          </w:p>
        </w:tc>
        <w:tc>
          <w:tcPr>
            <w:tcW w:w="1014" w:type="pct"/>
          </w:tcPr>
          <w:p w14:paraId="43B7DCF4" w14:textId="63F740B8"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0.00</w:t>
            </w:r>
          </w:p>
        </w:tc>
        <w:tc>
          <w:tcPr>
            <w:tcW w:w="1014" w:type="pct"/>
          </w:tcPr>
          <w:p w14:paraId="7FA444B8" w14:textId="1F7AAD49" w:rsidR="00F662D0" w:rsidRPr="00CF6457" w:rsidRDefault="003650DC"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1.00</w:t>
            </w:r>
          </w:p>
        </w:tc>
      </w:tr>
      <w:tr w:rsidR="00F662D0" w:rsidRPr="00EC2B1A" w14:paraId="2F755D05"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374A3A70" w14:textId="77777777" w:rsidR="00F662D0" w:rsidRPr="00572F61" w:rsidRDefault="00F662D0" w:rsidP="00572F61">
            <w:pPr>
              <w:pStyle w:val="SDMTableBoxParaNotNumbered"/>
              <w:rPr>
                <w:b w:val="0"/>
                <w:bCs/>
              </w:rPr>
            </w:pPr>
            <w:r w:rsidRPr="00572F61">
              <w:rPr>
                <w:b w:val="0"/>
                <w:bCs/>
              </w:rPr>
              <w:t>Ireland</w:t>
            </w:r>
          </w:p>
        </w:tc>
        <w:tc>
          <w:tcPr>
            <w:tcW w:w="1013" w:type="pct"/>
          </w:tcPr>
          <w:p w14:paraId="35B0A3D2" w14:textId="40568636"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2.98</w:t>
            </w:r>
          </w:p>
        </w:tc>
        <w:tc>
          <w:tcPr>
            <w:tcW w:w="1014" w:type="pct"/>
          </w:tcPr>
          <w:p w14:paraId="54896D8E" w14:textId="5267A467"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6.51</w:t>
            </w:r>
          </w:p>
        </w:tc>
        <w:tc>
          <w:tcPr>
            <w:tcW w:w="1014" w:type="pct"/>
          </w:tcPr>
          <w:p w14:paraId="373CB841" w14:textId="6D1AD4A3" w:rsidR="00F662D0" w:rsidRPr="00CF6457" w:rsidRDefault="003650DC"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74.88</w:t>
            </w:r>
          </w:p>
        </w:tc>
      </w:tr>
      <w:tr w:rsidR="00F662D0" w:rsidRPr="00EC2B1A" w14:paraId="2D81086A"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447E66A0" w14:textId="77777777" w:rsidR="00F662D0" w:rsidRPr="00572F61" w:rsidRDefault="00F662D0" w:rsidP="00572F61">
            <w:pPr>
              <w:pStyle w:val="SDMTableBoxParaNotNumbered"/>
              <w:rPr>
                <w:b w:val="0"/>
                <w:bCs/>
              </w:rPr>
            </w:pPr>
            <w:r w:rsidRPr="00572F61">
              <w:rPr>
                <w:b w:val="0"/>
                <w:bCs/>
              </w:rPr>
              <w:t>Israel</w:t>
            </w:r>
          </w:p>
        </w:tc>
        <w:tc>
          <w:tcPr>
            <w:tcW w:w="1013" w:type="pct"/>
          </w:tcPr>
          <w:p w14:paraId="4033F1D9" w14:textId="395C6D86"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1.66</w:t>
            </w:r>
          </w:p>
        </w:tc>
        <w:tc>
          <w:tcPr>
            <w:tcW w:w="1014" w:type="pct"/>
          </w:tcPr>
          <w:p w14:paraId="23D1F6FD" w14:textId="29E26E58"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2.62</w:t>
            </w:r>
          </w:p>
        </w:tc>
        <w:tc>
          <w:tcPr>
            <w:tcW w:w="1014" w:type="pct"/>
          </w:tcPr>
          <w:p w14:paraId="48FD03A1" w14:textId="6EAFF670" w:rsidR="00F662D0" w:rsidRPr="00CF6457" w:rsidRDefault="003650DC"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23.42</w:t>
            </w:r>
          </w:p>
        </w:tc>
      </w:tr>
      <w:tr w:rsidR="00F662D0" w:rsidRPr="00EC2B1A" w14:paraId="3A2195E8"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4A2C8494" w14:textId="77777777" w:rsidR="00F662D0" w:rsidRPr="00572F61" w:rsidRDefault="00F662D0" w:rsidP="00572F61">
            <w:pPr>
              <w:pStyle w:val="SDMTableBoxParaNotNumbered"/>
              <w:rPr>
                <w:b w:val="0"/>
                <w:bCs/>
              </w:rPr>
            </w:pPr>
            <w:r w:rsidRPr="00572F61">
              <w:rPr>
                <w:b w:val="0"/>
                <w:bCs/>
              </w:rPr>
              <w:t>Italy</w:t>
            </w:r>
          </w:p>
        </w:tc>
        <w:tc>
          <w:tcPr>
            <w:tcW w:w="1013" w:type="pct"/>
          </w:tcPr>
          <w:p w14:paraId="28E6F2D7" w14:textId="6F8E2A09"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2.20</w:t>
            </w:r>
          </w:p>
        </w:tc>
        <w:tc>
          <w:tcPr>
            <w:tcW w:w="1014" w:type="pct"/>
          </w:tcPr>
          <w:p w14:paraId="3EFEEA1D" w14:textId="3BEF8525"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4.42</w:t>
            </w:r>
          </w:p>
        </w:tc>
        <w:tc>
          <w:tcPr>
            <w:tcW w:w="1014" w:type="pct"/>
          </w:tcPr>
          <w:p w14:paraId="5468235D" w14:textId="6ED3A93E" w:rsidR="00F662D0" w:rsidRPr="00CF6457" w:rsidRDefault="003650DC"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9.43</w:t>
            </w:r>
          </w:p>
        </w:tc>
      </w:tr>
      <w:tr w:rsidR="00F662D0" w:rsidRPr="00EC2B1A" w14:paraId="2707C290"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3580A712" w14:textId="77777777" w:rsidR="00F662D0" w:rsidRPr="00572F61" w:rsidRDefault="00F662D0" w:rsidP="00572F61">
            <w:pPr>
              <w:pStyle w:val="SDMTableBoxParaNotNumbered"/>
              <w:rPr>
                <w:b w:val="0"/>
                <w:bCs/>
              </w:rPr>
            </w:pPr>
            <w:r w:rsidRPr="00572F61">
              <w:rPr>
                <w:b w:val="0"/>
                <w:bCs/>
              </w:rPr>
              <w:t>Jamaica</w:t>
            </w:r>
          </w:p>
        </w:tc>
        <w:tc>
          <w:tcPr>
            <w:tcW w:w="1013" w:type="pct"/>
          </w:tcPr>
          <w:p w14:paraId="23962373" w14:textId="49109055"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0.72</w:t>
            </w:r>
          </w:p>
        </w:tc>
        <w:tc>
          <w:tcPr>
            <w:tcW w:w="1014" w:type="pct"/>
          </w:tcPr>
          <w:p w14:paraId="51DAB84F" w14:textId="1B7DDA6F"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1.74</w:t>
            </w:r>
          </w:p>
        </w:tc>
        <w:tc>
          <w:tcPr>
            <w:tcW w:w="1014" w:type="pct"/>
          </w:tcPr>
          <w:p w14:paraId="4EDD9E1E" w14:textId="463187BA" w:rsidR="00F662D0" w:rsidRPr="00CF6457" w:rsidRDefault="003650DC"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2.72</w:t>
            </w:r>
          </w:p>
        </w:tc>
      </w:tr>
      <w:tr w:rsidR="00F662D0" w:rsidRPr="00EC2B1A" w14:paraId="3D6FAA35"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6FBFC3BC" w14:textId="77777777" w:rsidR="00F662D0" w:rsidRPr="00572F61" w:rsidRDefault="00F662D0" w:rsidP="00572F61">
            <w:pPr>
              <w:pStyle w:val="SDMTableBoxParaNotNumbered"/>
              <w:rPr>
                <w:b w:val="0"/>
                <w:bCs/>
              </w:rPr>
            </w:pPr>
            <w:r w:rsidRPr="00572F61">
              <w:rPr>
                <w:b w:val="0"/>
                <w:bCs/>
              </w:rPr>
              <w:t>Japan</w:t>
            </w:r>
          </w:p>
        </w:tc>
        <w:tc>
          <w:tcPr>
            <w:tcW w:w="1013" w:type="pct"/>
          </w:tcPr>
          <w:p w14:paraId="2AC4F0B2" w14:textId="7530B545"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0.00</w:t>
            </w:r>
          </w:p>
        </w:tc>
        <w:tc>
          <w:tcPr>
            <w:tcW w:w="1014" w:type="pct"/>
          </w:tcPr>
          <w:p w14:paraId="605297A2" w14:textId="68A71BF0"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2.11</w:t>
            </w:r>
          </w:p>
        </w:tc>
        <w:tc>
          <w:tcPr>
            <w:tcW w:w="1014" w:type="pct"/>
          </w:tcPr>
          <w:p w14:paraId="5B8FF9D1" w14:textId="6DE7BA66" w:rsidR="00F662D0" w:rsidRPr="00CF6457" w:rsidRDefault="003650DC"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5.26</w:t>
            </w:r>
          </w:p>
        </w:tc>
      </w:tr>
      <w:tr w:rsidR="00F662D0" w:rsidRPr="00EC2B1A" w14:paraId="5197128F"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7FE18094" w14:textId="77777777" w:rsidR="00F662D0" w:rsidRPr="00572F61" w:rsidRDefault="00F662D0" w:rsidP="00572F61">
            <w:pPr>
              <w:pStyle w:val="SDMTableBoxParaNotNumbered"/>
              <w:rPr>
                <w:b w:val="0"/>
                <w:bCs/>
              </w:rPr>
            </w:pPr>
            <w:r w:rsidRPr="00572F61">
              <w:rPr>
                <w:b w:val="0"/>
                <w:bCs/>
              </w:rPr>
              <w:t>Jordan</w:t>
            </w:r>
          </w:p>
        </w:tc>
        <w:tc>
          <w:tcPr>
            <w:tcW w:w="1013" w:type="pct"/>
          </w:tcPr>
          <w:p w14:paraId="090E98FE" w14:textId="6DE6D0B1"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0.13</w:t>
            </w:r>
          </w:p>
        </w:tc>
        <w:tc>
          <w:tcPr>
            <w:tcW w:w="1014" w:type="pct"/>
          </w:tcPr>
          <w:p w14:paraId="100FF90E" w14:textId="4AE0F708"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4.14</w:t>
            </w:r>
          </w:p>
        </w:tc>
        <w:tc>
          <w:tcPr>
            <w:tcW w:w="1014" w:type="pct"/>
          </w:tcPr>
          <w:p w14:paraId="4FD24B14" w14:textId="3371DAEE" w:rsidR="00F662D0" w:rsidRPr="00CF6457" w:rsidRDefault="003650DC"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67.48</w:t>
            </w:r>
          </w:p>
        </w:tc>
      </w:tr>
      <w:tr w:rsidR="00F662D0" w:rsidRPr="00EC2B1A" w14:paraId="2BBBC2ED"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2BAFDF0D" w14:textId="77777777" w:rsidR="00F662D0" w:rsidRPr="00572F61" w:rsidRDefault="00F662D0" w:rsidP="00572F61">
            <w:pPr>
              <w:pStyle w:val="SDMTableBoxParaNotNumbered"/>
              <w:rPr>
                <w:b w:val="0"/>
                <w:bCs/>
              </w:rPr>
            </w:pPr>
            <w:r w:rsidRPr="00572F61">
              <w:rPr>
                <w:b w:val="0"/>
                <w:bCs/>
              </w:rPr>
              <w:t>Kazakhstan</w:t>
            </w:r>
          </w:p>
        </w:tc>
        <w:tc>
          <w:tcPr>
            <w:tcW w:w="1013" w:type="pct"/>
          </w:tcPr>
          <w:p w14:paraId="150CCD2B" w14:textId="31E89AF4"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0.00</w:t>
            </w:r>
          </w:p>
        </w:tc>
        <w:tc>
          <w:tcPr>
            <w:tcW w:w="1014" w:type="pct"/>
          </w:tcPr>
          <w:p w14:paraId="27279D20" w14:textId="438D48D9"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0.67</w:t>
            </w:r>
          </w:p>
        </w:tc>
        <w:tc>
          <w:tcPr>
            <w:tcW w:w="1014" w:type="pct"/>
          </w:tcPr>
          <w:p w14:paraId="35C39870" w14:textId="1E308E3E" w:rsidR="00F662D0" w:rsidRPr="00CF6457" w:rsidRDefault="003650DC"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35.34</w:t>
            </w:r>
          </w:p>
        </w:tc>
      </w:tr>
      <w:tr w:rsidR="00F662D0" w:rsidRPr="00EC2B1A" w14:paraId="07AE1476"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5D31C773" w14:textId="77777777" w:rsidR="00F662D0" w:rsidRPr="00572F61" w:rsidRDefault="00F662D0" w:rsidP="00572F61">
            <w:pPr>
              <w:pStyle w:val="SDMTableBoxParaNotNumbered"/>
              <w:rPr>
                <w:b w:val="0"/>
                <w:bCs/>
              </w:rPr>
            </w:pPr>
            <w:r w:rsidRPr="00572F61">
              <w:rPr>
                <w:b w:val="0"/>
                <w:bCs/>
              </w:rPr>
              <w:t>Kenya</w:t>
            </w:r>
          </w:p>
        </w:tc>
        <w:tc>
          <w:tcPr>
            <w:tcW w:w="1013" w:type="pct"/>
          </w:tcPr>
          <w:p w14:paraId="59BD804F" w14:textId="47CD9918"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0.14</w:t>
            </w:r>
          </w:p>
        </w:tc>
        <w:tc>
          <w:tcPr>
            <w:tcW w:w="1014" w:type="pct"/>
          </w:tcPr>
          <w:p w14:paraId="55F0485D" w14:textId="35770CE1"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8.23</w:t>
            </w:r>
          </w:p>
        </w:tc>
        <w:tc>
          <w:tcPr>
            <w:tcW w:w="1014" w:type="pct"/>
          </w:tcPr>
          <w:p w14:paraId="7E1506AD" w14:textId="3335E171" w:rsidR="00F662D0" w:rsidRPr="00CF6457" w:rsidRDefault="003650DC"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26.88</w:t>
            </w:r>
          </w:p>
        </w:tc>
      </w:tr>
      <w:tr w:rsidR="00F662D0" w:rsidRPr="00EC2B1A" w14:paraId="28BB4384"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3C539EDA" w14:textId="77777777" w:rsidR="00F662D0" w:rsidRPr="00572F61" w:rsidRDefault="00F662D0" w:rsidP="00572F61">
            <w:pPr>
              <w:pStyle w:val="SDMTableBoxParaNumbered"/>
              <w:numPr>
                <w:ilvl w:val="0"/>
                <w:numId w:val="0"/>
              </w:numPr>
              <w:rPr>
                <w:b w:val="0"/>
                <w:bCs/>
              </w:rPr>
            </w:pPr>
            <w:r w:rsidRPr="00572F61">
              <w:rPr>
                <w:b w:val="0"/>
                <w:bCs/>
              </w:rPr>
              <w:t>Kiribati</w:t>
            </w:r>
          </w:p>
        </w:tc>
        <w:tc>
          <w:tcPr>
            <w:tcW w:w="1013" w:type="pct"/>
          </w:tcPr>
          <w:p w14:paraId="6F01DC92" w14:textId="35166D64"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0.00</w:t>
            </w:r>
          </w:p>
        </w:tc>
        <w:tc>
          <w:tcPr>
            <w:tcW w:w="1014" w:type="pct"/>
          </w:tcPr>
          <w:p w14:paraId="3577C2E7" w14:textId="386F57CA"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7.52</w:t>
            </w:r>
          </w:p>
        </w:tc>
        <w:tc>
          <w:tcPr>
            <w:tcW w:w="1014" w:type="pct"/>
          </w:tcPr>
          <w:p w14:paraId="4E7CE71E" w14:textId="0EEFB952" w:rsidR="00F662D0" w:rsidRPr="00CF6457" w:rsidRDefault="000A16B8"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Use global value</w:t>
            </w:r>
          </w:p>
        </w:tc>
      </w:tr>
      <w:tr w:rsidR="00F662D0" w:rsidRPr="00EC2B1A" w14:paraId="437C8A20"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6D50FA06" w14:textId="77777777" w:rsidR="00F662D0" w:rsidRPr="00572F61" w:rsidRDefault="00F662D0" w:rsidP="00572F61">
            <w:pPr>
              <w:pStyle w:val="SDMTableBoxParaNotNumbered"/>
              <w:rPr>
                <w:b w:val="0"/>
                <w:bCs/>
              </w:rPr>
            </w:pPr>
            <w:r w:rsidRPr="00572F61">
              <w:rPr>
                <w:b w:val="0"/>
                <w:bCs/>
              </w:rPr>
              <w:t>Kuwait</w:t>
            </w:r>
          </w:p>
        </w:tc>
        <w:tc>
          <w:tcPr>
            <w:tcW w:w="1013" w:type="pct"/>
          </w:tcPr>
          <w:p w14:paraId="56949A30" w14:textId="2287BEA5"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0.00</w:t>
            </w:r>
          </w:p>
        </w:tc>
        <w:tc>
          <w:tcPr>
            <w:tcW w:w="1014" w:type="pct"/>
          </w:tcPr>
          <w:p w14:paraId="1DEC0479" w14:textId="4CA986C0"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0.39</w:t>
            </w:r>
          </w:p>
        </w:tc>
        <w:tc>
          <w:tcPr>
            <w:tcW w:w="1014" w:type="pct"/>
          </w:tcPr>
          <w:p w14:paraId="0274520E" w14:textId="1EA3402E" w:rsidR="00F662D0" w:rsidRPr="00CF6457" w:rsidRDefault="003650DC"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16.13</w:t>
            </w:r>
          </w:p>
        </w:tc>
      </w:tr>
      <w:tr w:rsidR="00F662D0" w:rsidRPr="00EC2B1A" w14:paraId="3E5CC3F8"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1BCBB975" w14:textId="77777777" w:rsidR="00F662D0" w:rsidRPr="00572F61" w:rsidRDefault="00F662D0" w:rsidP="00572F61">
            <w:pPr>
              <w:pStyle w:val="SDMTableBoxParaNotNumbered"/>
              <w:rPr>
                <w:b w:val="0"/>
                <w:bCs/>
              </w:rPr>
            </w:pPr>
            <w:r w:rsidRPr="00572F61">
              <w:rPr>
                <w:b w:val="0"/>
                <w:bCs/>
              </w:rPr>
              <w:t>Kyrgyzstan</w:t>
            </w:r>
          </w:p>
        </w:tc>
        <w:tc>
          <w:tcPr>
            <w:tcW w:w="1013" w:type="pct"/>
          </w:tcPr>
          <w:p w14:paraId="71968116" w14:textId="77E1E2AC"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0.38</w:t>
            </w:r>
          </w:p>
        </w:tc>
        <w:tc>
          <w:tcPr>
            <w:tcW w:w="1014" w:type="pct"/>
          </w:tcPr>
          <w:p w14:paraId="35E3230D" w14:textId="2FC1E901"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3.41</w:t>
            </w:r>
          </w:p>
        </w:tc>
        <w:tc>
          <w:tcPr>
            <w:tcW w:w="1014" w:type="pct"/>
          </w:tcPr>
          <w:p w14:paraId="65C47F83" w14:textId="3D14A368" w:rsidR="00F662D0" w:rsidRPr="00CF6457" w:rsidRDefault="003650DC"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97.24</w:t>
            </w:r>
          </w:p>
        </w:tc>
      </w:tr>
      <w:tr w:rsidR="00F662D0" w:rsidRPr="00EC2B1A" w14:paraId="6A5858F7"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07D6D2D8" w14:textId="42405C72" w:rsidR="00F662D0" w:rsidRPr="00572F61" w:rsidRDefault="00F662D0" w:rsidP="00572F61">
            <w:pPr>
              <w:pStyle w:val="SDMTableBoxParaNotNumbered"/>
              <w:rPr>
                <w:b w:val="0"/>
                <w:bCs/>
              </w:rPr>
            </w:pPr>
            <w:r w:rsidRPr="00572F61">
              <w:rPr>
                <w:b w:val="0"/>
                <w:bCs/>
              </w:rPr>
              <w:t>Lao People's Democratic Republic</w:t>
            </w:r>
          </w:p>
        </w:tc>
        <w:tc>
          <w:tcPr>
            <w:tcW w:w="1013" w:type="pct"/>
          </w:tcPr>
          <w:p w14:paraId="57636276" w14:textId="5BCD90AA"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0.00</w:t>
            </w:r>
          </w:p>
        </w:tc>
        <w:tc>
          <w:tcPr>
            <w:tcW w:w="1014" w:type="pct"/>
          </w:tcPr>
          <w:p w14:paraId="1AC53956" w14:textId="7833B953"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11.34</w:t>
            </w:r>
          </w:p>
        </w:tc>
        <w:tc>
          <w:tcPr>
            <w:tcW w:w="1014" w:type="pct"/>
          </w:tcPr>
          <w:p w14:paraId="1B35645F" w14:textId="735990BF" w:rsidR="00F662D0" w:rsidRPr="00CF6457" w:rsidRDefault="003650DC"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80.51</w:t>
            </w:r>
          </w:p>
        </w:tc>
      </w:tr>
      <w:tr w:rsidR="00F662D0" w:rsidRPr="00EC2B1A" w14:paraId="45CFE008"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5A59EE5F" w14:textId="77777777" w:rsidR="00F662D0" w:rsidRPr="00572F61" w:rsidRDefault="00F662D0" w:rsidP="00572F61">
            <w:pPr>
              <w:pStyle w:val="SDMTableBoxParaNotNumbered"/>
              <w:rPr>
                <w:b w:val="0"/>
                <w:bCs/>
              </w:rPr>
            </w:pPr>
            <w:r w:rsidRPr="00572F61">
              <w:rPr>
                <w:b w:val="0"/>
                <w:bCs/>
              </w:rPr>
              <w:t>Latvia</w:t>
            </w:r>
          </w:p>
        </w:tc>
        <w:tc>
          <w:tcPr>
            <w:tcW w:w="1013" w:type="pct"/>
          </w:tcPr>
          <w:p w14:paraId="471A88E7" w14:textId="4E12E94B"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0.10</w:t>
            </w:r>
          </w:p>
        </w:tc>
        <w:tc>
          <w:tcPr>
            <w:tcW w:w="1014" w:type="pct"/>
          </w:tcPr>
          <w:p w14:paraId="6002F051" w14:textId="468CD077"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8.37</w:t>
            </w:r>
          </w:p>
        </w:tc>
        <w:tc>
          <w:tcPr>
            <w:tcW w:w="1014" w:type="pct"/>
          </w:tcPr>
          <w:p w14:paraId="6BCA2A91" w14:textId="2326467D" w:rsidR="00F662D0" w:rsidRPr="00CF6457" w:rsidRDefault="003650DC"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19.57</w:t>
            </w:r>
          </w:p>
        </w:tc>
      </w:tr>
      <w:tr w:rsidR="00F662D0" w:rsidRPr="00EC2B1A" w14:paraId="6A063CEF"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52D2675A" w14:textId="77777777" w:rsidR="00F662D0" w:rsidRPr="00572F61" w:rsidRDefault="00F662D0" w:rsidP="00572F61">
            <w:pPr>
              <w:pStyle w:val="SDMTableBoxParaNotNumbered"/>
              <w:rPr>
                <w:b w:val="0"/>
                <w:bCs/>
              </w:rPr>
            </w:pPr>
            <w:r w:rsidRPr="00572F61">
              <w:rPr>
                <w:b w:val="0"/>
                <w:bCs/>
              </w:rPr>
              <w:t>Lebanon</w:t>
            </w:r>
          </w:p>
        </w:tc>
        <w:tc>
          <w:tcPr>
            <w:tcW w:w="1013" w:type="pct"/>
          </w:tcPr>
          <w:p w14:paraId="6CD3B65E" w14:textId="0E6AFA69"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0.01</w:t>
            </w:r>
          </w:p>
        </w:tc>
        <w:tc>
          <w:tcPr>
            <w:tcW w:w="1014" w:type="pct"/>
          </w:tcPr>
          <w:p w14:paraId="110829B7" w14:textId="39154F2F"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10.24</w:t>
            </w:r>
          </w:p>
        </w:tc>
        <w:tc>
          <w:tcPr>
            <w:tcW w:w="1014" w:type="pct"/>
          </w:tcPr>
          <w:p w14:paraId="013504CF" w14:textId="018B8B08" w:rsidR="00F662D0" w:rsidRPr="00CF6457" w:rsidRDefault="003650DC"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40.01</w:t>
            </w:r>
          </w:p>
        </w:tc>
      </w:tr>
      <w:tr w:rsidR="00F662D0" w:rsidRPr="00EC2B1A" w14:paraId="2FC302F6"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0C5C7E76" w14:textId="77777777" w:rsidR="00F662D0" w:rsidRPr="00572F61" w:rsidRDefault="00F662D0" w:rsidP="00572F61">
            <w:pPr>
              <w:pStyle w:val="SDMTableBoxParaNotNumbered"/>
              <w:rPr>
                <w:b w:val="0"/>
                <w:bCs/>
              </w:rPr>
            </w:pPr>
            <w:r w:rsidRPr="00572F61">
              <w:rPr>
                <w:b w:val="0"/>
                <w:bCs/>
              </w:rPr>
              <w:t>Lesotho</w:t>
            </w:r>
          </w:p>
        </w:tc>
        <w:tc>
          <w:tcPr>
            <w:tcW w:w="1013" w:type="pct"/>
          </w:tcPr>
          <w:p w14:paraId="536C2771" w14:textId="53BDAB4A"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Use global value</w:t>
            </w:r>
          </w:p>
        </w:tc>
        <w:tc>
          <w:tcPr>
            <w:tcW w:w="1014" w:type="pct"/>
          </w:tcPr>
          <w:p w14:paraId="77320B31" w14:textId="616153EC"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1.00</w:t>
            </w:r>
          </w:p>
        </w:tc>
        <w:tc>
          <w:tcPr>
            <w:tcW w:w="1014" w:type="pct"/>
          </w:tcPr>
          <w:p w14:paraId="55E43B47" w14:textId="1144C8EA" w:rsidR="00F662D0" w:rsidRPr="00CF6457" w:rsidRDefault="000A16B8"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Use global value</w:t>
            </w:r>
          </w:p>
        </w:tc>
      </w:tr>
      <w:tr w:rsidR="00F662D0" w:rsidRPr="00EC2B1A" w14:paraId="79BDE119"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67556DFB" w14:textId="77777777" w:rsidR="00F662D0" w:rsidRPr="00572F61" w:rsidRDefault="00F662D0" w:rsidP="00572F61">
            <w:pPr>
              <w:pStyle w:val="SDMTableBoxParaNotNumbered"/>
              <w:rPr>
                <w:b w:val="0"/>
                <w:bCs/>
              </w:rPr>
            </w:pPr>
            <w:r w:rsidRPr="00572F61">
              <w:rPr>
                <w:b w:val="0"/>
                <w:bCs/>
              </w:rPr>
              <w:t>Liberia</w:t>
            </w:r>
          </w:p>
        </w:tc>
        <w:tc>
          <w:tcPr>
            <w:tcW w:w="1013" w:type="pct"/>
          </w:tcPr>
          <w:p w14:paraId="5369357C" w14:textId="6DDD7068"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0.50</w:t>
            </w:r>
          </w:p>
        </w:tc>
        <w:tc>
          <w:tcPr>
            <w:tcW w:w="1014" w:type="pct"/>
          </w:tcPr>
          <w:p w14:paraId="0635C731" w14:textId="632E2BC2"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9.48</w:t>
            </w:r>
          </w:p>
        </w:tc>
        <w:tc>
          <w:tcPr>
            <w:tcW w:w="1014" w:type="pct"/>
          </w:tcPr>
          <w:p w14:paraId="582760EA" w14:textId="59E5B5FA" w:rsidR="00F662D0" w:rsidRPr="00CF6457" w:rsidRDefault="000A16B8"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Use global value</w:t>
            </w:r>
          </w:p>
        </w:tc>
      </w:tr>
      <w:tr w:rsidR="00F662D0" w:rsidRPr="00EC2B1A" w14:paraId="6D760B50"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04717219" w14:textId="77777777" w:rsidR="00F662D0" w:rsidRPr="00572F61" w:rsidRDefault="00F662D0" w:rsidP="00572F61">
            <w:pPr>
              <w:pStyle w:val="SDMTableBoxParaNotNumbered"/>
              <w:rPr>
                <w:b w:val="0"/>
                <w:bCs/>
              </w:rPr>
            </w:pPr>
            <w:r w:rsidRPr="00572F61">
              <w:rPr>
                <w:b w:val="0"/>
                <w:bCs/>
              </w:rPr>
              <w:t>Libya</w:t>
            </w:r>
          </w:p>
        </w:tc>
        <w:tc>
          <w:tcPr>
            <w:tcW w:w="1013" w:type="pct"/>
          </w:tcPr>
          <w:p w14:paraId="0F32DFDC" w14:textId="7D51938E"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0.01</w:t>
            </w:r>
          </w:p>
        </w:tc>
        <w:tc>
          <w:tcPr>
            <w:tcW w:w="1014" w:type="pct"/>
          </w:tcPr>
          <w:p w14:paraId="2DC2A5EF" w14:textId="3D96A5DF"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0.01</w:t>
            </w:r>
          </w:p>
        </w:tc>
        <w:tc>
          <w:tcPr>
            <w:tcW w:w="1014" w:type="pct"/>
          </w:tcPr>
          <w:p w14:paraId="1F647F58" w14:textId="57663C71" w:rsidR="00F662D0" w:rsidRPr="00CF6457" w:rsidRDefault="003650DC"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9.60</w:t>
            </w:r>
          </w:p>
        </w:tc>
      </w:tr>
      <w:tr w:rsidR="00F662D0" w:rsidRPr="00EC2B1A" w14:paraId="1920B169"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649CECAE" w14:textId="77777777" w:rsidR="00F662D0" w:rsidRPr="00572F61" w:rsidRDefault="00F662D0" w:rsidP="00572F61">
            <w:pPr>
              <w:pStyle w:val="SDMTableBoxParaNotNumbered"/>
              <w:rPr>
                <w:b w:val="0"/>
                <w:bCs/>
              </w:rPr>
            </w:pPr>
            <w:r w:rsidRPr="00572F61">
              <w:rPr>
                <w:b w:val="0"/>
                <w:bCs/>
              </w:rPr>
              <w:t>Lithuania</w:t>
            </w:r>
          </w:p>
        </w:tc>
        <w:tc>
          <w:tcPr>
            <w:tcW w:w="1013" w:type="pct"/>
          </w:tcPr>
          <w:p w14:paraId="7330A959" w14:textId="0829B27D"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1.05</w:t>
            </w:r>
          </w:p>
        </w:tc>
        <w:tc>
          <w:tcPr>
            <w:tcW w:w="1014" w:type="pct"/>
          </w:tcPr>
          <w:p w14:paraId="2CDDA8E1" w14:textId="42B12D6B"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10.93</w:t>
            </w:r>
          </w:p>
        </w:tc>
        <w:tc>
          <w:tcPr>
            <w:tcW w:w="1014" w:type="pct"/>
          </w:tcPr>
          <w:p w14:paraId="4EA488CB" w14:textId="22282AB4" w:rsidR="00F662D0" w:rsidRPr="00CF6457" w:rsidRDefault="003650DC"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29.05</w:t>
            </w:r>
          </w:p>
        </w:tc>
      </w:tr>
      <w:tr w:rsidR="00F662D0" w:rsidRPr="00EC2B1A" w14:paraId="1E6A251A"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1642BE92" w14:textId="77777777" w:rsidR="00F662D0" w:rsidRPr="00572F61" w:rsidRDefault="00F662D0" w:rsidP="00572F61">
            <w:pPr>
              <w:pStyle w:val="SDMTableBoxParaNotNumbered"/>
              <w:rPr>
                <w:b w:val="0"/>
                <w:bCs/>
              </w:rPr>
            </w:pPr>
            <w:r w:rsidRPr="00572F61">
              <w:rPr>
                <w:b w:val="0"/>
                <w:bCs/>
              </w:rPr>
              <w:t>Luxembourg</w:t>
            </w:r>
          </w:p>
        </w:tc>
        <w:tc>
          <w:tcPr>
            <w:tcW w:w="1013" w:type="pct"/>
          </w:tcPr>
          <w:p w14:paraId="1995AE13" w14:textId="79FB0425"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0.00</w:t>
            </w:r>
          </w:p>
        </w:tc>
        <w:tc>
          <w:tcPr>
            <w:tcW w:w="1014" w:type="pct"/>
          </w:tcPr>
          <w:p w14:paraId="1E43C9E0" w14:textId="2DDAE798"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11.26</w:t>
            </w:r>
          </w:p>
        </w:tc>
        <w:tc>
          <w:tcPr>
            <w:tcW w:w="1014" w:type="pct"/>
          </w:tcPr>
          <w:p w14:paraId="29A447FB" w14:textId="41F37847" w:rsidR="00F662D0" w:rsidRPr="00CF6457" w:rsidRDefault="003650DC"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19.15</w:t>
            </w:r>
          </w:p>
        </w:tc>
      </w:tr>
      <w:tr w:rsidR="00F662D0" w:rsidRPr="00EC2B1A" w14:paraId="71979093"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79AC9F35" w14:textId="77777777" w:rsidR="00F662D0" w:rsidRPr="00572F61" w:rsidRDefault="00F662D0" w:rsidP="00572F61">
            <w:pPr>
              <w:pStyle w:val="SDMTableBoxParaNotNumbered"/>
              <w:rPr>
                <w:b w:val="0"/>
                <w:bCs/>
              </w:rPr>
            </w:pPr>
            <w:r w:rsidRPr="00572F61">
              <w:rPr>
                <w:b w:val="0"/>
                <w:bCs/>
              </w:rPr>
              <w:t>Madagascar</w:t>
            </w:r>
          </w:p>
        </w:tc>
        <w:tc>
          <w:tcPr>
            <w:tcW w:w="1013" w:type="pct"/>
          </w:tcPr>
          <w:p w14:paraId="6E64B594" w14:textId="345A0F44"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0.00</w:t>
            </w:r>
          </w:p>
        </w:tc>
        <w:tc>
          <w:tcPr>
            <w:tcW w:w="1014" w:type="pct"/>
          </w:tcPr>
          <w:p w14:paraId="2896DC63" w14:textId="7E086483"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0.00</w:t>
            </w:r>
          </w:p>
        </w:tc>
        <w:tc>
          <w:tcPr>
            <w:tcW w:w="1014" w:type="pct"/>
          </w:tcPr>
          <w:p w14:paraId="3E9191EA" w14:textId="2304FA5D" w:rsidR="00F662D0" w:rsidRPr="00CF6457" w:rsidRDefault="003650DC"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92.07</w:t>
            </w:r>
          </w:p>
        </w:tc>
      </w:tr>
      <w:tr w:rsidR="00F662D0" w:rsidRPr="00EC2B1A" w14:paraId="3D41DB2D"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5E925E0C" w14:textId="77777777" w:rsidR="00F662D0" w:rsidRPr="00572F61" w:rsidRDefault="00F662D0" w:rsidP="00572F61">
            <w:pPr>
              <w:pStyle w:val="SDMTableBoxParaNotNumbered"/>
              <w:rPr>
                <w:b w:val="0"/>
                <w:bCs/>
              </w:rPr>
            </w:pPr>
            <w:r w:rsidRPr="00572F61">
              <w:rPr>
                <w:b w:val="0"/>
                <w:bCs/>
              </w:rPr>
              <w:t>Malawi</w:t>
            </w:r>
          </w:p>
        </w:tc>
        <w:tc>
          <w:tcPr>
            <w:tcW w:w="1013" w:type="pct"/>
          </w:tcPr>
          <w:p w14:paraId="302EDBEF" w14:textId="11059688"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5.23</w:t>
            </w:r>
          </w:p>
        </w:tc>
        <w:tc>
          <w:tcPr>
            <w:tcW w:w="1014" w:type="pct"/>
          </w:tcPr>
          <w:p w14:paraId="10B8370B" w14:textId="1E6CA398"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12.12</w:t>
            </w:r>
          </w:p>
        </w:tc>
        <w:tc>
          <w:tcPr>
            <w:tcW w:w="1014" w:type="pct"/>
          </w:tcPr>
          <w:p w14:paraId="062464F6" w14:textId="48CCBCEF" w:rsidR="00F662D0" w:rsidRPr="00CF6457" w:rsidRDefault="003650DC"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87.52</w:t>
            </w:r>
          </w:p>
        </w:tc>
      </w:tr>
      <w:tr w:rsidR="00F662D0" w:rsidRPr="00EC2B1A" w14:paraId="5EB699E9"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228234D3" w14:textId="77777777" w:rsidR="00F662D0" w:rsidRPr="00572F61" w:rsidRDefault="00F662D0" w:rsidP="00572F61">
            <w:pPr>
              <w:pStyle w:val="SDMTableBoxParaNotNumbered"/>
              <w:rPr>
                <w:b w:val="0"/>
                <w:bCs/>
              </w:rPr>
            </w:pPr>
            <w:r w:rsidRPr="00572F61">
              <w:rPr>
                <w:b w:val="0"/>
                <w:bCs/>
              </w:rPr>
              <w:t>Malaysia</w:t>
            </w:r>
          </w:p>
        </w:tc>
        <w:tc>
          <w:tcPr>
            <w:tcW w:w="1013" w:type="pct"/>
          </w:tcPr>
          <w:p w14:paraId="78315692" w14:textId="7178F7EF"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0.12</w:t>
            </w:r>
          </w:p>
        </w:tc>
        <w:tc>
          <w:tcPr>
            <w:tcW w:w="1014" w:type="pct"/>
          </w:tcPr>
          <w:p w14:paraId="17D309AA" w14:textId="48CC873B"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1.49</w:t>
            </w:r>
          </w:p>
        </w:tc>
        <w:tc>
          <w:tcPr>
            <w:tcW w:w="1014" w:type="pct"/>
          </w:tcPr>
          <w:p w14:paraId="16268485" w14:textId="696CC290" w:rsidR="00F662D0" w:rsidRPr="00CF6457" w:rsidRDefault="003650DC"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24.70</w:t>
            </w:r>
          </w:p>
        </w:tc>
      </w:tr>
      <w:tr w:rsidR="00F662D0" w:rsidRPr="00EC2B1A" w14:paraId="0B5815CC"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1E3B774F" w14:textId="77777777" w:rsidR="00F662D0" w:rsidRPr="00572F61" w:rsidRDefault="00F662D0" w:rsidP="00572F61">
            <w:pPr>
              <w:pStyle w:val="SDMTableBoxParaNotNumbered"/>
              <w:rPr>
                <w:b w:val="0"/>
                <w:bCs/>
              </w:rPr>
            </w:pPr>
            <w:r w:rsidRPr="00572F61">
              <w:rPr>
                <w:b w:val="0"/>
                <w:bCs/>
              </w:rPr>
              <w:t>Maldives</w:t>
            </w:r>
          </w:p>
        </w:tc>
        <w:tc>
          <w:tcPr>
            <w:tcW w:w="1013" w:type="pct"/>
          </w:tcPr>
          <w:p w14:paraId="6A5CC83F" w14:textId="0C71103E"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0.07</w:t>
            </w:r>
          </w:p>
        </w:tc>
        <w:tc>
          <w:tcPr>
            <w:tcW w:w="1014" w:type="pct"/>
          </w:tcPr>
          <w:p w14:paraId="047AFBB9" w14:textId="6888CCA6"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0.90</w:t>
            </w:r>
          </w:p>
        </w:tc>
        <w:tc>
          <w:tcPr>
            <w:tcW w:w="1014" w:type="pct"/>
          </w:tcPr>
          <w:p w14:paraId="7D178BB8" w14:textId="2A2EF6D8" w:rsidR="00F662D0" w:rsidRPr="00CF6457" w:rsidRDefault="000A16B8"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Use global value</w:t>
            </w:r>
          </w:p>
        </w:tc>
      </w:tr>
      <w:tr w:rsidR="00F662D0" w:rsidRPr="00EC2B1A" w14:paraId="05E770AC"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4D48E1A4" w14:textId="77777777" w:rsidR="00F662D0" w:rsidRPr="00572F61" w:rsidRDefault="00F662D0" w:rsidP="00572F61">
            <w:pPr>
              <w:pStyle w:val="SDMTableBoxParaNotNumbered"/>
              <w:rPr>
                <w:b w:val="0"/>
                <w:bCs/>
              </w:rPr>
            </w:pPr>
            <w:r w:rsidRPr="00572F61">
              <w:rPr>
                <w:b w:val="0"/>
                <w:bCs/>
              </w:rPr>
              <w:t>Mali</w:t>
            </w:r>
          </w:p>
        </w:tc>
        <w:tc>
          <w:tcPr>
            <w:tcW w:w="1013" w:type="pct"/>
          </w:tcPr>
          <w:p w14:paraId="000522B4" w14:textId="631FE9FF"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0.14</w:t>
            </w:r>
          </w:p>
        </w:tc>
        <w:tc>
          <w:tcPr>
            <w:tcW w:w="1014" w:type="pct"/>
          </w:tcPr>
          <w:p w14:paraId="601109DD" w14:textId="5A60D8D7"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0.02</w:t>
            </w:r>
          </w:p>
        </w:tc>
        <w:tc>
          <w:tcPr>
            <w:tcW w:w="1014" w:type="pct"/>
          </w:tcPr>
          <w:p w14:paraId="08B43F27" w14:textId="506B9DF3" w:rsidR="00F662D0" w:rsidRPr="00CF6457" w:rsidRDefault="003650DC"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17.98</w:t>
            </w:r>
          </w:p>
        </w:tc>
      </w:tr>
      <w:tr w:rsidR="00F662D0" w:rsidRPr="00EC2B1A" w14:paraId="05CD9E3C"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1ADA1E20" w14:textId="77777777" w:rsidR="00F662D0" w:rsidRPr="00572F61" w:rsidRDefault="00F662D0" w:rsidP="00572F61">
            <w:pPr>
              <w:pStyle w:val="SDMTableBoxParaNotNumbered"/>
              <w:rPr>
                <w:b w:val="0"/>
                <w:bCs/>
              </w:rPr>
            </w:pPr>
            <w:r w:rsidRPr="00572F61">
              <w:rPr>
                <w:b w:val="0"/>
                <w:bCs/>
              </w:rPr>
              <w:t>Malta</w:t>
            </w:r>
          </w:p>
        </w:tc>
        <w:tc>
          <w:tcPr>
            <w:tcW w:w="1013" w:type="pct"/>
          </w:tcPr>
          <w:p w14:paraId="3CC26879" w14:textId="4B97580E"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2.84</w:t>
            </w:r>
          </w:p>
        </w:tc>
        <w:tc>
          <w:tcPr>
            <w:tcW w:w="1014" w:type="pct"/>
          </w:tcPr>
          <w:p w14:paraId="092EC24D" w14:textId="0819F6B1"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3.35</w:t>
            </w:r>
          </w:p>
        </w:tc>
        <w:tc>
          <w:tcPr>
            <w:tcW w:w="1014" w:type="pct"/>
          </w:tcPr>
          <w:p w14:paraId="61E0BD5E" w14:textId="6719A377" w:rsidR="00F662D0" w:rsidRPr="00CF6457" w:rsidRDefault="003650DC"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99.19</w:t>
            </w:r>
          </w:p>
        </w:tc>
      </w:tr>
      <w:tr w:rsidR="00F662D0" w:rsidRPr="00EC2B1A" w14:paraId="0E014B41"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64E1C76A" w14:textId="77777777" w:rsidR="00F662D0" w:rsidRPr="00572F61" w:rsidRDefault="00F662D0" w:rsidP="00572F61">
            <w:pPr>
              <w:pStyle w:val="SDMTableBoxParaNotNumbered"/>
              <w:rPr>
                <w:b w:val="0"/>
                <w:bCs/>
              </w:rPr>
            </w:pPr>
            <w:r w:rsidRPr="00572F61">
              <w:rPr>
                <w:b w:val="0"/>
                <w:bCs/>
              </w:rPr>
              <w:t>Mauritania</w:t>
            </w:r>
          </w:p>
        </w:tc>
        <w:tc>
          <w:tcPr>
            <w:tcW w:w="1013" w:type="pct"/>
          </w:tcPr>
          <w:p w14:paraId="44AC2013" w14:textId="5DA0EACA"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0.05</w:t>
            </w:r>
          </w:p>
        </w:tc>
        <w:tc>
          <w:tcPr>
            <w:tcW w:w="1014" w:type="pct"/>
          </w:tcPr>
          <w:p w14:paraId="1A574854" w14:textId="015C2A11"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1.08</w:t>
            </w:r>
          </w:p>
        </w:tc>
        <w:tc>
          <w:tcPr>
            <w:tcW w:w="1014" w:type="pct"/>
          </w:tcPr>
          <w:p w14:paraId="217E86AC" w14:textId="27812DEC" w:rsidR="00F662D0" w:rsidRPr="00CF6457" w:rsidRDefault="000A16B8"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Use global value</w:t>
            </w:r>
          </w:p>
        </w:tc>
      </w:tr>
      <w:tr w:rsidR="00F662D0" w:rsidRPr="00EC2B1A" w14:paraId="011FB4AF"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62B0BD20" w14:textId="77777777" w:rsidR="00F662D0" w:rsidRPr="00572F61" w:rsidRDefault="00F662D0" w:rsidP="00572F61">
            <w:pPr>
              <w:pStyle w:val="SDMTableBoxParaNotNumbered"/>
              <w:rPr>
                <w:b w:val="0"/>
                <w:bCs/>
              </w:rPr>
            </w:pPr>
            <w:r w:rsidRPr="00572F61">
              <w:rPr>
                <w:b w:val="0"/>
                <w:bCs/>
              </w:rPr>
              <w:t>Mauritius</w:t>
            </w:r>
          </w:p>
        </w:tc>
        <w:tc>
          <w:tcPr>
            <w:tcW w:w="1013" w:type="pct"/>
          </w:tcPr>
          <w:p w14:paraId="31545D87" w14:textId="47C68A1E"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0.72</w:t>
            </w:r>
          </w:p>
        </w:tc>
        <w:tc>
          <w:tcPr>
            <w:tcW w:w="1014" w:type="pct"/>
          </w:tcPr>
          <w:p w14:paraId="0C94C2E9" w14:textId="26AD86BB"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0.68</w:t>
            </w:r>
          </w:p>
        </w:tc>
        <w:tc>
          <w:tcPr>
            <w:tcW w:w="1014" w:type="pct"/>
          </w:tcPr>
          <w:p w14:paraId="42062755" w14:textId="6A166D1A" w:rsidR="00F662D0" w:rsidRPr="00CF6457" w:rsidRDefault="003650DC"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53.51</w:t>
            </w:r>
          </w:p>
        </w:tc>
      </w:tr>
      <w:tr w:rsidR="00F662D0" w:rsidRPr="00EC2B1A" w14:paraId="4FA93BE6"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38635805" w14:textId="77777777" w:rsidR="00F662D0" w:rsidRPr="00572F61" w:rsidRDefault="00F662D0" w:rsidP="00572F61">
            <w:pPr>
              <w:pStyle w:val="SDMTableBoxParaNotNumbered"/>
              <w:rPr>
                <w:b w:val="0"/>
                <w:bCs/>
              </w:rPr>
            </w:pPr>
            <w:r w:rsidRPr="00572F61">
              <w:rPr>
                <w:b w:val="0"/>
                <w:bCs/>
              </w:rPr>
              <w:t>Mexico</w:t>
            </w:r>
          </w:p>
        </w:tc>
        <w:tc>
          <w:tcPr>
            <w:tcW w:w="1013" w:type="pct"/>
          </w:tcPr>
          <w:p w14:paraId="5634855E" w14:textId="79646EFC"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0.63</w:t>
            </w:r>
          </w:p>
        </w:tc>
        <w:tc>
          <w:tcPr>
            <w:tcW w:w="1014" w:type="pct"/>
          </w:tcPr>
          <w:p w14:paraId="37ED4C61" w14:textId="1D02B302"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2.50</w:t>
            </w:r>
          </w:p>
        </w:tc>
        <w:tc>
          <w:tcPr>
            <w:tcW w:w="1014" w:type="pct"/>
          </w:tcPr>
          <w:p w14:paraId="2597E7ED" w14:textId="0B9A1824" w:rsidR="00F662D0" w:rsidRPr="00CF6457" w:rsidRDefault="003650DC"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7.10</w:t>
            </w:r>
          </w:p>
        </w:tc>
      </w:tr>
      <w:tr w:rsidR="00F662D0" w:rsidRPr="00EC2B1A" w14:paraId="4F7459FC"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7B338CCE" w14:textId="77777777" w:rsidR="00F662D0" w:rsidRPr="00572F61" w:rsidRDefault="00F662D0" w:rsidP="00572F61">
            <w:pPr>
              <w:pStyle w:val="SDMTableBoxParaNotNumbered"/>
              <w:rPr>
                <w:b w:val="0"/>
                <w:bCs/>
              </w:rPr>
            </w:pPr>
            <w:r w:rsidRPr="00572F61">
              <w:rPr>
                <w:b w:val="0"/>
                <w:bCs/>
              </w:rPr>
              <w:t>Mongolia</w:t>
            </w:r>
          </w:p>
        </w:tc>
        <w:tc>
          <w:tcPr>
            <w:tcW w:w="1013" w:type="pct"/>
          </w:tcPr>
          <w:p w14:paraId="03ADB07A" w14:textId="319CCA56"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0.23</w:t>
            </w:r>
          </w:p>
        </w:tc>
        <w:tc>
          <w:tcPr>
            <w:tcW w:w="1014" w:type="pct"/>
          </w:tcPr>
          <w:p w14:paraId="3957F2B1" w14:textId="670B13FD"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1.29</w:t>
            </w:r>
          </w:p>
        </w:tc>
        <w:tc>
          <w:tcPr>
            <w:tcW w:w="1014" w:type="pct"/>
          </w:tcPr>
          <w:p w14:paraId="7E0636E1" w14:textId="2F0ACD71" w:rsidR="00F662D0" w:rsidRPr="00CF6457" w:rsidRDefault="003650DC"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23.97</w:t>
            </w:r>
          </w:p>
        </w:tc>
      </w:tr>
      <w:tr w:rsidR="00F662D0" w:rsidRPr="00EC2B1A" w14:paraId="422D756F"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3DAD0950" w14:textId="77777777" w:rsidR="00F662D0" w:rsidRPr="00572F61" w:rsidRDefault="00F662D0" w:rsidP="00572F61">
            <w:pPr>
              <w:pStyle w:val="SDMTableBoxParaNotNumbered"/>
              <w:rPr>
                <w:b w:val="0"/>
                <w:bCs/>
              </w:rPr>
            </w:pPr>
            <w:r w:rsidRPr="00572F61">
              <w:rPr>
                <w:b w:val="0"/>
                <w:bCs/>
              </w:rPr>
              <w:t>Montenegro</w:t>
            </w:r>
          </w:p>
        </w:tc>
        <w:tc>
          <w:tcPr>
            <w:tcW w:w="1013" w:type="pct"/>
          </w:tcPr>
          <w:p w14:paraId="324B2A10" w14:textId="4C783D8B"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0.04</w:t>
            </w:r>
          </w:p>
        </w:tc>
        <w:tc>
          <w:tcPr>
            <w:tcW w:w="1014" w:type="pct"/>
          </w:tcPr>
          <w:p w14:paraId="08998627" w14:textId="3BDDE100"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4.43</w:t>
            </w:r>
          </w:p>
        </w:tc>
        <w:tc>
          <w:tcPr>
            <w:tcW w:w="1014" w:type="pct"/>
          </w:tcPr>
          <w:p w14:paraId="04BC2D96" w14:textId="4A0D9F3B" w:rsidR="00F662D0" w:rsidRPr="00CF6457" w:rsidRDefault="003650DC"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9.80</w:t>
            </w:r>
          </w:p>
        </w:tc>
      </w:tr>
      <w:tr w:rsidR="00F662D0" w:rsidRPr="00EC2B1A" w14:paraId="4EC092FD"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5DCF1252" w14:textId="77777777" w:rsidR="00F662D0" w:rsidRPr="00572F61" w:rsidRDefault="00F662D0" w:rsidP="00572F61">
            <w:pPr>
              <w:pStyle w:val="SDMTableBoxParaNotNumbered"/>
              <w:rPr>
                <w:b w:val="0"/>
                <w:bCs/>
              </w:rPr>
            </w:pPr>
            <w:r w:rsidRPr="00572F61">
              <w:rPr>
                <w:b w:val="0"/>
                <w:bCs/>
              </w:rPr>
              <w:t>Morocco</w:t>
            </w:r>
          </w:p>
        </w:tc>
        <w:tc>
          <w:tcPr>
            <w:tcW w:w="1013" w:type="pct"/>
          </w:tcPr>
          <w:p w14:paraId="6BFEB7BE" w14:textId="07A2794C"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0.00</w:t>
            </w:r>
          </w:p>
        </w:tc>
        <w:tc>
          <w:tcPr>
            <w:tcW w:w="1014" w:type="pct"/>
          </w:tcPr>
          <w:p w14:paraId="25DBD9B4" w14:textId="7F140A6F"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1.64</w:t>
            </w:r>
          </w:p>
        </w:tc>
        <w:tc>
          <w:tcPr>
            <w:tcW w:w="1014" w:type="pct"/>
          </w:tcPr>
          <w:p w14:paraId="7E3B9498" w14:textId="3EE13C82" w:rsidR="00F662D0" w:rsidRPr="00CF6457" w:rsidRDefault="003650DC"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96.23</w:t>
            </w:r>
          </w:p>
        </w:tc>
      </w:tr>
      <w:tr w:rsidR="00F662D0" w:rsidRPr="00EC2B1A" w14:paraId="6BC39D68"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4CD3D2D8" w14:textId="77777777" w:rsidR="00F662D0" w:rsidRPr="00572F61" w:rsidRDefault="00F662D0" w:rsidP="00572F61">
            <w:pPr>
              <w:pStyle w:val="SDMTableBoxParaNotNumbered"/>
              <w:rPr>
                <w:b w:val="0"/>
                <w:bCs/>
              </w:rPr>
            </w:pPr>
            <w:r w:rsidRPr="00572F61">
              <w:rPr>
                <w:b w:val="0"/>
                <w:bCs/>
              </w:rPr>
              <w:t>Mozambique</w:t>
            </w:r>
          </w:p>
        </w:tc>
        <w:tc>
          <w:tcPr>
            <w:tcW w:w="1013" w:type="pct"/>
          </w:tcPr>
          <w:p w14:paraId="754C87A0" w14:textId="61DB2E8D"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0.02</w:t>
            </w:r>
          </w:p>
        </w:tc>
        <w:tc>
          <w:tcPr>
            <w:tcW w:w="1014" w:type="pct"/>
          </w:tcPr>
          <w:p w14:paraId="13FBF931" w14:textId="3095C392"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6.19</w:t>
            </w:r>
          </w:p>
        </w:tc>
        <w:tc>
          <w:tcPr>
            <w:tcW w:w="1014" w:type="pct"/>
          </w:tcPr>
          <w:p w14:paraId="44938E37" w14:textId="30020398" w:rsidR="00F662D0" w:rsidRPr="00CF6457" w:rsidRDefault="000A16B8"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Use global value</w:t>
            </w:r>
          </w:p>
        </w:tc>
      </w:tr>
      <w:tr w:rsidR="00F662D0" w:rsidRPr="00EC2B1A" w14:paraId="5FB72C1C"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4A7A9F48" w14:textId="77777777" w:rsidR="00F662D0" w:rsidRPr="00572F61" w:rsidRDefault="00F662D0" w:rsidP="00572F61">
            <w:pPr>
              <w:pStyle w:val="SDMTableBoxParaNotNumbered"/>
              <w:rPr>
                <w:b w:val="0"/>
                <w:bCs/>
              </w:rPr>
            </w:pPr>
            <w:r w:rsidRPr="00572F61">
              <w:rPr>
                <w:b w:val="0"/>
                <w:bCs/>
              </w:rPr>
              <w:t>Myanmar</w:t>
            </w:r>
          </w:p>
        </w:tc>
        <w:tc>
          <w:tcPr>
            <w:tcW w:w="1013" w:type="pct"/>
          </w:tcPr>
          <w:p w14:paraId="5D3D7AC6" w14:textId="7C7C848A"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0.32</w:t>
            </w:r>
          </w:p>
        </w:tc>
        <w:tc>
          <w:tcPr>
            <w:tcW w:w="1014" w:type="pct"/>
          </w:tcPr>
          <w:p w14:paraId="1A9BF42B" w14:textId="4FF58D6E"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0.00</w:t>
            </w:r>
          </w:p>
        </w:tc>
        <w:tc>
          <w:tcPr>
            <w:tcW w:w="1014" w:type="pct"/>
          </w:tcPr>
          <w:p w14:paraId="6BF2E139" w14:textId="1A3F9300" w:rsidR="00F662D0" w:rsidRPr="00CF6457" w:rsidRDefault="003650DC"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25.33</w:t>
            </w:r>
          </w:p>
        </w:tc>
      </w:tr>
      <w:tr w:rsidR="00F662D0" w:rsidRPr="00EC2B1A" w14:paraId="3003AD6C"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1124174D" w14:textId="77777777" w:rsidR="00F662D0" w:rsidRPr="00572F61" w:rsidRDefault="00F662D0" w:rsidP="00572F61">
            <w:pPr>
              <w:pStyle w:val="SDMTableBoxParaNotNumbered"/>
              <w:rPr>
                <w:b w:val="0"/>
                <w:bCs/>
              </w:rPr>
            </w:pPr>
            <w:r w:rsidRPr="00572F61">
              <w:rPr>
                <w:b w:val="0"/>
                <w:bCs/>
              </w:rPr>
              <w:t>Namibia</w:t>
            </w:r>
          </w:p>
        </w:tc>
        <w:tc>
          <w:tcPr>
            <w:tcW w:w="1013" w:type="pct"/>
          </w:tcPr>
          <w:p w14:paraId="309E9261" w14:textId="13F718E8"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0.39</w:t>
            </w:r>
          </w:p>
        </w:tc>
        <w:tc>
          <w:tcPr>
            <w:tcW w:w="1014" w:type="pct"/>
          </w:tcPr>
          <w:p w14:paraId="4E626FED" w14:textId="09832EB6"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5.14</w:t>
            </w:r>
          </w:p>
        </w:tc>
        <w:tc>
          <w:tcPr>
            <w:tcW w:w="1014" w:type="pct"/>
          </w:tcPr>
          <w:p w14:paraId="316CA506" w14:textId="08A3B8F6" w:rsidR="00F662D0" w:rsidRPr="00CF6457" w:rsidRDefault="003650DC"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39.95</w:t>
            </w:r>
          </w:p>
        </w:tc>
      </w:tr>
      <w:tr w:rsidR="00F662D0" w:rsidRPr="00EC2B1A" w14:paraId="09FFF721"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1820E4B3" w14:textId="77777777" w:rsidR="00F662D0" w:rsidRPr="00572F61" w:rsidRDefault="00F662D0" w:rsidP="00572F61">
            <w:pPr>
              <w:pStyle w:val="SDMTableBoxParaNotNumbered"/>
              <w:rPr>
                <w:b w:val="0"/>
                <w:bCs/>
              </w:rPr>
            </w:pPr>
            <w:r w:rsidRPr="00572F61">
              <w:rPr>
                <w:b w:val="0"/>
                <w:bCs/>
              </w:rPr>
              <w:t>Nauru</w:t>
            </w:r>
          </w:p>
        </w:tc>
        <w:tc>
          <w:tcPr>
            <w:tcW w:w="1013" w:type="pct"/>
          </w:tcPr>
          <w:p w14:paraId="40F2600C" w14:textId="0BFB7BBA"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0.00</w:t>
            </w:r>
          </w:p>
        </w:tc>
        <w:tc>
          <w:tcPr>
            <w:tcW w:w="1014" w:type="pct"/>
          </w:tcPr>
          <w:p w14:paraId="2D5B8EF7" w14:textId="49C6578D"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0.00</w:t>
            </w:r>
          </w:p>
        </w:tc>
        <w:tc>
          <w:tcPr>
            <w:tcW w:w="1014" w:type="pct"/>
          </w:tcPr>
          <w:p w14:paraId="2C887512" w14:textId="79A09BDD" w:rsidR="00F662D0" w:rsidRPr="00CF6457" w:rsidRDefault="000A16B8"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Use global value</w:t>
            </w:r>
          </w:p>
        </w:tc>
      </w:tr>
      <w:tr w:rsidR="00F662D0" w:rsidRPr="00EC2B1A" w14:paraId="6385F497"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3BB85A52" w14:textId="77777777" w:rsidR="00F662D0" w:rsidRPr="00572F61" w:rsidRDefault="00F662D0" w:rsidP="00572F61">
            <w:pPr>
              <w:pStyle w:val="SDMTableBoxParaNotNumbered"/>
              <w:rPr>
                <w:b w:val="0"/>
                <w:bCs/>
              </w:rPr>
            </w:pPr>
            <w:r w:rsidRPr="00572F61">
              <w:rPr>
                <w:b w:val="0"/>
                <w:bCs/>
              </w:rPr>
              <w:t>Nepal</w:t>
            </w:r>
          </w:p>
        </w:tc>
        <w:tc>
          <w:tcPr>
            <w:tcW w:w="1013" w:type="pct"/>
          </w:tcPr>
          <w:p w14:paraId="2A6DD182" w14:textId="3F22182A"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Use global value</w:t>
            </w:r>
          </w:p>
        </w:tc>
        <w:tc>
          <w:tcPr>
            <w:tcW w:w="1014" w:type="pct"/>
          </w:tcPr>
          <w:p w14:paraId="520B3A46" w14:textId="591992EA"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0.92</w:t>
            </w:r>
          </w:p>
        </w:tc>
        <w:tc>
          <w:tcPr>
            <w:tcW w:w="1014" w:type="pct"/>
          </w:tcPr>
          <w:p w14:paraId="13C7654D" w14:textId="4525FAEB" w:rsidR="00F662D0" w:rsidRPr="00CF6457" w:rsidRDefault="009B0137"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0.</w:t>
            </w:r>
            <w:r w:rsidR="003650DC" w:rsidRPr="00A644C5">
              <w:t>90</w:t>
            </w:r>
          </w:p>
        </w:tc>
      </w:tr>
      <w:tr w:rsidR="00F662D0" w:rsidRPr="00EC2B1A" w14:paraId="516197CC"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250538D9" w14:textId="77777777" w:rsidR="00F662D0" w:rsidRPr="00572F61" w:rsidRDefault="00F662D0" w:rsidP="00572F61">
            <w:pPr>
              <w:pStyle w:val="SDMTableBoxParaNotNumbered"/>
              <w:rPr>
                <w:b w:val="0"/>
                <w:bCs/>
              </w:rPr>
            </w:pPr>
            <w:r w:rsidRPr="00572F61">
              <w:rPr>
                <w:b w:val="0"/>
                <w:bCs/>
              </w:rPr>
              <w:t>Netherlands</w:t>
            </w:r>
          </w:p>
        </w:tc>
        <w:tc>
          <w:tcPr>
            <w:tcW w:w="1013" w:type="pct"/>
          </w:tcPr>
          <w:p w14:paraId="54629733" w14:textId="5D17D007"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4.35</w:t>
            </w:r>
          </w:p>
        </w:tc>
        <w:tc>
          <w:tcPr>
            <w:tcW w:w="1014" w:type="pct"/>
          </w:tcPr>
          <w:p w14:paraId="654F6C79" w14:textId="75948165"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9.32</w:t>
            </w:r>
          </w:p>
        </w:tc>
        <w:tc>
          <w:tcPr>
            <w:tcW w:w="1014" w:type="pct"/>
          </w:tcPr>
          <w:p w14:paraId="33013BD8" w14:textId="5D34EC43" w:rsidR="00F662D0" w:rsidRPr="00CF6457" w:rsidRDefault="003650DC"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63.17</w:t>
            </w:r>
          </w:p>
        </w:tc>
      </w:tr>
      <w:tr w:rsidR="00F662D0" w:rsidRPr="00EC2B1A" w14:paraId="1384C657"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50902F10" w14:textId="77777777" w:rsidR="00F662D0" w:rsidRPr="00572F61" w:rsidRDefault="00F662D0" w:rsidP="00572F61">
            <w:pPr>
              <w:pStyle w:val="SDMTableBoxParaNotNumbered"/>
              <w:rPr>
                <w:b w:val="0"/>
                <w:bCs/>
              </w:rPr>
            </w:pPr>
            <w:r w:rsidRPr="00572F61">
              <w:rPr>
                <w:b w:val="0"/>
                <w:bCs/>
              </w:rPr>
              <w:t>New Zealand</w:t>
            </w:r>
          </w:p>
        </w:tc>
        <w:tc>
          <w:tcPr>
            <w:tcW w:w="1013" w:type="pct"/>
          </w:tcPr>
          <w:p w14:paraId="466A54AD" w14:textId="5258A7D2"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0.00</w:t>
            </w:r>
          </w:p>
        </w:tc>
        <w:tc>
          <w:tcPr>
            <w:tcW w:w="1014" w:type="pct"/>
          </w:tcPr>
          <w:p w14:paraId="783F3ED8" w14:textId="2E2B0931"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4.01</w:t>
            </w:r>
          </w:p>
        </w:tc>
        <w:tc>
          <w:tcPr>
            <w:tcW w:w="1014" w:type="pct"/>
          </w:tcPr>
          <w:p w14:paraId="2D5AE80B" w14:textId="440C77D7" w:rsidR="00F662D0" w:rsidRPr="00CF6457" w:rsidRDefault="003650DC"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38.69</w:t>
            </w:r>
          </w:p>
        </w:tc>
      </w:tr>
      <w:tr w:rsidR="00F662D0" w:rsidRPr="00EC2B1A" w14:paraId="7380E411"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67B9B100" w14:textId="77777777" w:rsidR="00F662D0" w:rsidRPr="00572F61" w:rsidRDefault="00F662D0" w:rsidP="00572F61">
            <w:pPr>
              <w:pStyle w:val="SDMTableBoxParaNotNumbered"/>
              <w:rPr>
                <w:b w:val="0"/>
                <w:bCs/>
              </w:rPr>
            </w:pPr>
            <w:r w:rsidRPr="00572F61">
              <w:rPr>
                <w:b w:val="0"/>
                <w:bCs/>
              </w:rPr>
              <w:t>Nicaragua</w:t>
            </w:r>
          </w:p>
        </w:tc>
        <w:tc>
          <w:tcPr>
            <w:tcW w:w="1013" w:type="pct"/>
          </w:tcPr>
          <w:p w14:paraId="59C82C15" w14:textId="2D5E412F"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0.05</w:t>
            </w:r>
          </w:p>
        </w:tc>
        <w:tc>
          <w:tcPr>
            <w:tcW w:w="1014" w:type="pct"/>
          </w:tcPr>
          <w:p w14:paraId="6F500EB9" w14:textId="13F765E5"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5.69</w:t>
            </w:r>
          </w:p>
        </w:tc>
        <w:tc>
          <w:tcPr>
            <w:tcW w:w="1014" w:type="pct"/>
          </w:tcPr>
          <w:p w14:paraId="6D51BB07" w14:textId="150CB00D" w:rsidR="00F662D0" w:rsidRPr="00CF6457" w:rsidRDefault="003650DC"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73.62</w:t>
            </w:r>
          </w:p>
        </w:tc>
      </w:tr>
      <w:tr w:rsidR="00F662D0" w:rsidRPr="00EC2B1A" w14:paraId="4B29D9F7"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32BA4900" w14:textId="090E85F3" w:rsidR="00F662D0" w:rsidRPr="00572F61" w:rsidRDefault="00F662D0" w:rsidP="00572F61">
            <w:pPr>
              <w:pStyle w:val="SDMTableBoxParaNotNumbered"/>
              <w:rPr>
                <w:b w:val="0"/>
                <w:bCs/>
              </w:rPr>
            </w:pPr>
            <w:r w:rsidRPr="00572F61">
              <w:rPr>
                <w:b w:val="0"/>
                <w:bCs/>
              </w:rPr>
              <w:t>Niger</w:t>
            </w:r>
          </w:p>
        </w:tc>
        <w:tc>
          <w:tcPr>
            <w:tcW w:w="1013" w:type="pct"/>
          </w:tcPr>
          <w:p w14:paraId="2F8F6356" w14:textId="22CA9C7F"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0.83</w:t>
            </w:r>
          </w:p>
        </w:tc>
        <w:tc>
          <w:tcPr>
            <w:tcW w:w="1014" w:type="pct"/>
          </w:tcPr>
          <w:p w14:paraId="2AE2A805" w14:textId="51E26956"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0.90</w:t>
            </w:r>
          </w:p>
        </w:tc>
        <w:tc>
          <w:tcPr>
            <w:tcW w:w="1014" w:type="pct"/>
          </w:tcPr>
          <w:p w14:paraId="5454901F" w14:textId="75EFE0BB" w:rsidR="00F662D0" w:rsidRPr="00CF6457" w:rsidRDefault="009B0137"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3.</w:t>
            </w:r>
            <w:r w:rsidR="003650DC" w:rsidRPr="00A644C5">
              <w:t>69</w:t>
            </w:r>
          </w:p>
        </w:tc>
      </w:tr>
      <w:tr w:rsidR="00F662D0" w:rsidRPr="00EC2B1A" w14:paraId="06BFAD83"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1F9BB75E" w14:textId="77777777" w:rsidR="00F662D0" w:rsidRPr="00572F61" w:rsidRDefault="00F662D0" w:rsidP="00572F61">
            <w:pPr>
              <w:pStyle w:val="SDMTableBoxParaNotNumbered"/>
              <w:rPr>
                <w:b w:val="0"/>
                <w:bCs/>
              </w:rPr>
            </w:pPr>
            <w:r w:rsidRPr="00572F61">
              <w:rPr>
                <w:b w:val="0"/>
                <w:bCs/>
              </w:rPr>
              <w:t>Nigeria</w:t>
            </w:r>
          </w:p>
        </w:tc>
        <w:tc>
          <w:tcPr>
            <w:tcW w:w="1013" w:type="pct"/>
          </w:tcPr>
          <w:p w14:paraId="33D6546F" w14:textId="0E8D53A2"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0.00</w:t>
            </w:r>
          </w:p>
        </w:tc>
        <w:tc>
          <w:tcPr>
            <w:tcW w:w="1014" w:type="pct"/>
          </w:tcPr>
          <w:p w14:paraId="40720482" w14:textId="5ECE1E54"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0.73</w:t>
            </w:r>
          </w:p>
        </w:tc>
        <w:tc>
          <w:tcPr>
            <w:tcW w:w="1014" w:type="pct"/>
          </w:tcPr>
          <w:p w14:paraId="7123D56D" w14:textId="246E6A5D" w:rsidR="00F662D0" w:rsidRPr="00CF6457" w:rsidRDefault="003650DC"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18.24</w:t>
            </w:r>
          </w:p>
        </w:tc>
      </w:tr>
      <w:tr w:rsidR="00F662D0" w:rsidRPr="00EC2B1A" w14:paraId="7160FB0C"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565D9E74" w14:textId="77777777" w:rsidR="00F662D0" w:rsidRPr="00572F61" w:rsidRDefault="00F662D0" w:rsidP="00572F61">
            <w:pPr>
              <w:pStyle w:val="SDMTableBoxParaNotNumbered"/>
              <w:rPr>
                <w:b w:val="0"/>
                <w:bCs/>
              </w:rPr>
            </w:pPr>
            <w:r w:rsidRPr="00572F61">
              <w:rPr>
                <w:b w:val="0"/>
                <w:bCs/>
              </w:rPr>
              <w:t>North Macedonia</w:t>
            </w:r>
          </w:p>
        </w:tc>
        <w:tc>
          <w:tcPr>
            <w:tcW w:w="1013" w:type="pct"/>
          </w:tcPr>
          <w:p w14:paraId="60949B29" w14:textId="3AF33033"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2.68</w:t>
            </w:r>
          </w:p>
        </w:tc>
        <w:tc>
          <w:tcPr>
            <w:tcW w:w="1014" w:type="pct"/>
          </w:tcPr>
          <w:p w14:paraId="401157A0" w14:textId="1E8CFA22"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2.84</w:t>
            </w:r>
          </w:p>
        </w:tc>
        <w:tc>
          <w:tcPr>
            <w:tcW w:w="1014" w:type="pct"/>
          </w:tcPr>
          <w:p w14:paraId="745B65E5" w14:textId="2164A985" w:rsidR="00F662D0" w:rsidRPr="00CF6457" w:rsidRDefault="003650DC"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22.71</w:t>
            </w:r>
          </w:p>
        </w:tc>
      </w:tr>
      <w:tr w:rsidR="00F662D0" w:rsidRPr="00EC2B1A" w14:paraId="2A5AE340"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308BFB1D" w14:textId="77777777" w:rsidR="00F662D0" w:rsidRPr="00572F61" w:rsidRDefault="00F662D0" w:rsidP="00572F61">
            <w:pPr>
              <w:pStyle w:val="SDMTableBoxParaNotNumbered"/>
              <w:rPr>
                <w:b w:val="0"/>
                <w:bCs/>
              </w:rPr>
            </w:pPr>
            <w:r w:rsidRPr="00572F61">
              <w:rPr>
                <w:b w:val="0"/>
                <w:bCs/>
              </w:rPr>
              <w:t>Norway</w:t>
            </w:r>
          </w:p>
        </w:tc>
        <w:tc>
          <w:tcPr>
            <w:tcW w:w="1013" w:type="pct"/>
          </w:tcPr>
          <w:p w14:paraId="052D55D7" w14:textId="2DC80B84"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0.08</w:t>
            </w:r>
          </w:p>
        </w:tc>
        <w:tc>
          <w:tcPr>
            <w:tcW w:w="1014" w:type="pct"/>
          </w:tcPr>
          <w:p w14:paraId="3742C577" w14:textId="6E6E8345"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2.60</w:t>
            </w:r>
          </w:p>
        </w:tc>
        <w:tc>
          <w:tcPr>
            <w:tcW w:w="1014" w:type="pct"/>
          </w:tcPr>
          <w:p w14:paraId="179E2E17" w14:textId="20AED060" w:rsidR="00F662D0" w:rsidRPr="00CF6457" w:rsidRDefault="003650DC"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11.33</w:t>
            </w:r>
          </w:p>
        </w:tc>
      </w:tr>
      <w:tr w:rsidR="00F662D0" w:rsidRPr="00EC2B1A" w14:paraId="4C3EA4CE"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7BCCDF3F" w14:textId="77777777" w:rsidR="00F662D0" w:rsidRPr="00572F61" w:rsidRDefault="00F662D0" w:rsidP="00572F61">
            <w:pPr>
              <w:pStyle w:val="SDMTableBoxParaNotNumbered"/>
              <w:rPr>
                <w:b w:val="0"/>
                <w:bCs/>
              </w:rPr>
            </w:pPr>
            <w:r w:rsidRPr="00572F61">
              <w:rPr>
                <w:b w:val="0"/>
                <w:bCs/>
              </w:rPr>
              <w:t>Oman</w:t>
            </w:r>
          </w:p>
        </w:tc>
        <w:tc>
          <w:tcPr>
            <w:tcW w:w="1013" w:type="pct"/>
          </w:tcPr>
          <w:p w14:paraId="7D9D5B49" w14:textId="6D7CB256"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0.01</w:t>
            </w:r>
          </w:p>
        </w:tc>
        <w:tc>
          <w:tcPr>
            <w:tcW w:w="1014" w:type="pct"/>
          </w:tcPr>
          <w:p w14:paraId="18C3F2D6" w14:textId="63D287AC"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0.70</w:t>
            </w:r>
          </w:p>
        </w:tc>
        <w:tc>
          <w:tcPr>
            <w:tcW w:w="1014" w:type="pct"/>
          </w:tcPr>
          <w:p w14:paraId="3047C433" w14:textId="1EABCA32" w:rsidR="00F662D0" w:rsidRPr="00CF6457" w:rsidRDefault="003650DC"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32.52</w:t>
            </w:r>
          </w:p>
        </w:tc>
      </w:tr>
      <w:tr w:rsidR="00F662D0" w:rsidRPr="00EC2B1A" w14:paraId="67FDAFD5"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1A45493B" w14:textId="77777777" w:rsidR="00F662D0" w:rsidRPr="00572F61" w:rsidRDefault="00F662D0" w:rsidP="00572F61">
            <w:pPr>
              <w:pStyle w:val="SDMTableBoxParaNotNumbered"/>
              <w:rPr>
                <w:b w:val="0"/>
                <w:bCs/>
              </w:rPr>
            </w:pPr>
            <w:r w:rsidRPr="00572F61">
              <w:rPr>
                <w:b w:val="0"/>
                <w:bCs/>
              </w:rPr>
              <w:t>Pakistan</w:t>
            </w:r>
          </w:p>
        </w:tc>
        <w:tc>
          <w:tcPr>
            <w:tcW w:w="1013" w:type="pct"/>
          </w:tcPr>
          <w:p w14:paraId="6F172077" w14:textId="3F78AB8B"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0.00</w:t>
            </w:r>
          </w:p>
        </w:tc>
        <w:tc>
          <w:tcPr>
            <w:tcW w:w="1014" w:type="pct"/>
          </w:tcPr>
          <w:p w14:paraId="654572BC" w14:textId="1359C300"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3.20</w:t>
            </w:r>
          </w:p>
        </w:tc>
        <w:tc>
          <w:tcPr>
            <w:tcW w:w="1014" w:type="pct"/>
          </w:tcPr>
          <w:p w14:paraId="344F79BA" w14:textId="759A7FC2" w:rsidR="00F662D0" w:rsidRPr="00CF6457" w:rsidRDefault="003650DC"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17.61</w:t>
            </w:r>
          </w:p>
        </w:tc>
      </w:tr>
      <w:tr w:rsidR="00F662D0" w:rsidRPr="00EC2B1A" w14:paraId="2C4373B6"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5C6B6340" w14:textId="77777777" w:rsidR="00F662D0" w:rsidRPr="00572F61" w:rsidRDefault="00F662D0" w:rsidP="00572F61">
            <w:pPr>
              <w:pStyle w:val="SDMTableBoxParaNotNumbered"/>
              <w:rPr>
                <w:b w:val="0"/>
                <w:bCs/>
              </w:rPr>
            </w:pPr>
            <w:r w:rsidRPr="00572F61">
              <w:rPr>
                <w:b w:val="0"/>
                <w:bCs/>
              </w:rPr>
              <w:t>Panama</w:t>
            </w:r>
          </w:p>
        </w:tc>
        <w:tc>
          <w:tcPr>
            <w:tcW w:w="1013" w:type="pct"/>
          </w:tcPr>
          <w:p w14:paraId="1ECB6C37" w14:textId="43242E7C"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1.43</w:t>
            </w:r>
          </w:p>
        </w:tc>
        <w:tc>
          <w:tcPr>
            <w:tcW w:w="1014" w:type="pct"/>
          </w:tcPr>
          <w:p w14:paraId="7D033BEA" w14:textId="5E18325F"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9.09</w:t>
            </w:r>
          </w:p>
        </w:tc>
        <w:tc>
          <w:tcPr>
            <w:tcW w:w="1014" w:type="pct"/>
          </w:tcPr>
          <w:p w14:paraId="001E7A38" w14:textId="615152DB" w:rsidR="00F662D0" w:rsidRPr="00CF6457" w:rsidRDefault="003650DC"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46.37</w:t>
            </w:r>
          </w:p>
        </w:tc>
      </w:tr>
      <w:tr w:rsidR="00F662D0" w:rsidRPr="00EC2B1A" w14:paraId="662DCAFF"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32BADDE4" w14:textId="77777777" w:rsidR="00F662D0" w:rsidRPr="00572F61" w:rsidRDefault="00F662D0" w:rsidP="00572F61">
            <w:pPr>
              <w:pStyle w:val="SDMTableBoxParaNotNumbered"/>
              <w:rPr>
                <w:b w:val="0"/>
                <w:bCs/>
              </w:rPr>
            </w:pPr>
            <w:r w:rsidRPr="00572F61">
              <w:rPr>
                <w:b w:val="0"/>
                <w:bCs/>
              </w:rPr>
              <w:t>Papua New Guinea</w:t>
            </w:r>
          </w:p>
        </w:tc>
        <w:tc>
          <w:tcPr>
            <w:tcW w:w="1013" w:type="pct"/>
          </w:tcPr>
          <w:p w14:paraId="45DF54B6" w14:textId="07E48E6D"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0.07</w:t>
            </w:r>
          </w:p>
        </w:tc>
        <w:tc>
          <w:tcPr>
            <w:tcW w:w="1014" w:type="pct"/>
          </w:tcPr>
          <w:p w14:paraId="23C19EA3" w14:textId="6638B088"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0.00</w:t>
            </w:r>
          </w:p>
        </w:tc>
        <w:tc>
          <w:tcPr>
            <w:tcW w:w="1014" w:type="pct"/>
          </w:tcPr>
          <w:p w14:paraId="55EFA8DB" w14:textId="27D92F71" w:rsidR="00F662D0" w:rsidRPr="00CF6457" w:rsidRDefault="003650DC"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36.74</w:t>
            </w:r>
          </w:p>
        </w:tc>
      </w:tr>
      <w:tr w:rsidR="00F662D0" w:rsidRPr="00EC2B1A" w14:paraId="709245F6"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05D198FE" w14:textId="77777777" w:rsidR="00F662D0" w:rsidRPr="00572F61" w:rsidRDefault="00F662D0" w:rsidP="00572F61">
            <w:pPr>
              <w:pStyle w:val="SDMTableBoxParaNotNumbered"/>
              <w:rPr>
                <w:b w:val="0"/>
                <w:bCs/>
              </w:rPr>
            </w:pPr>
            <w:r w:rsidRPr="00572F61">
              <w:rPr>
                <w:b w:val="0"/>
                <w:bCs/>
              </w:rPr>
              <w:t>Paraguay</w:t>
            </w:r>
          </w:p>
        </w:tc>
        <w:tc>
          <w:tcPr>
            <w:tcW w:w="1013" w:type="pct"/>
          </w:tcPr>
          <w:p w14:paraId="54E70185" w14:textId="5AFF98BF"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Use global value</w:t>
            </w:r>
          </w:p>
        </w:tc>
        <w:tc>
          <w:tcPr>
            <w:tcW w:w="1014" w:type="pct"/>
          </w:tcPr>
          <w:p w14:paraId="3D321C77" w14:textId="51FDDA51"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0.00</w:t>
            </w:r>
          </w:p>
        </w:tc>
        <w:tc>
          <w:tcPr>
            <w:tcW w:w="1014" w:type="pct"/>
          </w:tcPr>
          <w:p w14:paraId="467AD034" w14:textId="5D8450B3" w:rsidR="00F662D0" w:rsidRPr="00CF6457" w:rsidRDefault="000A16B8"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Use global value</w:t>
            </w:r>
          </w:p>
        </w:tc>
      </w:tr>
      <w:tr w:rsidR="00F662D0" w:rsidRPr="00EC2B1A" w14:paraId="516A36AE"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3692DDDD" w14:textId="77777777" w:rsidR="00F662D0" w:rsidRPr="00572F61" w:rsidRDefault="00F662D0" w:rsidP="00572F61">
            <w:pPr>
              <w:pStyle w:val="SDMTableBoxParaNotNumbered"/>
              <w:rPr>
                <w:b w:val="0"/>
                <w:bCs/>
              </w:rPr>
            </w:pPr>
            <w:r w:rsidRPr="00572F61">
              <w:rPr>
                <w:b w:val="0"/>
                <w:bCs/>
              </w:rPr>
              <w:t>Peru</w:t>
            </w:r>
          </w:p>
        </w:tc>
        <w:tc>
          <w:tcPr>
            <w:tcW w:w="1013" w:type="pct"/>
          </w:tcPr>
          <w:p w14:paraId="3B56258D" w14:textId="12AD2E38"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0.27</w:t>
            </w:r>
          </w:p>
        </w:tc>
        <w:tc>
          <w:tcPr>
            <w:tcW w:w="1014" w:type="pct"/>
          </w:tcPr>
          <w:p w14:paraId="72EB69E3" w14:textId="18D2D730"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3.46</w:t>
            </w:r>
          </w:p>
        </w:tc>
        <w:tc>
          <w:tcPr>
            <w:tcW w:w="1014" w:type="pct"/>
          </w:tcPr>
          <w:p w14:paraId="4C4A173C" w14:textId="6B9612CB" w:rsidR="00F662D0" w:rsidRPr="00CF6457" w:rsidRDefault="003650DC"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30.07</w:t>
            </w:r>
          </w:p>
        </w:tc>
      </w:tr>
      <w:tr w:rsidR="00F662D0" w:rsidRPr="00EC2B1A" w14:paraId="3B7F10E5"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72C0A1E6" w14:textId="0D3EEE15" w:rsidR="00F662D0" w:rsidRPr="00572F61" w:rsidRDefault="00F662D0" w:rsidP="00572F61">
            <w:pPr>
              <w:pStyle w:val="SDMTableBoxParaNotNumbered"/>
              <w:rPr>
                <w:b w:val="0"/>
                <w:bCs/>
              </w:rPr>
            </w:pPr>
            <w:r w:rsidRPr="00572F61">
              <w:rPr>
                <w:b w:val="0"/>
                <w:bCs/>
              </w:rPr>
              <w:t>Philippines</w:t>
            </w:r>
          </w:p>
        </w:tc>
        <w:tc>
          <w:tcPr>
            <w:tcW w:w="1013" w:type="pct"/>
          </w:tcPr>
          <w:p w14:paraId="630FFBF3" w14:textId="775BE516"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0.00</w:t>
            </w:r>
          </w:p>
        </w:tc>
        <w:tc>
          <w:tcPr>
            <w:tcW w:w="1014" w:type="pct"/>
          </w:tcPr>
          <w:p w14:paraId="77417BCE" w14:textId="1B707A33"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0.00</w:t>
            </w:r>
          </w:p>
        </w:tc>
        <w:tc>
          <w:tcPr>
            <w:tcW w:w="1014" w:type="pct"/>
          </w:tcPr>
          <w:p w14:paraId="26378892" w14:textId="450CBE15" w:rsidR="00F662D0" w:rsidRPr="00CF6457" w:rsidRDefault="003650DC"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18.29</w:t>
            </w:r>
          </w:p>
        </w:tc>
      </w:tr>
      <w:tr w:rsidR="00F662D0" w:rsidRPr="00EC2B1A" w14:paraId="45BBC1C2"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14B80274" w14:textId="77777777" w:rsidR="00F662D0" w:rsidRPr="00572F61" w:rsidRDefault="00F662D0" w:rsidP="00572F61">
            <w:pPr>
              <w:pStyle w:val="SDMTableBoxParaNotNumbered"/>
              <w:rPr>
                <w:b w:val="0"/>
                <w:bCs/>
              </w:rPr>
            </w:pPr>
            <w:r w:rsidRPr="00572F61">
              <w:rPr>
                <w:b w:val="0"/>
                <w:bCs/>
              </w:rPr>
              <w:t>Poland</w:t>
            </w:r>
          </w:p>
        </w:tc>
        <w:tc>
          <w:tcPr>
            <w:tcW w:w="1013" w:type="pct"/>
          </w:tcPr>
          <w:p w14:paraId="7242C6C6" w14:textId="14E51761"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1.30</w:t>
            </w:r>
          </w:p>
        </w:tc>
        <w:tc>
          <w:tcPr>
            <w:tcW w:w="1014" w:type="pct"/>
          </w:tcPr>
          <w:p w14:paraId="06D08156" w14:textId="33BE9F5C"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4.07</w:t>
            </w:r>
          </w:p>
        </w:tc>
        <w:tc>
          <w:tcPr>
            <w:tcW w:w="1014" w:type="pct"/>
          </w:tcPr>
          <w:p w14:paraId="07FE66D6" w14:textId="32F44BF6" w:rsidR="00F662D0" w:rsidRPr="00CF6457" w:rsidRDefault="003650DC"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28.92</w:t>
            </w:r>
          </w:p>
        </w:tc>
      </w:tr>
      <w:tr w:rsidR="00F662D0" w:rsidRPr="00EC2B1A" w14:paraId="3E58BAA6"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4F051B26" w14:textId="77777777" w:rsidR="00F662D0" w:rsidRPr="00572F61" w:rsidRDefault="00F662D0" w:rsidP="00572F61">
            <w:pPr>
              <w:pStyle w:val="SDMTableBoxParaNotNumbered"/>
              <w:rPr>
                <w:b w:val="0"/>
                <w:bCs/>
              </w:rPr>
            </w:pPr>
            <w:r w:rsidRPr="00572F61">
              <w:rPr>
                <w:b w:val="0"/>
                <w:bCs/>
              </w:rPr>
              <w:t>Portugal</w:t>
            </w:r>
          </w:p>
        </w:tc>
        <w:tc>
          <w:tcPr>
            <w:tcW w:w="1013" w:type="pct"/>
          </w:tcPr>
          <w:p w14:paraId="11EF5B52" w14:textId="6112F767"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7.16</w:t>
            </w:r>
          </w:p>
        </w:tc>
        <w:tc>
          <w:tcPr>
            <w:tcW w:w="1014" w:type="pct"/>
          </w:tcPr>
          <w:p w14:paraId="268F1C74" w14:textId="2FAA1EDC"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15.28</w:t>
            </w:r>
          </w:p>
        </w:tc>
        <w:tc>
          <w:tcPr>
            <w:tcW w:w="1014" w:type="pct"/>
          </w:tcPr>
          <w:p w14:paraId="5B434270" w14:textId="2C6E9BBD" w:rsidR="00F662D0" w:rsidRPr="00CF6457" w:rsidRDefault="003650DC"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26.05</w:t>
            </w:r>
          </w:p>
        </w:tc>
      </w:tr>
      <w:tr w:rsidR="00F662D0" w:rsidRPr="00EC2B1A" w14:paraId="44AF7E7E"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71AD0FB9" w14:textId="77777777" w:rsidR="00F662D0" w:rsidRPr="00572F61" w:rsidRDefault="00F662D0" w:rsidP="00572F61">
            <w:pPr>
              <w:pStyle w:val="SDMTableBoxParaNotNumbered"/>
              <w:rPr>
                <w:b w:val="0"/>
                <w:bCs/>
              </w:rPr>
            </w:pPr>
            <w:r w:rsidRPr="00572F61">
              <w:rPr>
                <w:b w:val="0"/>
                <w:bCs/>
              </w:rPr>
              <w:t>Qatar</w:t>
            </w:r>
          </w:p>
        </w:tc>
        <w:tc>
          <w:tcPr>
            <w:tcW w:w="1013" w:type="pct"/>
          </w:tcPr>
          <w:p w14:paraId="17410FF0" w14:textId="2A5975E2"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0.00</w:t>
            </w:r>
          </w:p>
        </w:tc>
        <w:tc>
          <w:tcPr>
            <w:tcW w:w="1014" w:type="pct"/>
          </w:tcPr>
          <w:p w14:paraId="360D3B09" w14:textId="450C18DF"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0.00</w:t>
            </w:r>
          </w:p>
        </w:tc>
        <w:tc>
          <w:tcPr>
            <w:tcW w:w="1014" w:type="pct"/>
          </w:tcPr>
          <w:p w14:paraId="349EA1BC" w14:textId="157E2234" w:rsidR="00F662D0" w:rsidRPr="00CF6457" w:rsidRDefault="000A16B8"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Use global value</w:t>
            </w:r>
          </w:p>
        </w:tc>
      </w:tr>
      <w:tr w:rsidR="00237279" w:rsidRPr="00EC2B1A" w14:paraId="0D8DF32F"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0A151D47" w14:textId="0AFD8342" w:rsidR="00237279" w:rsidRPr="00572F61" w:rsidRDefault="00237279" w:rsidP="00572F61">
            <w:pPr>
              <w:pStyle w:val="SDMTableBoxParaNotNumbered"/>
              <w:rPr>
                <w:b w:val="0"/>
                <w:bCs/>
              </w:rPr>
            </w:pPr>
            <w:r w:rsidRPr="00572F61">
              <w:rPr>
                <w:b w:val="0"/>
                <w:bCs/>
              </w:rPr>
              <w:t>Republic of Korea</w:t>
            </w:r>
          </w:p>
        </w:tc>
        <w:tc>
          <w:tcPr>
            <w:tcW w:w="1013" w:type="pct"/>
          </w:tcPr>
          <w:p w14:paraId="6710F15A" w14:textId="7C22FE92" w:rsidR="00237279" w:rsidRPr="00CF6457" w:rsidRDefault="00237279"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0.94</w:t>
            </w:r>
          </w:p>
        </w:tc>
        <w:tc>
          <w:tcPr>
            <w:tcW w:w="1014" w:type="pct"/>
          </w:tcPr>
          <w:p w14:paraId="1007EB41" w14:textId="658D25E4" w:rsidR="00237279" w:rsidRPr="00CF6457" w:rsidRDefault="00237279"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3.33</w:t>
            </w:r>
          </w:p>
        </w:tc>
        <w:tc>
          <w:tcPr>
            <w:tcW w:w="1014" w:type="pct"/>
          </w:tcPr>
          <w:p w14:paraId="1AD8E320" w14:textId="72F38998" w:rsidR="00237279" w:rsidRPr="00CF6457" w:rsidRDefault="00237279"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14.37</w:t>
            </w:r>
          </w:p>
        </w:tc>
      </w:tr>
      <w:tr w:rsidR="00D53A33" w:rsidRPr="00EC2B1A" w14:paraId="2E9FE3C5"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4FF12B92" w14:textId="7DA04B7E" w:rsidR="00D53A33" w:rsidRPr="00572F61" w:rsidRDefault="00D53A33" w:rsidP="00572F61">
            <w:pPr>
              <w:pStyle w:val="SDMTableBoxParaNotNumbered"/>
              <w:rPr>
                <w:b w:val="0"/>
                <w:bCs/>
              </w:rPr>
            </w:pPr>
            <w:r w:rsidRPr="00572F61">
              <w:rPr>
                <w:b w:val="0"/>
                <w:bCs/>
              </w:rPr>
              <w:t>Republic of Moldova</w:t>
            </w:r>
          </w:p>
        </w:tc>
        <w:tc>
          <w:tcPr>
            <w:tcW w:w="1013" w:type="pct"/>
          </w:tcPr>
          <w:p w14:paraId="7221669E" w14:textId="03F29065" w:rsidR="00D53A33" w:rsidRPr="00CF6457" w:rsidRDefault="00D53A3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0.08</w:t>
            </w:r>
          </w:p>
        </w:tc>
        <w:tc>
          <w:tcPr>
            <w:tcW w:w="1014" w:type="pct"/>
          </w:tcPr>
          <w:p w14:paraId="066A9F6E" w14:textId="0B9A360E" w:rsidR="00D53A33" w:rsidRPr="00CF6457" w:rsidRDefault="00D53A3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1.28</w:t>
            </w:r>
          </w:p>
        </w:tc>
        <w:tc>
          <w:tcPr>
            <w:tcW w:w="1014" w:type="pct"/>
          </w:tcPr>
          <w:p w14:paraId="43730552" w14:textId="77777777" w:rsidR="00D53A33" w:rsidRPr="00CF6457" w:rsidRDefault="00D53A3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Use global value</w:t>
            </w:r>
          </w:p>
        </w:tc>
      </w:tr>
      <w:tr w:rsidR="00F662D0" w:rsidRPr="00EC2B1A" w14:paraId="0572BED1"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31ABBD17" w14:textId="77777777" w:rsidR="00F662D0" w:rsidRPr="00572F61" w:rsidRDefault="00F662D0" w:rsidP="00572F61">
            <w:pPr>
              <w:pStyle w:val="SDMTableBoxParaNotNumbered"/>
              <w:rPr>
                <w:b w:val="0"/>
                <w:bCs/>
              </w:rPr>
            </w:pPr>
            <w:r w:rsidRPr="00572F61">
              <w:rPr>
                <w:b w:val="0"/>
                <w:bCs/>
              </w:rPr>
              <w:t>Romania</w:t>
            </w:r>
          </w:p>
        </w:tc>
        <w:tc>
          <w:tcPr>
            <w:tcW w:w="1013" w:type="pct"/>
          </w:tcPr>
          <w:p w14:paraId="2481DB0C" w14:textId="361875E0"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1.87</w:t>
            </w:r>
          </w:p>
        </w:tc>
        <w:tc>
          <w:tcPr>
            <w:tcW w:w="1014" w:type="pct"/>
          </w:tcPr>
          <w:p w14:paraId="24BD1DF9" w14:textId="636EF474"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5.91</w:t>
            </w:r>
          </w:p>
        </w:tc>
        <w:tc>
          <w:tcPr>
            <w:tcW w:w="1014" w:type="pct"/>
          </w:tcPr>
          <w:p w14:paraId="06339F4B" w14:textId="32A4FD6D" w:rsidR="00F662D0" w:rsidRPr="00CF6457" w:rsidRDefault="003650DC"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31.24</w:t>
            </w:r>
          </w:p>
        </w:tc>
      </w:tr>
      <w:tr w:rsidR="00F662D0" w:rsidRPr="00EC2B1A" w14:paraId="2064E16E"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1E0EFEBE" w14:textId="2553A4E5" w:rsidR="00F662D0" w:rsidRPr="00572F61" w:rsidRDefault="00F662D0" w:rsidP="00572F61">
            <w:pPr>
              <w:pStyle w:val="SDMTableBoxParaNotNumbered"/>
              <w:rPr>
                <w:b w:val="0"/>
                <w:bCs/>
              </w:rPr>
            </w:pPr>
            <w:r w:rsidRPr="00572F61">
              <w:rPr>
                <w:b w:val="0"/>
                <w:bCs/>
              </w:rPr>
              <w:t>Russian Federation</w:t>
            </w:r>
          </w:p>
        </w:tc>
        <w:tc>
          <w:tcPr>
            <w:tcW w:w="1013" w:type="pct"/>
          </w:tcPr>
          <w:p w14:paraId="404F75F2" w14:textId="7E9B1F07"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0.00</w:t>
            </w:r>
          </w:p>
        </w:tc>
        <w:tc>
          <w:tcPr>
            <w:tcW w:w="1014" w:type="pct"/>
          </w:tcPr>
          <w:p w14:paraId="436CA439" w14:textId="200246FB"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0.56</w:t>
            </w:r>
          </w:p>
        </w:tc>
        <w:tc>
          <w:tcPr>
            <w:tcW w:w="1014" w:type="pct"/>
          </w:tcPr>
          <w:p w14:paraId="39E4FA58" w14:textId="1269D358" w:rsidR="00F662D0" w:rsidRPr="00CF6457" w:rsidRDefault="003650DC"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20.51</w:t>
            </w:r>
          </w:p>
        </w:tc>
      </w:tr>
      <w:tr w:rsidR="00F662D0" w:rsidRPr="00EC2B1A" w14:paraId="17CF11A1"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5928FC2C" w14:textId="77777777" w:rsidR="00F662D0" w:rsidRPr="00572F61" w:rsidRDefault="00F662D0" w:rsidP="00572F61">
            <w:pPr>
              <w:pStyle w:val="SDMTableBoxParaNotNumbered"/>
              <w:rPr>
                <w:b w:val="0"/>
                <w:bCs/>
              </w:rPr>
            </w:pPr>
            <w:r w:rsidRPr="00572F61">
              <w:rPr>
                <w:b w:val="0"/>
                <w:bCs/>
              </w:rPr>
              <w:t>Rwanda</w:t>
            </w:r>
          </w:p>
        </w:tc>
        <w:tc>
          <w:tcPr>
            <w:tcW w:w="1013" w:type="pct"/>
          </w:tcPr>
          <w:p w14:paraId="145EFB34" w14:textId="00DD8760"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0.02</w:t>
            </w:r>
          </w:p>
        </w:tc>
        <w:tc>
          <w:tcPr>
            <w:tcW w:w="1014" w:type="pct"/>
          </w:tcPr>
          <w:p w14:paraId="1AD7BDDA" w14:textId="4D9F2E63"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5.95</w:t>
            </w:r>
          </w:p>
        </w:tc>
        <w:tc>
          <w:tcPr>
            <w:tcW w:w="1014" w:type="pct"/>
          </w:tcPr>
          <w:p w14:paraId="619B245E" w14:textId="6EC374DD" w:rsidR="00F662D0" w:rsidRPr="00CF6457" w:rsidRDefault="003650DC"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63.78</w:t>
            </w:r>
          </w:p>
        </w:tc>
      </w:tr>
      <w:tr w:rsidR="00F662D0" w:rsidRPr="00EC2B1A" w14:paraId="041E08A7"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64C5E844" w14:textId="77777777" w:rsidR="00F662D0" w:rsidRPr="00572F61" w:rsidRDefault="00F662D0" w:rsidP="00572F61">
            <w:pPr>
              <w:pStyle w:val="SDMTableBoxParaNotNumbered"/>
              <w:rPr>
                <w:b w:val="0"/>
                <w:bCs/>
              </w:rPr>
            </w:pPr>
            <w:r w:rsidRPr="00572F61">
              <w:rPr>
                <w:b w:val="0"/>
                <w:bCs/>
              </w:rPr>
              <w:t>Saint Kitts and Nevis</w:t>
            </w:r>
          </w:p>
        </w:tc>
        <w:tc>
          <w:tcPr>
            <w:tcW w:w="1013" w:type="pct"/>
          </w:tcPr>
          <w:p w14:paraId="176C5B89" w14:textId="5B6732FA"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0.72</w:t>
            </w:r>
          </w:p>
        </w:tc>
        <w:tc>
          <w:tcPr>
            <w:tcW w:w="1014" w:type="pct"/>
          </w:tcPr>
          <w:p w14:paraId="330060A6" w14:textId="211B81DB"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0.61</w:t>
            </w:r>
          </w:p>
        </w:tc>
        <w:tc>
          <w:tcPr>
            <w:tcW w:w="1014" w:type="pct"/>
          </w:tcPr>
          <w:p w14:paraId="30889DE4" w14:textId="209D1F93" w:rsidR="00F662D0" w:rsidRPr="00CF6457" w:rsidRDefault="000A16B8"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Use global value</w:t>
            </w:r>
          </w:p>
        </w:tc>
      </w:tr>
      <w:tr w:rsidR="00F662D0" w:rsidRPr="00EC2B1A" w14:paraId="01B18D75"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0F3E9376" w14:textId="77777777" w:rsidR="00F662D0" w:rsidRPr="00572F61" w:rsidRDefault="00F662D0" w:rsidP="00572F61">
            <w:pPr>
              <w:pStyle w:val="SDMTableBoxParaNotNumbered"/>
              <w:rPr>
                <w:b w:val="0"/>
                <w:bCs/>
              </w:rPr>
            </w:pPr>
            <w:r w:rsidRPr="00572F61">
              <w:rPr>
                <w:b w:val="0"/>
                <w:bCs/>
              </w:rPr>
              <w:t>Saint Lucia</w:t>
            </w:r>
          </w:p>
        </w:tc>
        <w:tc>
          <w:tcPr>
            <w:tcW w:w="1013" w:type="pct"/>
          </w:tcPr>
          <w:p w14:paraId="6EABD075" w14:textId="37516AA7"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0.32</w:t>
            </w:r>
          </w:p>
        </w:tc>
        <w:tc>
          <w:tcPr>
            <w:tcW w:w="1014" w:type="pct"/>
          </w:tcPr>
          <w:p w14:paraId="50691A5B" w14:textId="49755612"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0.95</w:t>
            </w:r>
          </w:p>
        </w:tc>
        <w:tc>
          <w:tcPr>
            <w:tcW w:w="1014" w:type="pct"/>
          </w:tcPr>
          <w:p w14:paraId="6B24E6A7" w14:textId="5E48E8A3" w:rsidR="00F662D0" w:rsidRPr="00CF6457" w:rsidRDefault="000A16B8"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Use global value</w:t>
            </w:r>
          </w:p>
        </w:tc>
      </w:tr>
      <w:tr w:rsidR="00F662D0" w:rsidRPr="00EC2B1A" w14:paraId="0F883DFF"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067B80DB" w14:textId="77777777" w:rsidR="00F662D0" w:rsidRPr="00572F61" w:rsidRDefault="00F662D0" w:rsidP="00572F61">
            <w:pPr>
              <w:pStyle w:val="SDMTableBoxParaNotNumbered"/>
              <w:rPr>
                <w:b w:val="0"/>
                <w:bCs/>
              </w:rPr>
            </w:pPr>
            <w:r w:rsidRPr="00572F61">
              <w:rPr>
                <w:b w:val="0"/>
                <w:bCs/>
              </w:rPr>
              <w:t>Saint Vincent and the Grenadines</w:t>
            </w:r>
          </w:p>
        </w:tc>
        <w:tc>
          <w:tcPr>
            <w:tcW w:w="1013" w:type="pct"/>
          </w:tcPr>
          <w:p w14:paraId="4B0B057C" w14:textId="3573BC5E"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0.65</w:t>
            </w:r>
          </w:p>
        </w:tc>
        <w:tc>
          <w:tcPr>
            <w:tcW w:w="1014" w:type="pct"/>
          </w:tcPr>
          <w:p w14:paraId="00DE3B2B" w14:textId="340E3518"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0.66</w:t>
            </w:r>
          </w:p>
        </w:tc>
        <w:tc>
          <w:tcPr>
            <w:tcW w:w="1014" w:type="pct"/>
          </w:tcPr>
          <w:p w14:paraId="6890A148" w14:textId="703CA53C" w:rsidR="00F662D0" w:rsidRPr="00CF6457" w:rsidRDefault="000A16B8"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Use global value</w:t>
            </w:r>
          </w:p>
        </w:tc>
      </w:tr>
      <w:tr w:rsidR="00F662D0" w:rsidRPr="00EC2B1A" w14:paraId="39EE0B38"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78BF21B8" w14:textId="77777777" w:rsidR="00F662D0" w:rsidRPr="00572F61" w:rsidRDefault="00F662D0" w:rsidP="00572F61">
            <w:pPr>
              <w:pStyle w:val="SDMTableBoxParaNotNumbered"/>
              <w:rPr>
                <w:b w:val="0"/>
                <w:bCs/>
              </w:rPr>
            </w:pPr>
            <w:r w:rsidRPr="00572F61">
              <w:rPr>
                <w:b w:val="0"/>
                <w:bCs/>
              </w:rPr>
              <w:t>Samoa</w:t>
            </w:r>
          </w:p>
        </w:tc>
        <w:tc>
          <w:tcPr>
            <w:tcW w:w="1013" w:type="pct"/>
          </w:tcPr>
          <w:p w14:paraId="577D97FD" w14:textId="2017B67B"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0.93</w:t>
            </w:r>
          </w:p>
        </w:tc>
        <w:tc>
          <w:tcPr>
            <w:tcW w:w="1014" w:type="pct"/>
          </w:tcPr>
          <w:p w14:paraId="083CA067" w14:textId="48C06194"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4.96</w:t>
            </w:r>
          </w:p>
        </w:tc>
        <w:tc>
          <w:tcPr>
            <w:tcW w:w="1014" w:type="pct"/>
          </w:tcPr>
          <w:p w14:paraId="18E23A94" w14:textId="324171F5" w:rsidR="00F662D0" w:rsidRPr="00CF6457" w:rsidRDefault="000A16B8"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Use global value</w:t>
            </w:r>
          </w:p>
        </w:tc>
      </w:tr>
      <w:tr w:rsidR="00F662D0" w:rsidRPr="00EC2B1A" w14:paraId="3D85B95B"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7C3139CF" w14:textId="77777777" w:rsidR="00F662D0" w:rsidRPr="00572F61" w:rsidRDefault="00F662D0" w:rsidP="00572F61">
            <w:pPr>
              <w:pStyle w:val="SDMTableBoxParaNotNumbered"/>
              <w:rPr>
                <w:b w:val="0"/>
                <w:bCs/>
              </w:rPr>
            </w:pPr>
            <w:r w:rsidRPr="00572F61">
              <w:rPr>
                <w:b w:val="0"/>
                <w:bCs/>
              </w:rPr>
              <w:t>Sao Tome and Principe</w:t>
            </w:r>
          </w:p>
        </w:tc>
        <w:tc>
          <w:tcPr>
            <w:tcW w:w="1013" w:type="pct"/>
          </w:tcPr>
          <w:p w14:paraId="0783AB92" w14:textId="176C3CE4"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2.97</w:t>
            </w:r>
          </w:p>
        </w:tc>
        <w:tc>
          <w:tcPr>
            <w:tcW w:w="1014" w:type="pct"/>
          </w:tcPr>
          <w:p w14:paraId="6159ACC5" w14:textId="2E68AD4D"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4.90</w:t>
            </w:r>
          </w:p>
        </w:tc>
        <w:tc>
          <w:tcPr>
            <w:tcW w:w="1014" w:type="pct"/>
          </w:tcPr>
          <w:p w14:paraId="4845EC44" w14:textId="6B74639D" w:rsidR="00F662D0" w:rsidRPr="00CF6457" w:rsidRDefault="000A16B8"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Use global value</w:t>
            </w:r>
          </w:p>
        </w:tc>
      </w:tr>
      <w:tr w:rsidR="00F662D0" w:rsidRPr="00EC2B1A" w14:paraId="072ED83C"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4E24AAEE" w14:textId="77777777" w:rsidR="00F662D0" w:rsidRPr="00572F61" w:rsidRDefault="00F662D0" w:rsidP="00572F61">
            <w:pPr>
              <w:pStyle w:val="SDMTableBoxParaNotNumbered"/>
              <w:rPr>
                <w:b w:val="0"/>
                <w:bCs/>
              </w:rPr>
            </w:pPr>
            <w:r w:rsidRPr="00572F61">
              <w:rPr>
                <w:b w:val="0"/>
                <w:bCs/>
              </w:rPr>
              <w:t>Saudi Arabia</w:t>
            </w:r>
          </w:p>
        </w:tc>
        <w:tc>
          <w:tcPr>
            <w:tcW w:w="1013" w:type="pct"/>
          </w:tcPr>
          <w:p w14:paraId="6FBE4240" w14:textId="00CD3ED7"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0.00</w:t>
            </w:r>
          </w:p>
        </w:tc>
        <w:tc>
          <w:tcPr>
            <w:tcW w:w="1014" w:type="pct"/>
          </w:tcPr>
          <w:p w14:paraId="710090A0" w14:textId="5CF065BE"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0.22</w:t>
            </w:r>
          </w:p>
        </w:tc>
        <w:tc>
          <w:tcPr>
            <w:tcW w:w="1014" w:type="pct"/>
          </w:tcPr>
          <w:p w14:paraId="3DB9423C" w14:textId="0D7C073D" w:rsidR="00F662D0" w:rsidRPr="00CF6457" w:rsidRDefault="003650DC"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22.27</w:t>
            </w:r>
          </w:p>
        </w:tc>
      </w:tr>
      <w:tr w:rsidR="00F662D0" w:rsidRPr="00EC2B1A" w14:paraId="2898BCAD"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2B2A2082" w14:textId="77777777" w:rsidR="00F662D0" w:rsidRPr="00572F61" w:rsidRDefault="00F662D0" w:rsidP="00572F61">
            <w:pPr>
              <w:pStyle w:val="SDMTableBoxParaNotNumbered"/>
              <w:rPr>
                <w:b w:val="0"/>
                <w:bCs/>
              </w:rPr>
            </w:pPr>
            <w:r w:rsidRPr="00572F61">
              <w:rPr>
                <w:b w:val="0"/>
                <w:bCs/>
              </w:rPr>
              <w:t>Senegal</w:t>
            </w:r>
          </w:p>
        </w:tc>
        <w:tc>
          <w:tcPr>
            <w:tcW w:w="1013" w:type="pct"/>
          </w:tcPr>
          <w:p w14:paraId="0A2DE33C" w14:textId="6A2E6C99"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0.34</w:t>
            </w:r>
          </w:p>
        </w:tc>
        <w:tc>
          <w:tcPr>
            <w:tcW w:w="1014" w:type="pct"/>
          </w:tcPr>
          <w:p w14:paraId="1D733DA1" w14:textId="120927B1"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2.90</w:t>
            </w:r>
          </w:p>
        </w:tc>
        <w:tc>
          <w:tcPr>
            <w:tcW w:w="1014" w:type="pct"/>
          </w:tcPr>
          <w:p w14:paraId="6910123E" w14:textId="04445951" w:rsidR="00F662D0" w:rsidRPr="00CF6457" w:rsidRDefault="003650DC"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32.69</w:t>
            </w:r>
          </w:p>
        </w:tc>
      </w:tr>
      <w:tr w:rsidR="00F662D0" w:rsidRPr="00EC2B1A" w14:paraId="37439862"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068AFEC2" w14:textId="77777777" w:rsidR="00F662D0" w:rsidRPr="00572F61" w:rsidRDefault="00F662D0" w:rsidP="00572F61">
            <w:pPr>
              <w:pStyle w:val="SDMTableBoxParaNotNumbered"/>
              <w:rPr>
                <w:b w:val="0"/>
                <w:bCs/>
              </w:rPr>
            </w:pPr>
            <w:r w:rsidRPr="00572F61">
              <w:rPr>
                <w:b w:val="0"/>
                <w:bCs/>
              </w:rPr>
              <w:t>Serbia</w:t>
            </w:r>
          </w:p>
        </w:tc>
        <w:tc>
          <w:tcPr>
            <w:tcW w:w="1013" w:type="pct"/>
          </w:tcPr>
          <w:p w14:paraId="1D5C1E03" w14:textId="4D232BC0"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0.72</w:t>
            </w:r>
          </w:p>
        </w:tc>
        <w:tc>
          <w:tcPr>
            <w:tcW w:w="1014" w:type="pct"/>
          </w:tcPr>
          <w:p w14:paraId="71F82224" w14:textId="59524ED9"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2.10</w:t>
            </w:r>
          </w:p>
        </w:tc>
        <w:tc>
          <w:tcPr>
            <w:tcW w:w="1014" w:type="pct"/>
          </w:tcPr>
          <w:p w14:paraId="5742C31A" w14:textId="45A7BC77" w:rsidR="00F662D0" w:rsidRPr="00CF6457" w:rsidRDefault="003650DC"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17.47</w:t>
            </w:r>
          </w:p>
        </w:tc>
      </w:tr>
      <w:tr w:rsidR="00F662D0" w:rsidRPr="00EC2B1A" w14:paraId="431903F8"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3739BC92" w14:textId="77777777" w:rsidR="00F662D0" w:rsidRPr="00572F61" w:rsidRDefault="00F662D0" w:rsidP="00572F61">
            <w:pPr>
              <w:pStyle w:val="SDMTableBoxParaNotNumbered"/>
              <w:rPr>
                <w:b w:val="0"/>
                <w:bCs/>
              </w:rPr>
            </w:pPr>
            <w:r w:rsidRPr="00572F61">
              <w:rPr>
                <w:b w:val="0"/>
                <w:bCs/>
              </w:rPr>
              <w:t>Seychelles</w:t>
            </w:r>
          </w:p>
        </w:tc>
        <w:tc>
          <w:tcPr>
            <w:tcW w:w="1013" w:type="pct"/>
          </w:tcPr>
          <w:p w14:paraId="3D040621" w14:textId="4EF5EEB5"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0.35</w:t>
            </w:r>
          </w:p>
        </w:tc>
        <w:tc>
          <w:tcPr>
            <w:tcW w:w="1014" w:type="pct"/>
          </w:tcPr>
          <w:p w14:paraId="5E6BF8B4" w14:textId="4BD3688D"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2.89</w:t>
            </w:r>
          </w:p>
        </w:tc>
        <w:tc>
          <w:tcPr>
            <w:tcW w:w="1014" w:type="pct"/>
          </w:tcPr>
          <w:p w14:paraId="6F30EDA0" w14:textId="085EB80D" w:rsidR="00F662D0" w:rsidRPr="00CF6457" w:rsidRDefault="003650DC"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4.06</w:t>
            </w:r>
          </w:p>
        </w:tc>
      </w:tr>
      <w:tr w:rsidR="00F662D0" w:rsidRPr="00EC2B1A" w14:paraId="703AA4AF"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31BA09DA" w14:textId="77777777" w:rsidR="00F662D0" w:rsidRPr="00572F61" w:rsidRDefault="00F662D0" w:rsidP="00572F61">
            <w:pPr>
              <w:pStyle w:val="SDMTableBoxParaNotNumbered"/>
              <w:rPr>
                <w:b w:val="0"/>
                <w:bCs/>
              </w:rPr>
            </w:pPr>
            <w:r w:rsidRPr="00572F61">
              <w:rPr>
                <w:b w:val="0"/>
                <w:bCs/>
              </w:rPr>
              <w:t>Sierra Leone</w:t>
            </w:r>
          </w:p>
        </w:tc>
        <w:tc>
          <w:tcPr>
            <w:tcW w:w="1013" w:type="pct"/>
          </w:tcPr>
          <w:p w14:paraId="4918B1FB" w14:textId="34C7817F"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0.00</w:t>
            </w:r>
          </w:p>
        </w:tc>
        <w:tc>
          <w:tcPr>
            <w:tcW w:w="1014" w:type="pct"/>
          </w:tcPr>
          <w:p w14:paraId="5370D674" w14:textId="64BFB682"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34.46</w:t>
            </w:r>
          </w:p>
        </w:tc>
        <w:tc>
          <w:tcPr>
            <w:tcW w:w="1014" w:type="pct"/>
          </w:tcPr>
          <w:p w14:paraId="2AE00C0A" w14:textId="29C97D1C" w:rsidR="00F662D0" w:rsidRPr="00CF6457" w:rsidRDefault="003650DC"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67.95</w:t>
            </w:r>
          </w:p>
        </w:tc>
      </w:tr>
      <w:tr w:rsidR="00F662D0" w:rsidRPr="00EC2B1A" w14:paraId="1F56E764"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14CCD19A" w14:textId="77777777" w:rsidR="00F662D0" w:rsidRPr="00572F61" w:rsidRDefault="00F662D0" w:rsidP="00572F61">
            <w:pPr>
              <w:pStyle w:val="SDMTableBoxParaNotNumbered"/>
              <w:rPr>
                <w:b w:val="0"/>
                <w:bCs/>
              </w:rPr>
            </w:pPr>
            <w:r w:rsidRPr="00572F61">
              <w:rPr>
                <w:b w:val="0"/>
                <w:bCs/>
              </w:rPr>
              <w:t>Singapore</w:t>
            </w:r>
          </w:p>
        </w:tc>
        <w:tc>
          <w:tcPr>
            <w:tcW w:w="1013" w:type="pct"/>
          </w:tcPr>
          <w:p w14:paraId="1091B686" w14:textId="31D15385"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0.00</w:t>
            </w:r>
          </w:p>
        </w:tc>
        <w:tc>
          <w:tcPr>
            <w:tcW w:w="1014" w:type="pct"/>
          </w:tcPr>
          <w:p w14:paraId="4113E149" w14:textId="467DDF92"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0.26</w:t>
            </w:r>
          </w:p>
        </w:tc>
        <w:tc>
          <w:tcPr>
            <w:tcW w:w="1014" w:type="pct"/>
          </w:tcPr>
          <w:p w14:paraId="32B6869C" w14:textId="65F6BE1A" w:rsidR="00F662D0" w:rsidRPr="00CF6457" w:rsidRDefault="003650DC"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25.27</w:t>
            </w:r>
          </w:p>
        </w:tc>
      </w:tr>
      <w:tr w:rsidR="00F662D0" w:rsidRPr="00EC2B1A" w14:paraId="419D7EB0"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63F79D33" w14:textId="77777777" w:rsidR="00F662D0" w:rsidRPr="00572F61" w:rsidRDefault="00F662D0" w:rsidP="00572F61">
            <w:pPr>
              <w:pStyle w:val="SDMTableBoxParaNotNumbered"/>
              <w:rPr>
                <w:b w:val="0"/>
                <w:bCs/>
              </w:rPr>
            </w:pPr>
            <w:r w:rsidRPr="00572F61">
              <w:rPr>
                <w:b w:val="0"/>
                <w:bCs/>
              </w:rPr>
              <w:t>Slovakia</w:t>
            </w:r>
          </w:p>
        </w:tc>
        <w:tc>
          <w:tcPr>
            <w:tcW w:w="1013" w:type="pct"/>
          </w:tcPr>
          <w:p w14:paraId="2D569E5F" w14:textId="45E7D206"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4.57</w:t>
            </w:r>
          </w:p>
        </w:tc>
        <w:tc>
          <w:tcPr>
            <w:tcW w:w="1014" w:type="pct"/>
          </w:tcPr>
          <w:p w14:paraId="6F066B1D" w14:textId="6970FD34"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8.98</w:t>
            </w:r>
          </w:p>
        </w:tc>
        <w:tc>
          <w:tcPr>
            <w:tcW w:w="1014" w:type="pct"/>
          </w:tcPr>
          <w:p w14:paraId="6448381C" w14:textId="2EAEA99B" w:rsidR="00F662D0" w:rsidRPr="00CF6457" w:rsidRDefault="003650DC"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29.61</w:t>
            </w:r>
          </w:p>
        </w:tc>
      </w:tr>
      <w:tr w:rsidR="00F662D0" w:rsidRPr="00EC2B1A" w14:paraId="1CC2CA7A"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5211EAB9" w14:textId="77777777" w:rsidR="00F662D0" w:rsidRPr="00572F61" w:rsidRDefault="00F662D0" w:rsidP="00572F61">
            <w:pPr>
              <w:pStyle w:val="SDMTableBoxParaNotNumbered"/>
              <w:rPr>
                <w:b w:val="0"/>
                <w:bCs/>
              </w:rPr>
            </w:pPr>
            <w:r w:rsidRPr="00572F61">
              <w:rPr>
                <w:b w:val="0"/>
                <w:bCs/>
              </w:rPr>
              <w:t>Slovenia</w:t>
            </w:r>
          </w:p>
        </w:tc>
        <w:tc>
          <w:tcPr>
            <w:tcW w:w="1013" w:type="pct"/>
          </w:tcPr>
          <w:p w14:paraId="14668B4F" w14:textId="7DAD607E"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0.86</w:t>
            </w:r>
          </w:p>
        </w:tc>
        <w:tc>
          <w:tcPr>
            <w:tcW w:w="1014" w:type="pct"/>
          </w:tcPr>
          <w:p w14:paraId="3CFB0FD8" w14:textId="7F5BC305"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5.44</w:t>
            </w:r>
          </w:p>
        </w:tc>
        <w:tc>
          <w:tcPr>
            <w:tcW w:w="1014" w:type="pct"/>
          </w:tcPr>
          <w:p w14:paraId="069BA983" w14:textId="7E55A3C1" w:rsidR="00F662D0" w:rsidRPr="00CF6457" w:rsidRDefault="003650DC"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94.95</w:t>
            </w:r>
          </w:p>
        </w:tc>
      </w:tr>
      <w:tr w:rsidR="00F662D0" w:rsidRPr="00EC2B1A" w14:paraId="364FEF41"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77DE7386" w14:textId="77777777" w:rsidR="00F662D0" w:rsidRPr="00572F61" w:rsidRDefault="00F662D0" w:rsidP="00572F61">
            <w:pPr>
              <w:pStyle w:val="SDMTableBoxParaNotNumbered"/>
              <w:rPr>
                <w:b w:val="0"/>
                <w:bCs/>
              </w:rPr>
            </w:pPr>
            <w:r w:rsidRPr="00572F61">
              <w:rPr>
                <w:b w:val="0"/>
                <w:bCs/>
              </w:rPr>
              <w:t>Solomon Islands</w:t>
            </w:r>
          </w:p>
        </w:tc>
        <w:tc>
          <w:tcPr>
            <w:tcW w:w="1013" w:type="pct"/>
          </w:tcPr>
          <w:p w14:paraId="2C02C747" w14:textId="36781694"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0.36</w:t>
            </w:r>
          </w:p>
        </w:tc>
        <w:tc>
          <w:tcPr>
            <w:tcW w:w="1014" w:type="pct"/>
          </w:tcPr>
          <w:p w14:paraId="01A3C258" w14:textId="38070229"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2.29</w:t>
            </w:r>
          </w:p>
        </w:tc>
        <w:tc>
          <w:tcPr>
            <w:tcW w:w="1014" w:type="pct"/>
          </w:tcPr>
          <w:p w14:paraId="02634B64" w14:textId="20BC874C" w:rsidR="00F662D0" w:rsidRPr="00CF6457" w:rsidRDefault="000A16B8"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Use global value</w:t>
            </w:r>
          </w:p>
        </w:tc>
      </w:tr>
      <w:tr w:rsidR="00F662D0" w:rsidRPr="00EC2B1A" w14:paraId="6FB80025"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339A713B" w14:textId="77777777" w:rsidR="00F662D0" w:rsidRPr="00572F61" w:rsidRDefault="00F662D0" w:rsidP="00572F61">
            <w:pPr>
              <w:pStyle w:val="SDMTableBoxParaNotNumbered"/>
              <w:rPr>
                <w:b w:val="0"/>
                <w:bCs/>
              </w:rPr>
            </w:pPr>
            <w:r w:rsidRPr="00572F61">
              <w:rPr>
                <w:b w:val="0"/>
                <w:bCs/>
              </w:rPr>
              <w:t>Somalia</w:t>
            </w:r>
          </w:p>
        </w:tc>
        <w:tc>
          <w:tcPr>
            <w:tcW w:w="1013" w:type="pct"/>
          </w:tcPr>
          <w:p w14:paraId="46F6C325" w14:textId="7FEAA2ED"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0.35</w:t>
            </w:r>
          </w:p>
        </w:tc>
        <w:tc>
          <w:tcPr>
            <w:tcW w:w="1014" w:type="pct"/>
          </w:tcPr>
          <w:p w14:paraId="03A92CB3" w14:textId="67795B9A"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3.49</w:t>
            </w:r>
          </w:p>
        </w:tc>
        <w:tc>
          <w:tcPr>
            <w:tcW w:w="1014" w:type="pct"/>
          </w:tcPr>
          <w:p w14:paraId="0C2482BB" w14:textId="27DF1EA2" w:rsidR="00F662D0" w:rsidRPr="00CF6457" w:rsidRDefault="000A16B8"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Use global value</w:t>
            </w:r>
          </w:p>
        </w:tc>
      </w:tr>
      <w:tr w:rsidR="00F662D0" w:rsidRPr="00EC2B1A" w14:paraId="1167A3AC"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00EA7ED6" w14:textId="77777777" w:rsidR="00F662D0" w:rsidRPr="00572F61" w:rsidRDefault="00F662D0" w:rsidP="00572F61">
            <w:pPr>
              <w:pStyle w:val="SDMTableBoxParaNotNumbered"/>
              <w:rPr>
                <w:b w:val="0"/>
                <w:bCs/>
              </w:rPr>
            </w:pPr>
            <w:r w:rsidRPr="00572F61">
              <w:rPr>
                <w:b w:val="0"/>
                <w:bCs/>
              </w:rPr>
              <w:t>South Africa</w:t>
            </w:r>
          </w:p>
        </w:tc>
        <w:tc>
          <w:tcPr>
            <w:tcW w:w="1013" w:type="pct"/>
          </w:tcPr>
          <w:p w14:paraId="3F1080BA" w14:textId="35BC0660"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0.24</w:t>
            </w:r>
          </w:p>
        </w:tc>
        <w:tc>
          <w:tcPr>
            <w:tcW w:w="1014" w:type="pct"/>
          </w:tcPr>
          <w:p w14:paraId="7727471F" w14:textId="094D6C24"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1.39</w:t>
            </w:r>
          </w:p>
        </w:tc>
        <w:tc>
          <w:tcPr>
            <w:tcW w:w="1014" w:type="pct"/>
          </w:tcPr>
          <w:p w14:paraId="38E0569D" w14:textId="7A3A5DB1" w:rsidR="00F662D0" w:rsidRPr="00CF6457" w:rsidRDefault="003650DC"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22.34</w:t>
            </w:r>
          </w:p>
        </w:tc>
      </w:tr>
      <w:tr w:rsidR="00F662D0" w:rsidRPr="00EC2B1A" w14:paraId="2B0A03D8"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5F979627" w14:textId="77777777" w:rsidR="00F662D0" w:rsidRPr="00572F61" w:rsidRDefault="00F662D0" w:rsidP="00572F61">
            <w:pPr>
              <w:pStyle w:val="SDMTableBoxParaNotNumbered"/>
              <w:rPr>
                <w:b w:val="0"/>
                <w:bCs/>
              </w:rPr>
            </w:pPr>
            <w:r w:rsidRPr="00572F61">
              <w:rPr>
                <w:b w:val="0"/>
                <w:bCs/>
              </w:rPr>
              <w:t>South Sudan</w:t>
            </w:r>
          </w:p>
        </w:tc>
        <w:tc>
          <w:tcPr>
            <w:tcW w:w="1013" w:type="pct"/>
          </w:tcPr>
          <w:p w14:paraId="5568509A" w14:textId="2C294D7B"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0.25</w:t>
            </w:r>
          </w:p>
        </w:tc>
        <w:tc>
          <w:tcPr>
            <w:tcW w:w="1014" w:type="pct"/>
          </w:tcPr>
          <w:p w14:paraId="1DE8F625" w14:textId="478E3D07"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1.53</w:t>
            </w:r>
          </w:p>
        </w:tc>
        <w:tc>
          <w:tcPr>
            <w:tcW w:w="1014" w:type="pct"/>
          </w:tcPr>
          <w:p w14:paraId="0D37A6E3" w14:textId="36C80B1D" w:rsidR="00F662D0" w:rsidRPr="00CF6457" w:rsidRDefault="009B0137"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0.</w:t>
            </w:r>
            <w:r w:rsidR="003650DC" w:rsidRPr="00A644C5">
              <w:t>70</w:t>
            </w:r>
          </w:p>
        </w:tc>
      </w:tr>
      <w:tr w:rsidR="00F662D0" w:rsidRPr="00EC2B1A" w14:paraId="619F1FBC"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3A4243D8" w14:textId="77777777" w:rsidR="00F662D0" w:rsidRPr="00572F61" w:rsidRDefault="00F662D0" w:rsidP="00572F61">
            <w:pPr>
              <w:pStyle w:val="SDMTableBoxParaNotNumbered"/>
              <w:rPr>
                <w:b w:val="0"/>
                <w:bCs/>
              </w:rPr>
            </w:pPr>
            <w:r w:rsidRPr="00572F61">
              <w:rPr>
                <w:b w:val="0"/>
                <w:bCs/>
              </w:rPr>
              <w:t>Spain</w:t>
            </w:r>
          </w:p>
        </w:tc>
        <w:tc>
          <w:tcPr>
            <w:tcW w:w="1013" w:type="pct"/>
          </w:tcPr>
          <w:p w14:paraId="1B318F29" w14:textId="335F1BA5"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4.82</w:t>
            </w:r>
          </w:p>
        </w:tc>
        <w:tc>
          <w:tcPr>
            <w:tcW w:w="1014" w:type="pct"/>
          </w:tcPr>
          <w:p w14:paraId="574DDBA1" w14:textId="62B4670D"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10.41</w:t>
            </w:r>
          </w:p>
        </w:tc>
        <w:tc>
          <w:tcPr>
            <w:tcW w:w="1014" w:type="pct"/>
          </w:tcPr>
          <w:p w14:paraId="60EF911E" w14:textId="3DE23CF5" w:rsidR="00F662D0" w:rsidRPr="00CF6457" w:rsidRDefault="003650DC"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30.52</w:t>
            </w:r>
          </w:p>
        </w:tc>
      </w:tr>
      <w:tr w:rsidR="00F662D0" w:rsidRPr="00EC2B1A" w14:paraId="0BDDC184"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30916875" w14:textId="77777777" w:rsidR="00F662D0" w:rsidRPr="00572F61" w:rsidRDefault="00F662D0" w:rsidP="00572F61">
            <w:pPr>
              <w:pStyle w:val="SDMTableBoxParaNotNumbered"/>
              <w:rPr>
                <w:b w:val="0"/>
                <w:bCs/>
              </w:rPr>
            </w:pPr>
            <w:r w:rsidRPr="00572F61">
              <w:rPr>
                <w:b w:val="0"/>
                <w:bCs/>
              </w:rPr>
              <w:t>Sri Lanka</w:t>
            </w:r>
          </w:p>
        </w:tc>
        <w:tc>
          <w:tcPr>
            <w:tcW w:w="1013" w:type="pct"/>
          </w:tcPr>
          <w:p w14:paraId="55611F54" w14:textId="2B4957AD"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0.20</w:t>
            </w:r>
          </w:p>
        </w:tc>
        <w:tc>
          <w:tcPr>
            <w:tcW w:w="1014" w:type="pct"/>
          </w:tcPr>
          <w:p w14:paraId="09FBB6A8" w14:textId="37B54511"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5.58</w:t>
            </w:r>
          </w:p>
        </w:tc>
        <w:tc>
          <w:tcPr>
            <w:tcW w:w="1014" w:type="pct"/>
          </w:tcPr>
          <w:p w14:paraId="189AF60B" w14:textId="40276003" w:rsidR="00F662D0" w:rsidRPr="00CF6457" w:rsidRDefault="009B0137"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87</w:t>
            </w:r>
            <w:r w:rsidR="003650DC" w:rsidRPr="00A644C5">
              <w:t>.27</w:t>
            </w:r>
          </w:p>
        </w:tc>
      </w:tr>
      <w:tr w:rsidR="00D53A33" w:rsidRPr="00EC2B1A" w14:paraId="1CFB75CB"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34CCDF18" w14:textId="77777777" w:rsidR="00D53A33" w:rsidRPr="00572F61" w:rsidRDefault="00D53A33" w:rsidP="00572F61">
            <w:pPr>
              <w:pStyle w:val="SDMTableBoxParaNotNumbered"/>
              <w:rPr>
                <w:b w:val="0"/>
                <w:bCs/>
              </w:rPr>
            </w:pPr>
            <w:r w:rsidRPr="00572F61">
              <w:rPr>
                <w:b w:val="0"/>
                <w:bCs/>
              </w:rPr>
              <w:t>State of Palestine</w:t>
            </w:r>
          </w:p>
        </w:tc>
        <w:tc>
          <w:tcPr>
            <w:tcW w:w="1013" w:type="pct"/>
          </w:tcPr>
          <w:p w14:paraId="32976C0B" w14:textId="419B2DD4" w:rsidR="00D53A33" w:rsidRPr="00CF6457" w:rsidRDefault="00D53A3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0.57</w:t>
            </w:r>
          </w:p>
        </w:tc>
        <w:tc>
          <w:tcPr>
            <w:tcW w:w="1014" w:type="pct"/>
          </w:tcPr>
          <w:p w14:paraId="7618B10B" w14:textId="7939F694" w:rsidR="00D53A33" w:rsidRPr="00CF6457" w:rsidRDefault="00D53A3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5.35</w:t>
            </w:r>
          </w:p>
        </w:tc>
        <w:tc>
          <w:tcPr>
            <w:tcW w:w="1014" w:type="pct"/>
          </w:tcPr>
          <w:p w14:paraId="2C4CE50A" w14:textId="3FB5806E" w:rsidR="00D53A33" w:rsidRPr="00CF6457" w:rsidRDefault="00D53A3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61.16</w:t>
            </w:r>
          </w:p>
        </w:tc>
      </w:tr>
      <w:tr w:rsidR="00F662D0" w:rsidRPr="00EC2B1A" w14:paraId="7F20B17C"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55559D4C" w14:textId="680A1452" w:rsidR="00F662D0" w:rsidRPr="00572F61" w:rsidRDefault="00F662D0" w:rsidP="00572F61">
            <w:pPr>
              <w:pStyle w:val="SDMTableBoxParaNotNumbered"/>
              <w:rPr>
                <w:b w:val="0"/>
                <w:bCs/>
              </w:rPr>
            </w:pPr>
            <w:r w:rsidRPr="00572F61">
              <w:rPr>
                <w:b w:val="0"/>
                <w:bCs/>
              </w:rPr>
              <w:t>Sudan</w:t>
            </w:r>
          </w:p>
        </w:tc>
        <w:tc>
          <w:tcPr>
            <w:tcW w:w="1013" w:type="pct"/>
          </w:tcPr>
          <w:p w14:paraId="50805D3A" w14:textId="310CCEC2"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0.02</w:t>
            </w:r>
          </w:p>
        </w:tc>
        <w:tc>
          <w:tcPr>
            <w:tcW w:w="1014" w:type="pct"/>
          </w:tcPr>
          <w:p w14:paraId="67855422" w14:textId="5364B74D"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7.03</w:t>
            </w:r>
          </w:p>
        </w:tc>
        <w:tc>
          <w:tcPr>
            <w:tcW w:w="1014" w:type="pct"/>
          </w:tcPr>
          <w:p w14:paraId="00F982EF" w14:textId="59D8E21B" w:rsidR="00F662D0" w:rsidRPr="00CF6457" w:rsidRDefault="003650DC"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85.85</w:t>
            </w:r>
          </w:p>
        </w:tc>
      </w:tr>
      <w:tr w:rsidR="00F662D0" w:rsidRPr="00EC2B1A" w14:paraId="22A88CB8"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2445D7C3" w14:textId="77777777" w:rsidR="00F662D0" w:rsidRPr="00572F61" w:rsidRDefault="00F662D0" w:rsidP="00572F61">
            <w:pPr>
              <w:pStyle w:val="SDMTableBoxParaNotNumbered"/>
              <w:rPr>
                <w:b w:val="0"/>
                <w:bCs/>
              </w:rPr>
            </w:pPr>
            <w:r w:rsidRPr="00572F61">
              <w:rPr>
                <w:b w:val="0"/>
                <w:bCs/>
              </w:rPr>
              <w:t>Suriname</w:t>
            </w:r>
          </w:p>
        </w:tc>
        <w:tc>
          <w:tcPr>
            <w:tcW w:w="1013" w:type="pct"/>
          </w:tcPr>
          <w:p w14:paraId="267320A5" w14:textId="70671D8B"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0.19</w:t>
            </w:r>
          </w:p>
        </w:tc>
        <w:tc>
          <w:tcPr>
            <w:tcW w:w="1014" w:type="pct"/>
          </w:tcPr>
          <w:p w14:paraId="29B81463" w14:textId="3EE54160"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7.74</w:t>
            </w:r>
          </w:p>
        </w:tc>
        <w:tc>
          <w:tcPr>
            <w:tcW w:w="1014" w:type="pct"/>
          </w:tcPr>
          <w:p w14:paraId="15F2E785" w14:textId="7C09DEA8" w:rsidR="00F662D0" w:rsidRPr="00CF6457" w:rsidRDefault="009B0137"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0.</w:t>
            </w:r>
            <w:r w:rsidR="003650DC" w:rsidRPr="00A644C5">
              <w:t>45</w:t>
            </w:r>
          </w:p>
        </w:tc>
      </w:tr>
      <w:tr w:rsidR="00F662D0" w:rsidRPr="00EC2B1A" w14:paraId="2F5F1E08"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372B398C" w14:textId="77777777" w:rsidR="00F662D0" w:rsidRPr="00572F61" w:rsidRDefault="00F662D0" w:rsidP="00572F61">
            <w:pPr>
              <w:pStyle w:val="SDMTableBoxParaNotNumbered"/>
              <w:rPr>
                <w:b w:val="0"/>
                <w:bCs/>
              </w:rPr>
            </w:pPr>
            <w:r w:rsidRPr="00572F61">
              <w:rPr>
                <w:b w:val="0"/>
                <w:bCs/>
              </w:rPr>
              <w:t>Sweden</w:t>
            </w:r>
          </w:p>
        </w:tc>
        <w:tc>
          <w:tcPr>
            <w:tcW w:w="1013" w:type="pct"/>
          </w:tcPr>
          <w:p w14:paraId="104B8D60" w14:textId="21AFCA9E"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0.58</w:t>
            </w:r>
          </w:p>
        </w:tc>
        <w:tc>
          <w:tcPr>
            <w:tcW w:w="1014" w:type="pct"/>
          </w:tcPr>
          <w:p w14:paraId="3D7B435D" w14:textId="6FFCE557"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2.72</w:t>
            </w:r>
          </w:p>
        </w:tc>
        <w:tc>
          <w:tcPr>
            <w:tcW w:w="1014" w:type="pct"/>
          </w:tcPr>
          <w:p w14:paraId="3CD4160F" w14:textId="53F7218E" w:rsidR="00F662D0" w:rsidRPr="00CF6457" w:rsidRDefault="003650DC"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25.61</w:t>
            </w:r>
          </w:p>
        </w:tc>
      </w:tr>
      <w:tr w:rsidR="00F662D0" w:rsidRPr="00EC2B1A" w14:paraId="0E04CBFC"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6F0FF7EA" w14:textId="77777777" w:rsidR="00F662D0" w:rsidRPr="00572F61" w:rsidRDefault="00F662D0" w:rsidP="00572F61">
            <w:pPr>
              <w:pStyle w:val="SDMTableBoxParaNotNumbered"/>
              <w:rPr>
                <w:b w:val="0"/>
                <w:bCs/>
              </w:rPr>
            </w:pPr>
            <w:r w:rsidRPr="00572F61">
              <w:rPr>
                <w:b w:val="0"/>
                <w:bCs/>
              </w:rPr>
              <w:t>Switzerland</w:t>
            </w:r>
          </w:p>
        </w:tc>
        <w:tc>
          <w:tcPr>
            <w:tcW w:w="1013" w:type="pct"/>
          </w:tcPr>
          <w:p w14:paraId="52A6B222" w14:textId="4ACF349A"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0.00</w:t>
            </w:r>
          </w:p>
        </w:tc>
        <w:tc>
          <w:tcPr>
            <w:tcW w:w="1014" w:type="pct"/>
          </w:tcPr>
          <w:p w14:paraId="600CB25E" w14:textId="0A21E6FE"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4.77</w:t>
            </w:r>
          </w:p>
        </w:tc>
        <w:tc>
          <w:tcPr>
            <w:tcW w:w="1014" w:type="pct"/>
          </w:tcPr>
          <w:p w14:paraId="6223AF31" w14:textId="51A75917" w:rsidR="00F662D0" w:rsidRPr="00CF6457" w:rsidRDefault="003650DC"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5.49</w:t>
            </w:r>
          </w:p>
        </w:tc>
      </w:tr>
      <w:tr w:rsidR="00F662D0" w:rsidRPr="00EC2B1A" w14:paraId="5AD1CD67"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69124C93" w14:textId="2374601E" w:rsidR="00F662D0" w:rsidRPr="00572F61" w:rsidRDefault="00F662D0" w:rsidP="00572F61">
            <w:pPr>
              <w:pStyle w:val="SDMTableBoxParaNotNumbered"/>
              <w:rPr>
                <w:b w:val="0"/>
                <w:bCs/>
              </w:rPr>
            </w:pPr>
            <w:r w:rsidRPr="00572F61">
              <w:rPr>
                <w:b w:val="0"/>
                <w:bCs/>
              </w:rPr>
              <w:t>Syrian Arab Republic</w:t>
            </w:r>
          </w:p>
        </w:tc>
        <w:tc>
          <w:tcPr>
            <w:tcW w:w="1013" w:type="pct"/>
          </w:tcPr>
          <w:p w14:paraId="7E108EEC" w14:textId="1C11B7C0"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1.00</w:t>
            </w:r>
          </w:p>
        </w:tc>
        <w:tc>
          <w:tcPr>
            <w:tcW w:w="1014" w:type="pct"/>
          </w:tcPr>
          <w:p w14:paraId="5C47E6AC" w14:textId="6EC305E8"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1.43</w:t>
            </w:r>
          </w:p>
        </w:tc>
        <w:tc>
          <w:tcPr>
            <w:tcW w:w="1014" w:type="pct"/>
          </w:tcPr>
          <w:p w14:paraId="4D6946E6" w14:textId="6BD4D3DC" w:rsidR="00F662D0" w:rsidRPr="00CF6457" w:rsidRDefault="000A16B8"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Use global value</w:t>
            </w:r>
          </w:p>
        </w:tc>
      </w:tr>
      <w:tr w:rsidR="00F662D0" w:rsidRPr="00EC2B1A" w14:paraId="2ED1AE6A"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497225FE" w14:textId="77777777" w:rsidR="00F662D0" w:rsidRPr="00572F61" w:rsidRDefault="00F662D0" w:rsidP="00572F61">
            <w:pPr>
              <w:pStyle w:val="SDMTableBoxParaNotNumbered"/>
              <w:rPr>
                <w:b w:val="0"/>
                <w:bCs/>
              </w:rPr>
            </w:pPr>
            <w:r w:rsidRPr="00572F61">
              <w:rPr>
                <w:b w:val="0"/>
                <w:bCs/>
              </w:rPr>
              <w:t>Tajikistan</w:t>
            </w:r>
          </w:p>
        </w:tc>
        <w:tc>
          <w:tcPr>
            <w:tcW w:w="1013" w:type="pct"/>
          </w:tcPr>
          <w:p w14:paraId="3B285C50" w14:textId="4AC68839"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1.44</w:t>
            </w:r>
          </w:p>
        </w:tc>
        <w:tc>
          <w:tcPr>
            <w:tcW w:w="1014" w:type="pct"/>
          </w:tcPr>
          <w:p w14:paraId="166A3724" w14:textId="3D64BEC2"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0.00</w:t>
            </w:r>
          </w:p>
        </w:tc>
        <w:tc>
          <w:tcPr>
            <w:tcW w:w="1014" w:type="pct"/>
          </w:tcPr>
          <w:p w14:paraId="03D21DE6" w14:textId="5CF70053" w:rsidR="00F662D0" w:rsidRPr="00CF6457" w:rsidRDefault="003650DC"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175.03</w:t>
            </w:r>
          </w:p>
        </w:tc>
      </w:tr>
      <w:tr w:rsidR="00F662D0" w:rsidRPr="00EC2B1A" w14:paraId="2D85108D"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79A7D170" w14:textId="77777777" w:rsidR="00F662D0" w:rsidRPr="00572F61" w:rsidRDefault="00F662D0" w:rsidP="00572F61">
            <w:pPr>
              <w:pStyle w:val="SDMTableBoxParaNotNumbered"/>
              <w:rPr>
                <w:b w:val="0"/>
                <w:bCs/>
              </w:rPr>
            </w:pPr>
            <w:r w:rsidRPr="00572F61">
              <w:rPr>
                <w:b w:val="0"/>
                <w:bCs/>
              </w:rPr>
              <w:t>Thailand</w:t>
            </w:r>
          </w:p>
        </w:tc>
        <w:tc>
          <w:tcPr>
            <w:tcW w:w="1013" w:type="pct"/>
          </w:tcPr>
          <w:p w14:paraId="361AC0D5" w14:textId="0AD466EB"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0.38</w:t>
            </w:r>
          </w:p>
        </w:tc>
        <w:tc>
          <w:tcPr>
            <w:tcW w:w="1014" w:type="pct"/>
          </w:tcPr>
          <w:p w14:paraId="3B646AB2" w14:textId="117CF507"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1.15</w:t>
            </w:r>
          </w:p>
        </w:tc>
        <w:tc>
          <w:tcPr>
            <w:tcW w:w="1014" w:type="pct"/>
          </w:tcPr>
          <w:p w14:paraId="165DF4CD" w14:textId="01D0D51B" w:rsidR="00F662D0" w:rsidRPr="00CF6457" w:rsidRDefault="009B0137"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1.</w:t>
            </w:r>
            <w:r w:rsidR="003650DC" w:rsidRPr="00A644C5">
              <w:t>23</w:t>
            </w:r>
          </w:p>
        </w:tc>
      </w:tr>
      <w:tr w:rsidR="00F662D0" w:rsidRPr="00EC2B1A" w14:paraId="069E443A"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64D8ADEA" w14:textId="77777777" w:rsidR="00F662D0" w:rsidRPr="00572F61" w:rsidRDefault="00F662D0" w:rsidP="00572F61">
            <w:pPr>
              <w:pStyle w:val="SDMTableBoxParaNotNumbered"/>
              <w:rPr>
                <w:b w:val="0"/>
                <w:bCs/>
              </w:rPr>
            </w:pPr>
            <w:r w:rsidRPr="00572F61">
              <w:rPr>
                <w:b w:val="0"/>
                <w:bCs/>
              </w:rPr>
              <w:t>Timor-Leste</w:t>
            </w:r>
          </w:p>
        </w:tc>
        <w:tc>
          <w:tcPr>
            <w:tcW w:w="1013" w:type="pct"/>
          </w:tcPr>
          <w:p w14:paraId="6794C8CA" w14:textId="438C0BD4"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0.00</w:t>
            </w:r>
          </w:p>
        </w:tc>
        <w:tc>
          <w:tcPr>
            <w:tcW w:w="1014" w:type="pct"/>
          </w:tcPr>
          <w:p w14:paraId="51E7E4F8" w14:textId="6EAEA57F"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0.00</w:t>
            </w:r>
          </w:p>
        </w:tc>
        <w:tc>
          <w:tcPr>
            <w:tcW w:w="1014" w:type="pct"/>
          </w:tcPr>
          <w:p w14:paraId="4847D409" w14:textId="4E63D92F" w:rsidR="00F662D0" w:rsidRPr="00CF6457" w:rsidRDefault="000A16B8"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Use global value</w:t>
            </w:r>
          </w:p>
        </w:tc>
      </w:tr>
      <w:tr w:rsidR="00F662D0" w:rsidRPr="00EC2B1A" w14:paraId="3EF512C4"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00AC0837" w14:textId="77777777" w:rsidR="00F662D0" w:rsidRPr="00572F61" w:rsidRDefault="00F662D0" w:rsidP="00572F61">
            <w:pPr>
              <w:pStyle w:val="SDMTableBoxParaNotNumbered"/>
              <w:rPr>
                <w:b w:val="0"/>
                <w:bCs/>
              </w:rPr>
            </w:pPr>
            <w:r w:rsidRPr="00572F61">
              <w:rPr>
                <w:b w:val="0"/>
                <w:bCs/>
              </w:rPr>
              <w:t>Togo</w:t>
            </w:r>
          </w:p>
        </w:tc>
        <w:tc>
          <w:tcPr>
            <w:tcW w:w="1013" w:type="pct"/>
          </w:tcPr>
          <w:p w14:paraId="62C3E0B9" w14:textId="3D0FF60B"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2.36</w:t>
            </w:r>
          </w:p>
        </w:tc>
        <w:tc>
          <w:tcPr>
            <w:tcW w:w="1014" w:type="pct"/>
          </w:tcPr>
          <w:p w14:paraId="0F9102A3" w14:textId="285ED60B"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2.60</w:t>
            </w:r>
          </w:p>
        </w:tc>
        <w:tc>
          <w:tcPr>
            <w:tcW w:w="1014" w:type="pct"/>
          </w:tcPr>
          <w:p w14:paraId="491ED598" w14:textId="1276F9AE" w:rsidR="00F662D0" w:rsidRPr="00CF6457" w:rsidRDefault="000A16B8"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Use global value</w:t>
            </w:r>
          </w:p>
        </w:tc>
      </w:tr>
      <w:tr w:rsidR="00F662D0" w:rsidRPr="00EC2B1A" w14:paraId="59F82907"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5ADDCE48" w14:textId="77777777" w:rsidR="00F662D0" w:rsidRPr="00572F61" w:rsidRDefault="00F662D0" w:rsidP="00572F61">
            <w:pPr>
              <w:pStyle w:val="SDMTableBoxParaNotNumbered"/>
              <w:rPr>
                <w:b w:val="0"/>
                <w:bCs/>
              </w:rPr>
            </w:pPr>
            <w:r w:rsidRPr="00572F61">
              <w:rPr>
                <w:b w:val="0"/>
                <w:bCs/>
              </w:rPr>
              <w:t>Tonga</w:t>
            </w:r>
          </w:p>
        </w:tc>
        <w:tc>
          <w:tcPr>
            <w:tcW w:w="1013" w:type="pct"/>
          </w:tcPr>
          <w:p w14:paraId="0A3F7B46" w14:textId="594639DD"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0.59</w:t>
            </w:r>
          </w:p>
        </w:tc>
        <w:tc>
          <w:tcPr>
            <w:tcW w:w="1014" w:type="pct"/>
          </w:tcPr>
          <w:p w14:paraId="4068DB1C" w14:textId="7626B344"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2.51</w:t>
            </w:r>
          </w:p>
        </w:tc>
        <w:tc>
          <w:tcPr>
            <w:tcW w:w="1014" w:type="pct"/>
          </w:tcPr>
          <w:p w14:paraId="11AAA13C" w14:textId="56415C36" w:rsidR="00F662D0" w:rsidRPr="00CF6457" w:rsidRDefault="000A16B8"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Use global value</w:t>
            </w:r>
          </w:p>
        </w:tc>
      </w:tr>
      <w:tr w:rsidR="00F662D0" w:rsidRPr="00EC2B1A" w14:paraId="57BDA81A"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204ACE28" w14:textId="77777777" w:rsidR="00F662D0" w:rsidRPr="00572F61" w:rsidRDefault="00F662D0" w:rsidP="00572F61">
            <w:pPr>
              <w:pStyle w:val="SDMTableBoxParaNotNumbered"/>
              <w:rPr>
                <w:b w:val="0"/>
                <w:bCs/>
              </w:rPr>
            </w:pPr>
            <w:r w:rsidRPr="00572F61">
              <w:rPr>
                <w:b w:val="0"/>
                <w:bCs/>
              </w:rPr>
              <w:t>Trinidad and Tobago</w:t>
            </w:r>
          </w:p>
        </w:tc>
        <w:tc>
          <w:tcPr>
            <w:tcW w:w="1013" w:type="pct"/>
          </w:tcPr>
          <w:p w14:paraId="70D39B7C" w14:textId="45B82BB1"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0.00</w:t>
            </w:r>
          </w:p>
        </w:tc>
        <w:tc>
          <w:tcPr>
            <w:tcW w:w="1014" w:type="pct"/>
          </w:tcPr>
          <w:p w14:paraId="0100E4C7" w14:textId="45710608"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0.00</w:t>
            </w:r>
          </w:p>
        </w:tc>
        <w:tc>
          <w:tcPr>
            <w:tcW w:w="1014" w:type="pct"/>
          </w:tcPr>
          <w:p w14:paraId="1A555C2B" w14:textId="2DAB8CEF" w:rsidR="00F662D0" w:rsidRPr="00CF6457" w:rsidRDefault="000A16B8"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Use global value</w:t>
            </w:r>
          </w:p>
        </w:tc>
      </w:tr>
      <w:tr w:rsidR="00F662D0" w:rsidRPr="00EC2B1A" w14:paraId="54212CD1"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21E6C18E" w14:textId="77777777" w:rsidR="00F662D0" w:rsidRPr="00572F61" w:rsidRDefault="00F662D0" w:rsidP="00572F61">
            <w:pPr>
              <w:pStyle w:val="SDMTableBoxParaNotNumbered"/>
              <w:rPr>
                <w:b w:val="0"/>
                <w:bCs/>
              </w:rPr>
            </w:pPr>
            <w:r w:rsidRPr="00572F61">
              <w:rPr>
                <w:b w:val="0"/>
                <w:bCs/>
              </w:rPr>
              <w:t>Tunisia</w:t>
            </w:r>
          </w:p>
        </w:tc>
        <w:tc>
          <w:tcPr>
            <w:tcW w:w="1013" w:type="pct"/>
          </w:tcPr>
          <w:p w14:paraId="2C9C2720" w14:textId="1C014DDB"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0.09</w:t>
            </w:r>
          </w:p>
        </w:tc>
        <w:tc>
          <w:tcPr>
            <w:tcW w:w="1014" w:type="pct"/>
          </w:tcPr>
          <w:p w14:paraId="7D95B57D" w14:textId="79148214"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0.20</w:t>
            </w:r>
          </w:p>
        </w:tc>
        <w:tc>
          <w:tcPr>
            <w:tcW w:w="1014" w:type="pct"/>
          </w:tcPr>
          <w:p w14:paraId="73606575" w14:textId="22CF29F6" w:rsidR="00F662D0" w:rsidRPr="00CF6457" w:rsidRDefault="003650DC"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30.37</w:t>
            </w:r>
          </w:p>
        </w:tc>
      </w:tr>
      <w:tr w:rsidR="00F662D0" w:rsidRPr="00EC2B1A" w14:paraId="367410E7"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17C13CBF" w14:textId="16E67958" w:rsidR="00F662D0" w:rsidRPr="00572F61" w:rsidRDefault="0012519D" w:rsidP="00572F61">
            <w:pPr>
              <w:pStyle w:val="SDMTableBoxParaNotNumbered"/>
              <w:rPr>
                <w:b w:val="0"/>
                <w:bCs/>
              </w:rPr>
            </w:pPr>
            <w:r w:rsidRPr="00572F61">
              <w:rPr>
                <w:b w:val="0"/>
                <w:bCs/>
              </w:rPr>
              <w:t>Türkiye</w:t>
            </w:r>
          </w:p>
        </w:tc>
        <w:tc>
          <w:tcPr>
            <w:tcW w:w="1013" w:type="pct"/>
          </w:tcPr>
          <w:p w14:paraId="6B4437A9" w14:textId="00897D0A"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0.00</w:t>
            </w:r>
          </w:p>
        </w:tc>
        <w:tc>
          <w:tcPr>
            <w:tcW w:w="1014" w:type="pct"/>
          </w:tcPr>
          <w:p w14:paraId="33184B27" w14:textId="358EA4BA"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1.94</w:t>
            </w:r>
          </w:p>
        </w:tc>
        <w:tc>
          <w:tcPr>
            <w:tcW w:w="1014" w:type="pct"/>
          </w:tcPr>
          <w:p w14:paraId="4607DB47" w14:textId="3C5240F9" w:rsidR="00F662D0" w:rsidRPr="00CF6457" w:rsidRDefault="003650DC"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26.96</w:t>
            </w:r>
          </w:p>
        </w:tc>
      </w:tr>
      <w:tr w:rsidR="00F662D0" w:rsidRPr="00EC2B1A" w14:paraId="56F384A6"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1DB94D27" w14:textId="77777777" w:rsidR="00F662D0" w:rsidRPr="00572F61" w:rsidRDefault="00F662D0" w:rsidP="00572F61">
            <w:pPr>
              <w:pStyle w:val="SDMTableBoxParaNotNumbered"/>
              <w:rPr>
                <w:b w:val="0"/>
                <w:bCs/>
              </w:rPr>
            </w:pPr>
            <w:r w:rsidRPr="00572F61">
              <w:rPr>
                <w:b w:val="0"/>
                <w:bCs/>
              </w:rPr>
              <w:t>Turkmenistan</w:t>
            </w:r>
          </w:p>
        </w:tc>
        <w:tc>
          <w:tcPr>
            <w:tcW w:w="1013" w:type="pct"/>
          </w:tcPr>
          <w:p w14:paraId="68D1A5D6" w14:textId="3A9367C0"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0.00</w:t>
            </w:r>
          </w:p>
        </w:tc>
        <w:tc>
          <w:tcPr>
            <w:tcW w:w="1014" w:type="pct"/>
          </w:tcPr>
          <w:p w14:paraId="4DD3E652" w14:textId="43FFFBAE"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0.01</w:t>
            </w:r>
          </w:p>
        </w:tc>
        <w:tc>
          <w:tcPr>
            <w:tcW w:w="1014" w:type="pct"/>
          </w:tcPr>
          <w:p w14:paraId="5537C0FD" w14:textId="4E670E43" w:rsidR="00F662D0" w:rsidRPr="00CF6457" w:rsidRDefault="009B0137"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0.</w:t>
            </w:r>
            <w:r w:rsidR="003650DC" w:rsidRPr="00A644C5">
              <w:t>01</w:t>
            </w:r>
          </w:p>
        </w:tc>
      </w:tr>
      <w:tr w:rsidR="00F662D0" w:rsidRPr="00EC2B1A" w14:paraId="7CFBC0A8"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3C5FE7D9" w14:textId="77777777" w:rsidR="00F662D0" w:rsidRPr="00572F61" w:rsidRDefault="00F662D0" w:rsidP="00572F61">
            <w:pPr>
              <w:pStyle w:val="SDMTableBoxParaNotNumbered"/>
              <w:rPr>
                <w:b w:val="0"/>
                <w:bCs/>
              </w:rPr>
            </w:pPr>
            <w:r w:rsidRPr="00572F61">
              <w:rPr>
                <w:b w:val="0"/>
                <w:bCs/>
              </w:rPr>
              <w:t>Uganda</w:t>
            </w:r>
          </w:p>
        </w:tc>
        <w:tc>
          <w:tcPr>
            <w:tcW w:w="1013" w:type="pct"/>
          </w:tcPr>
          <w:p w14:paraId="464E573C" w14:textId="629B0830"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2.22</w:t>
            </w:r>
          </w:p>
        </w:tc>
        <w:tc>
          <w:tcPr>
            <w:tcW w:w="1014" w:type="pct"/>
          </w:tcPr>
          <w:p w14:paraId="467565C0" w14:textId="70961032"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2.41</w:t>
            </w:r>
          </w:p>
        </w:tc>
        <w:tc>
          <w:tcPr>
            <w:tcW w:w="1014" w:type="pct"/>
          </w:tcPr>
          <w:p w14:paraId="20CD3F22" w14:textId="47F84A8B" w:rsidR="00F662D0" w:rsidRPr="00CF6457" w:rsidRDefault="003650DC"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70.87</w:t>
            </w:r>
          </w:p>
        </w:tc>
      </w:tr>
      <w:tr w:rsidR="00F662D0" w:rsidRPr="00EC2B1A" w14:paraId="5DEAB301"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611AEDE8" w14:textId="77777777" w:rsidR="00F662D0" w:rsidRPr="00572F61" w:rsidRDefault="00F662D0" w:rsidP="00572F61">
            <w:pPr>
              <w:pStyle w:val="SDMTableBoxParaNotNumbered"/>
              <w:rPr>
                <w:b w:val="0"/>
                <w:bCs/>
              </w:rPr>
            </w:pPr>
            <w:r w:rsidRPr="00572F61">
              <w:rPr>
                <w:b w:val="0"/>
                <w:bCs/>
              </w:rPr>
              <w:t>Ukraine</w:t>
            </w:r>
          </w:p>
        </w:tc>
        <w:tc>
          <w:tcPr>
            <w:tcW w:w="1013" w:type="pct"/>
          </w:tcPr>
          <w:p w14:paraId="6125C74E" w14:textId="1B50A46B"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0.79</w:t>
            </w:r>
          </w:p>
        </w:tc>
        <w:tc>
          <w:tcPr>
            <w:tcW w:w="1014" w:type="pct"/>
          </w:tcPr>
          <w:p w14:paraId="015BD601" w14:textId="7FC06240"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8.54</w:t>
            </w:r>
          </w:p>
        </w:tc>
        <w:tc>
          <w:tcPr>
            <w:tcW w:w="1014" w:type="pct"/>
          </w:tcPr>
          <w:p w14:paraId="3B2D8F99" w14:textId="12863919" w:rsidR="00F662D0" w:rsidRPr="00CF6457" w:rsidRDefault="003650DC"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25.49</w:t>
            </w:r>
          </w:p>
        </w:tc>
      </w:tr>
      <w:tr w:rsidR="00F662D0" w:rsidRPr="00EC2B1A" w14:paraId="48947273"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0FE20B2D" w14:textId="77777777" w:rsidR="00F662D0" w:rsidRPr="00572F61" w:rsidRDefault="00F662D0" w:rsidP="00572F61">
            <w:pPr>
              <w:pStyle w:val="SDMTableBoxParaNotNumbered"/>
              <w:rPr>
                <w:b w:val="0"/>
                <w:bCs/>
              </w:rPr>
            </w:pPr>
            <w:r w:rsidRPr="00572F61">
              <w:rPr>
                <w:b w:val="0"/>
                <w:bCs/>
              </w:rPr>
              <w:t>United Arab Emirates</w:t>
            </w:r>
          </w:p>
        </w:tc>
        <w:tc>
          <w:tcPr>
            <w:tcW w:w="1013" w:type="pct"/>
          </w:tcPr>
          <w:p w14:paraId="6DD380B5" w14:textId="424933B2"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0.02</w:t>
            </w:r>
          </w:p>
        </w:tc>
        <w:tc>
          <w:tcPr>
            <w:tcW w:w="1014" w:type="pct"/>
          </w:tcPr>
          <w:p w14:paraId="65FD84E8" w14:textId="0D5115AC"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5.74</w:t>
            </w:r>
          </w:p>
        </w:tc>
        <w:tc>
          <w:tcPr>
            <w:tcW w:w="1014" w:type="pct"/>
          </w:tcPr>
          <w:p w14:paraId="49E09A83" w14:textId="7AB9316F" w:rsidR="00F662D0" w:rsidRPr="00CF6457" w:rsidRDefault="003650DC"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40.71</w:t>
            </w:r>
          </w:p>
        </w:tc>
      </w:tr>
      <w:tr w:rsidR="00F662D0" w:rsidRPr="00EC2B1A" w14:paraId="541C06F1"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01F77DF9" w14:textId="77777777" w:rsidR="00F662D0" w:rsidRPr="00572F61" w:rsidRDefault="00F662D0" w:rsidP="00572F61">
            <w:pPr>
              <w:pStyle w:val="SDMTableBoxParaNotNumbered"/>
              <w:rPr>
                <w:b w:val="0"/>
                <w:bCs/>
              </w:rPr>
            </w:pPr>
            <w:r w:rsidRPr="00572F61">
              <w:rPr>
                <w:b w:val="0"/>
                <w:bCs/>
              </w:rPr>
              <w:t>United Kingdom</w:t>
            </w:r>
          </w:p>
        </w:tc>
        <w:tc>
          <w:tcPr>
            <w:tcW w:w="1013" w:type="pct"/>
          </w:tcPr>
          <w:p w14:paraId="0EA864EB" w14:textId="2DAA7A3E"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5.21</w:t>
            </w:r>
          </w:p>
        </w:tc>
        <w:tc>
          <w:tcPr>
            <w:tcW w:w="1014" w:type="pct"/>
          </w:tcPr>
          <w:p w14:paraId="6D344C55" w14:textId="00206D60"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8.51</w:t>
            </w:r>
          </w:p>
        </w:tc>
        <w:tc>
          <w:tcPr>
            <w:tcW w:w="1014" w:type="pct"/>
          </w:tcPr>
          <w:p w14:paraId="0A615C3B" w14:textId="7710AEF9" w:rsidR="00F662D0" w:rsidRPr="00CF6457" w:rsidRDefault="003650DC"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12.36</w:t>
            </w:r>
          </w:p>
        </w:tc>
      </w:tr>
      <w:tr w:rsidR="002C2B28" w:rsidRPr="00EC2B1A" w14:paraId="645B0894"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058EBDDA" w14:textId="34FD2A0C" w:rsidR="002C2B28" w:rsidRPr="00572F61" w:rsidRDefault="002C2B28" w:rsidP="00572F61">
            <w:pPr>
              <w:pStyle w:val="SDMTableBoxParaNotNumbered"/>
              <w:rPr>
                <w:b w:val="0"/>
                <w:bCs/>
              </w:rPr>
            </w:pPr>
            <w:r w:rsidRPr="00572F61">
              <w:rPr>
                <w:b w:val="0"/>
                <w:bCs/>
              </w:rPr>
              <w:t>United Republic of Tanzania</w:t>
            </w:r>
          </w:p>
        </w:tc>
        <w:tc>
          <w:tcPr>
            <w:tcW w:w="1013" w:type="pct"/>
          </w:tcPr>
          <w:p w14:paraId="50160426" w14:textId="56158204" w:rsidR="002C2B28" w:rsidRPr="00CF6457" w:rsidRDefault="002C2B28"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2.21</w:t>
            </w:r>
          </w:p>
        </w:tc>
        <w:tc>
          <w:tcPr>
            <w:tcW w:w="1014" w:type="pct"/>
          </w:tcPr>
          <w:p w14:paraId="77AA093B" w14:textId="1229A98D" w:rsidR="002C2B28" w:rsidRPr="00CF6457" w:rsidRDefault="002C2B28"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2.94</w:t>
            </w:r>
          </w:p>
        </w:tc>
        <w:tc>
          <w:tcPr>
            <w:tcW w:w="1014" w:type="pct"/>
          </w:tcPr>
          <w:p w14:paraId="51311E0F" w14:textId="635A2E62" w:rsidR="002C2B28" w:rsidRPr="00CF6457" w:rsidRDefault="002C2B28"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14.61</w:t>
            </w:r>
          </w:p>
        </w:tc>
      </w:tr>
      <w:tr w:rsidR="00F662D0" w:rsidRPr="00EC2B1A" w14:paraId="4572546E"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52433EA4" w14:textId="77777777" w:rsidR="00F662D0" w:rsidRPr="00572F61" w:rsidRDefault="00F662D0" w:rsidP="00572F61">
            <w:pPr>
              <w:pStyle w:val="SDMTableBoxParaNotNumbered"/>
              <w:rPr>
                <w:b w:val="0"/>
                <w:bCs/>
              </w:rPr>
            </w:pPr>
            <w:r w:rsidRPr="00572F61">
              <w:rPr>
                <w:b w:val="0"/>
                <w:bCs/>
              </w:rPr>
              <w:t>United States of America</w:t>
            </w:r>
          </w:p>
        </w:tc>
        <w:tc>
          <w:tcPr>
            <w:tcW w:w="1013" w:type="pct"/>
          </w:tcPr>
          <w:p w14:paraId="78C6F36A" w14:textId="15B24D3B"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1.85</w:t>
            </w:r>
          </w:p>
        </w:tc>
        <w:tc>
          <w:tcPr>
            <w:tcW w:w="1014" w:type="pct"/>
          </w:tcPr>
          <w:p w14:paraId="0375218C" w14:textId="74498BEC"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3.35</w:t>
            </w:r>
          </w:p>
        </w:tc>
        <w:tc>
          <w:tcPr>
            <w:tcW w:w="1014" w:type="pct"/>
          </w:tcPr>
          <w:p w14:paraId="3F94AB09" w14:textId="4489E57B" w:rsidR="00F662D0" w:rsidRPr="00CF6457" w:rsidRDefault="003650DC"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19.39</w:t>
            </w:r>
          </w:p>
        </w:tc>
      </w:tr>
      <w:tr w:rsidR="00F662D0" w:rsidRPr="00EC2B1A" w14:paraId="4BEB82E5"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4E1DE9D6" w14:textId="77777777" w:rsidR="00F662D0" w:rsidRPr="00572F61" w:rsidRDefault="00F662D0" w:rsidP="00572F61">
            <w:pPr>
              <w:pStyle w:val="SDMTableBoxParaNotNumbered"/>
              <w:rPr>
                <w:b w:val="0"/>
                <w:bCs/>
              </w:rPr>
            </w:pPr>
            <w:r w:rsidRPr="00572F61">
              <w:rPr>
                <w:b w:val="0"/>
                <w:bCs/>
              </w:rPr>
              <w:t>Uruguay</w:t>
            </w:r>
          </w:p>
        </w:tc>
        <w:tc>
          <w:tcPr>
            <w:tcW w:w="1013" w:type="pct"/>
          </w:tcPr>
          <w:p w14:paraId="6CA08377" w14:textId="79356630"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0.50</w:t>
            </w:r>
          </w:p>
        </w:tc>
        <w:tc>
          <w:tcPr>
            <w:tcW w:w="1014" w:type="pct"/>
          </w:tcPr>
          <w:p w14:paraId="64E06C6E" w14:textId="109E3CB9"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1.25</w:t>
            </w:r>
          </w:p>
        </w:tc>
        <w:tc>
          <w:tcPr>
            <w:tcW w:w="1014" w:type="pct"/>
          </w:tcPr>
          <w:p w14:paraId="10ACB013" w14:textId="218C2D4C" w:rsidR="00F662D0" w:rsidRPr="00CF6457" w:rsidRDefault="003650DC"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13.22</w:t>
            </w:r>
          </w:p>
        </w:tc>
      </w:tr>
      <w:tr w:rsidR="00F662D0" w:rsidRPr="00EC2B1A" w14:paraId="5B66F39C"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25097BA9" w14:textId="77777777" w:rsidR="00F662D0" w:rsidRPr="00572F61" w:rsidRDefault="00F662D0" w:rsidP="00572F61">
            <w:pPr>
              <w:pStyle w:val="SDMTableBoxParaNotNumbered"/>
              <w:rPr>
                <w:b w:val="0"/>
                <w:bCs/>
              </w:rPr>
            </w:pPr>
            <w:r w:rsidRPr="00572F61">
              <w:rPr>
                <w:b w:val="0"/>
                <w:bCs/>
              </w:rPr>
              <w:t>Uzbekistan</w:t>
            </w:r>
          </w:p>
        </w:tc>
        <w:tc>
          <w:tcPr>
            <w:tcW w:w="1013" w:type="pct"/>
          </w:tcPr>
          <w:p w14:paraId="77D9CE85" w14:textId="19B276E8"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0.40</w:t>
            </w:r>
          </w:p>
        </w:tc>
        <w:tc>
          <w:tcPr>
            <w:tcW w:w="1014" w:type="pct"/>
          </w:tcPr>
          <w:p w14:paraId="79D4B322" w14:textId="6E8861E5"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0.13</w:t>
            </w:r>
          </w:p>
        </w:tc>
        <w:tc>
          <w:tcPr>
            <w:tcW w:w="1014" w:type="pct"/>
          </w:tcPr>
          <w:p w14:paraId="6FE91210" w14:textId="01207034" w:rsidR="00F662D0" w:rsidRPr="00CF6457" w:rsidRDefault="003650DC"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23.34</w:t>
            </w:r>
          </w:p>
        </w:tc>
      </w:tr>
      <w:tr w:rsidR="00F662D0" w:rsidRPr="00EC2B1A" w14:paraId="54735B75"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179C94FF" w14:textId="77777777" w:rsidR="00F662D0" w:rsidRPr="00572F61" w:rsidRDefault="00F662D0" w:rsidP="00572F61">
            <w:pPr>
              <w:pStyle w:val="SDMTableBoxParaNotNumbered"/>
              <w:rPr>
                <w:b w:val="0"/>
                <w:bCs/>
              </w:rPr>
            </w:pPr>
            <w:r w:rsidRPr="00572F61">
              <w:rPr>
                <w:b w:val="0"/>
                <w:bCs/>
              </w:rPr>
              <w:t>Vanuatu</w:t>
            </w:r>
          </w:p>
        </w:tc>
        <w:tc>
          <w:tcPr>
            <w:tcW w:w="1013" w:type="pct"/>
          </w:tcPr>
          <w:p w14:paraId="6D0CAEA2" w14:textId="547D1E7B"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0.77</w:t>
            </w:r>
          </w:p>
        </w:tc>
        <w:tc>
          <w:tcPr>
            <w:tcW w:w="1014" w:type="pct"/>
          </w:tcPr>
          <w:p w14:paraId="1A947F4E" w14:textId="5F07393D"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5.29</w:t>
            </w:r>
          </w:p>
        </w:tc>
        <w:tc>
          <w:tcPr>
            <w:tcW w:w="1014" w:type="pct"/>
          </w:tcPr>
          <w:p w14:paraId="4DE48FF4" w14:textId="2704EA4D" w:rsidR="00F662D0" w:rsidRPr="00CF6457" w:rsidRDefault="000A16B8"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Use global value</w:t>
            </w:r>
          </w:p>
        </w:tc>
      </w:tr>
      <w:tr w:rsidR="00F662D0" w:rsidRPr="00EC2B1A" w14:paraId="66A0C566"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68886CD8" w14:textId="77777777" w:rsidR="00F662D0" w:rsidRPr="00572F61" w:rsidRDefault="00F662D0" w:rsidP="00572F61">
            <w:pPr>
              <w:pStyle w:val="SDMTableBoxParaNotNumbered"/>
              <w:rPr>
                <w:b w:val="0"/>
                <w:bCs/>
              </w:rPr>
            </w:pPr>
            <w:r w:rsidRPr="00572F61">
              <w:rPr>
                <w:b w:val="0"/>
                <w:bCs/>
              </w:rPr>
              <w:t>Venezuela (Bolivarian Republic of)</w:t>
            </w:r>
          </w:p>
        </w:tc>
        <w:tc>
          <w:tcPr>
            <w:tcW w:w="1013" w:type="pct"/>
          </w:tcPr>
          <w:p w14:paraId="54C49666" w14:textId="332BB553"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0.00</w:t>
            </w:r>
          </w:p>
        </w:tc>
        <w:tc>
          <w:tcPr>
            <w:tcW w:w="1014" w:type="pct"/>
          </w:tcPr>
          <w:p w14:paraId="14CAB188" w14:textId="2ED7F4AA"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13.86</w:t>
            </w:r>
          </w:p>
        </w:tc>
        <w:tc>
          <w:tcPr>
            <w:tcW w:w="1014" w:type="pct"/>
          </w:tcPr>
          <w:p w14:paraId="3F096627" w14:textId="2DD1EA7C" w:rsidR="00F662D0" w:rsidRPr="00CF6457" w:rsidRDefault="003650DC"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32.17</w:t>
            </w:r>
          </w:p>
        </w:tc>
      </w:tr>
      <w:tr w:rsidR="00F662D0" w:rsidRPr="00EC2B1A" w14:paraId="4D4E001F"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40C1D516" w14:textId="22708900" w:rsidR="00F662D0" w:rsidRPr="00572F61" w:rsidRDefault="00F662D0" w:rsidP="00572F61">
            <w:pPr>
              <w:pStyle w:val="SDMTableBoxParaNotNumbered"/>
              <w:tabs>
                <w:tab w:val="center" w:pos="1533"/>
              </w:tabs>
              <w:rPr>
                <w:b w:val="0"/>
                <w:bCs/>
              </w:rPr>
            </w:pPr>
            <w:r w:rsidRPr="00572F61">
              <w:rPr>
                <w:b w:val="0"/>
                <w:bCs/>
              </w:rPr>
              <w:t>Viet Nam</w:t>
            </w:r>
          </w:p>
        </w:tc>
        <w:tc>
          <w:tcPr>
            <w:tcW w:w="1013" w:type="pct"/>
          </w:tcPr>
          <w:p w14:paraId="67189092" w14:textId="691D70E2"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0.00</w:t>
            </w:r>
          </w:p>
        </w:tc>
        <w:tc>
          <w:tcPr>
            <w:tcW w:w="1014" w:type="pct"/>
          </w:tcPr>
          <w:p w14:paraId="346F1A3D" w14:textId="29808623"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1.61</w:t>
            </w:r>
          </w:p>
        </w:tc>
        <w:tc>
          <w:tcPr>
            <w:tcW w:w="1014" w:type="pct"/>
          </w:tcPr>
          <w:p w14:paraId="254E70E6" w14:textId="42A6C61B" w:rsidR="00F662D0" w:rsidRPr="00CF6457" w:rsidRDefault="003650DC"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12.02</w:t>
            </w:r>
          </w:p>
        </w:tc>
      </w:tr>
      <w:tr w:rsidR="00F662D0" w:rsidRPr="00EC2B1A" w14:paraId="0FBF8208"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51B876CB" w14:textId="77777777" w:rsidR="00F662D0" w:rsidRPr="00572F61" w:rsidRDefault="00F662D0" w:rsidP="00572F61">
            <w:pPr>
              <w:pStyle w:val="SDMTableBoxParaNotNumbered"/>
              <w:rPr>
                <w:b w:val="0"/>
                <w:bCs/>
              </w:rPr>
            </w:pPr>
            <w:r w:rsidRPr="00572F61">
              <w:rPr>
                <w:b w:val="0"/>
                <w:bCs/>
              </w:rPr>
              <w:t>Yemen</w:t>
            </w:r>
          </w:p>
        </w:tc>
        <w:tc>
          <w:tcPr>
            <w:tcW w:w="1013" w:type="pct"/>
          </w:tcPr>
          <w:p w14:paraId="2CB23113" w14:textId="130AC809"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1.10</w:t>
            </w:r>
          </w:p>
        </w:tc>
        <w:tc>
          <w:tcPr>
            <w:tcW w:w="1014" w:type="pct"/>
          </w:tcPr>
          <w:p w14:paraId="4B116BE3" w14:textId="1FA8CD06"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4.26</w:t>
            </w:r>
          </w:p>
        </w:tc>
        <w:tc>
          <w:tcPr>
            <w:tcW w:w="1014" w:type="pct"/>
          </w:tcPr>
          <w:p w14:paraId="7664AFF7" w14:textId="29CE2B29" w:rsidR="00F662D0" w:rsidRPr="00CF6457" w:rsidRDefault="003650DC"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18.55</w:t>
            </w:r>
          </w:p>
        </w:tc>
      </w:tr>
      <w:tr w:rsidR="00F662D0" w:rsidRPr="00EC2B1A" w14:paraId="02914960"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40EC2494" w14:textId="77777777" w:rsidR="00F662D0" w:rsidRPr="00572F61" w:rsidRDefault="00F662D0" w:rsidP="00572F61">
            <w:pPr>
              <w:pStyle w:val="SDMTableBoxParaNotNumbered"/>
              <w:rPr>
                <w:b w:val="0"/>
                <w:bCs/>
              </w:rPr>
            </w:pPr>
            <w:r w:rsidRPr="00572F61">
              <w:rPr>
                <w:b w:val="0"/>
                <w:bCs/>
              </w:rPr>
              <w:t>Zambia</w:t>
            </w:r>
          </w:p>
        </w:tc>
        <w:tc>
          <w:tcPr>
            <w:tcW w:w="1013" w:type="pct"/>
          </w:tcPr>
          <w:p w14:paraId="3E441A08" w14:textId="655A7E69"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0.00</w:t>
            </w:r>
          </w:p>
        </w:tc>
        <w:tc>
          <w:tcPr>
            <w:tcW w:w="1014" w:type="pct"/>
          </w:tcPr>
          <w:p w14:paraId="55A77DB2" w14:textId="5BB07D07"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4.93</w:t>
            </w:r>
          </w:p>
        </w:tc>
        <w:tc>
          <w:tcPr>
            <w:tcW w:w="1014" w:type="pct"/>
          </w:tcPr>
          <w:p w14:paraId="158DF8DF" w14:textId="1CB94B30" w:rsidR="00F662D0" w:rsidRPr="00CF6457" w:rsidRDefault="003650DC"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62.12</w:t>
            </w:r>
          </w:p>
        </w:tc>
      </w:tr>
      <w:tr w:rsidR="00F662D0" w:rsidRPr="00EC2B1A" w14:paraId="2AE00B96" w14:textId="77777777" w:rsidTr="00611399">
        <w:tc>
          <w:tcPr>
            <w:cnfStyle w:val="001000000000" w:firstRow="0" w:lastRow="0" w:firstColumn="1" w:lastColumn="0" w:oddVBand="0" w:evenVBand="0" w:oddHBand="0" w:evenHBand="0" w:firstRowFirstColumn="0" w:firstRowLastColumn="0" w:lastRowFirstColumn="0" w:lastRowLastColumn="0"/>
            <w:tcW w:w="1958" w:type="pct"/>
          </w:tcPr>
          <w:p w14:paraId="1AB88A7F" w14:textId="77777777" w:rsidR="00F662D0" w:rsidRPr="00572F61" w:rsidRDefault="00F662D0" w:rsidP="00572F61">
            <w:pPr>
              <w:pStyle w:val="SDMTableBoxParaNotNumbered"/>
              <w:rPr>
                <w:b w:val="0"/>
                <w:bCs/>
              </w:rPr>
            </w:pPr>
            <w:r w:rsidRPr="00572F61">
              <w:rPr>
                <w:b w:val="0"/>
                <w:bCs/>
              </w:rPr>
              <w:t>Zimbabwe</w:t>
            </w:r>
          </w:p>
        </w:tc>
        <w:tc>
          <w:tcPr>
            <w:tcW w:w="1013" w:type="pct"/>
          </w:tcPr>
          <w:p w14:paraId="34A5DA78" w14:textId="0B863B85" w:rsidR="00F662D0" w:rsidRPr="00CF6457" w:rsidRDefault="00E752CF"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70652D">
              <w:t>0.05</w:t>
            </w:r>
          </w:p>
        </w:tc>
        <w:tc>
          <w:tcPr>
            <w:tcW w:w="1014" w:type="pct"/>
          </w:tcPr>
          <w:p w14:paraId="59BAFE24" w14:textId="37A610F1" w:rsidR="00F662D0" w:rsidRPr="00CF6457" w:rsidRDefault="00F459C3"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B5612F">
              <w:t>9.39</w:t>
            </w:r>
          </w:p>
        </w:tc>
        <w:tc>
          <w:tcPr>
            <w:tcW w:w="1014" w:type="pct"/>
          </w:tcPr>
          <w:p w14:paraId="75B48F08" w14:textId="78E4CD28" w:rsidR="00F662D0" w:rsidRPr="00CF6457" w:rsidRDefault="000A16B8" w:rsidP="00572F61">
            <w:pPr>
              <w:pStyle w:val="SDMTableBoxParaNotNumbered"/>
              <w:cnfStyle w:val="000000000000" w:firstRow="0" w:lastRow="0" w:firstColumn="0" w:lastColumn="0" w:oddVBand="0" w:evenVBand="0" w:oddHBand="0" w:evenHBand="0" w:firstRowFirstColumn="0" w:firstRowLastColumn="0" w:lastRowFirstColumn="0" w:lastRowLastColumn="0"/>
            </w:pPr>
            <w:r w:rsidRPr="00A644C5">
              <w:t>0.00</w:t>
            </w:r>
          </w:p>
        </w:tc>
      </w:tr>
    </w:tbl>
    <w:p w14:paraId="44F30036" w14:textId="77777777" w:rsidR="00CA6E5E" w:rsidRDefault="00CA6E5E" w:rsidP="00C46814">
      <w:pPr>
        <w:pStyle w:val="SDMPara"/>
        <w:numPr>
          <w:ilvl w:val="0"/>
          <w:numId w:val="0"/>
        </w:numPr>
        <w:spacing w:before="240"/>
        <w:ind w:left="709"/>
        <w:jc w:val="center"/>
      </w:pPr>
      <w:r w:rsidRPr="00846858">
        <w:t>- - - - -</w:t>
      </w:r>
    </w:p>
    <w:p w14:paraId="395BE265" w14:textId="77777777" w:rsidR="00CA6E5E" w:rsidRPr="00C151D8" w:rsidRDefault="00CA6E5E" w:rsidP="00CA6E5E">
      <w:pPr>
        <w:pStyle w:val="SDMDocInfoTitle"/>
      </w:pPr>
      <w:r w:rsidRPr="00C151D8">
        <w:t xml:space="preserve">Document </w:t>
      </w:r>
      <w:r>
        <w:t>i</w:t>
      </w:r>
      <w:r w:rsidRPr="00C151D8">
        <w:t>nformation</w:t>
      </w:r>
    </w:p>
    <w:tbl>
      <w:tblPr>
        <w:tblW w:w="5000" w:type="pct"/>
        <w:jc w:val="center"/>
        <w:tblLayout w:type="fixed"/>
        <w:tblLook w:val="0000" w:firstRow="0" w:lastRow="0" w:firstColumn="0" w:lastColumn="0" w:noHBand="0" w:noVBand="0"/>
      </w:tblPr>
      <w:tblGrid>
        <w:gridCol w:w="1398"/>
        <w:gridCol w:w="2004"/>
        <w:gridCol w:w="5811"/>
      </w:tblGrid>
      <w:tr w:rsidR="00CA6E5E" w:rsidRPr="003303F0" w14:paraId="1F61690D" w14:textId="77777777" w:rsidTr="00B337F3">
        <w:trPr>
          <w:trHeight w:val="113"/>
          <w:tblHeader/>
          <w:jc w:val="center"/>
        </w:trPr>
        <w:tc>
          <w:tcPr>
            <w:tcW w:w="1398" w:type="dxa"/>
            <w:tcBorders>
              <w:top w:val="single" w:sz="4" w:space="0" w:color="auto"/>
              <w:bottom w:val="single" w:sz="12" w:space="0" w:color="auto"/>
            </w:tcBorders>
            <w:tcMar>
              <w:top w:w="80" w:type="dxa"/>
              <w:bottom w:w="80" w:type="dxa"/>
            </w:tcMar>
            <w:vAlign w:val="center"/>
          </w:tcPr>
          <w:p w14:paraId="1509212C" w14:textId="77777777" w:rsidR="00CA6E5E" w:rsidRPr="002A3775" w:rsidRDefault="00CA6E5E">
            <w:pPr>
              <w:pStyle w:val="SDMDocInfoHeadRow"/>
            </w:pPr>
            <w:r>
              <w:t>Version</w:t>
            </w:r>
          </w:p>
        </w:tc>
        <w:tc>
          <w:tcPr>
            <w:tcW w:w="2004" w:type="dxa"/>
            <w:tcBorders>
              <w:top w:val="single" w:sz="4" w:space="0" w:color="auto"/>
              <w:bottom w:val="single" w:sz="12" w:space="0" w:color="auto"/>
            </w:tcBorders>
            <w:tcMar>
              <w:top w:w="80" w:type="dxa"/>
              <w:bottom w:w="80" w:type="dxa"/>
            </w:tcMar>
            <w:vAlign w:val="center"/>
          </w:tcPr>
          <w:p w14:paraId="1A4A5EB7" w14:textId="77777777" w:rsidR="00CA6E5E" w:rsidRPr="002A3775" w:rsidRDefault="00CA6E5E">
            <w:pPr>
              <w:pStyle w:val="SDMDocInfoHeadRow"/>
            </w:pPr>
            <w:r>
              <w:t>Date</w:t>
            </w:r>
          </w:p>
        </w:tc>
        <w:tc>
          <w:tcPr>
            <w:tcW w:w="5811" w:type="dxa"/>
            <w:tcBorders>
              <w:top w:val="single" w:sz="4" w:space="0" w:color="auto"/>
              <w:bottom w:val="single" w:sz="12" w:space="0" w:color="auto"/>
            </w:tcBorders>
            <w:tcMar>
              <w:top w:w="80" w:type="dxa"/>
              <w:bottom w:w="80" w:type="dxa"/>
            </w:tcMar>
            <w:vAlign w:val="center"/>
          </w:tcPr>
          <w:p w14:paraId="32206221" w14:textId="77777777" w:rsidR="00CA6E5E" w:rsidRPr="002A3775" w:rsidRDefault="00CA6E5E">
            <w:pPr>
              <w:pStyle w:val="SDMDocInfoHeadRow"/>
            </w:pPr>
            <w:r>
              <w:t>Description</w:t>
            </w:r>
          </w:p>
        </w:tc>
      </w:tr>
      <w:tr w:rsidR="00E57493" w:rsidRPr="003303F0" w14:paraId="72CA1309" w14:textId="77777777" w:rsidTr="00440264">
        <w:trPr>
          <w:trHeight w:val="113"/>
          <w:jc w:val="center"/>
        </w:trPr>
        <w:tc>
          <w:tcPr>
            <w:tcW w:w="1398" w:type="dxa"/>
          </w:tcPr>
          <w:p w14:paraId="731B1EFB" w14:textId="1577DEDF" w:rsidR="00E57493" w:rsidRDefault="0011298D">
            <w:pPr>
              <w:pStyle w:val="SDMDocInfoText"/>
              <w:keepNext/>
            </w:pPr>
            <w:r>
              <w:t>02.0</w:t>
            </w:r>
          </w:p>
        </w:tc>
        <w:tc>
          <w:tcPr>
            <w:tcW w:w="2004" w:type="dxa"/>
          </w:tcPr>
          <w:p w14:paraId="72806902" w14:textId="1BFE2005" w:rsidR="00E57493" w:rsidRDefault="00830236">
            <w:pPr>
              <w:pStyle w:val="SDMDocInfoText"/>
              <w:keepNext/>
            </w:pPr>
            <w:r w:rsidRPr="00156175">
              <w:t>9</w:t>
            </w:r>
            <w:r w:rsidR="0011298D" w:rsidRPr="00156175">
              <w:t xml:space="preserve"> </w:t>
            </w:r>
            <w:r w:rsidR="00C07B09" w:rsidRPr="00156175">
              <w:t>October</w:t>
            </w:r>
            <w:r w:rsidR="0011298D">
              <w:t xml:space="preserve"> 2026</w:t>
            </w:r>
          </w:p>
        </w:tc>
        <w:tc>
          <w:tcPr>
            <w:tcW w:w="5811" w:type="dxa"/>
          </w:tcPr>
          <w:p w14:paraId="43496C3C" w14:textId="566E1EAF" w:rsidR="00E57493" w:rsidRDefault="00C07B09" w:rsidP="0030344E">
            <w:pPr>
              <w:pStyle w:val="SDMDocInfoText"/>
              <w:keepNext/>
              <w:jc w:val="left"/>
            </w:pPr>
            <w:r w:rsidRPr="00156175">
              <w:t>SBM</w:t>
            </w:r>
            <w:r w:rsidR="0025011B" w:rsidRPr="00156175">
              <w:t xml:space="preserve"> 0</w:t>
            </w:r>
            <w:r w:rsidRPr="00156175">
              <w:t>23</w:t>
            </w:r>
            <w:r w:rsidR="0025011B" w:rsidRPr="00156175">
              <w:t xml:space="preserve">, Annex </w:t>
            </w:r>
            <w:r w:rsidR="00DD5669">
              <w:t>18</w:t>
            </w:r>
            <w:r w:rsidR="0025011B" w:rsidRPr="00156175">
              <w:t>.</w:t>
            </w:r>
            <w:r w:rsidR="000956A4" w:rsidRPr="00156175">
              <w:br/>
            </w:r>
            <w:r w:rsidR="005357AF" w:rsidRPr="00156175">
              <w:rPr>
                <w:rFonts w:asciiTheme="minorBidi" w:hAnsiTheme="minorBidi"/>
              </w:rPr>
              <w:t>Revision to incorporate provisions for Article 6.4 Programmes of Activities (PoAs), including PoA-specific approaches and requirements, where necessary.</w:t>
            </w:r>
          </w:p>
        </w:tc>
      </w:tr>
      <w:tr w:rsidR="00CA6E5E" w:rsidRPr="003303F0" w14:paraId="1054E9A5" w14:textId="77777777" w:rsidTr="00B337F3">
        <w:trPr>
          <w:trHeight w:val="113"/>
          <w:jc w:val="center"/>
        </w:trPr>
        <w:tc>
          <w:tcPr>
            <w:tcW w:w="1398" w:type="dxa"/>
            <w:tcBorders>
              <w:bottom w:val="single" w:sz="4" w:space="0" w:color="auto"/>
            </w:tcBorders>
          </w:tcPr>
          <w:p w14:paraId="7707E220" w14:textId="77777777" w:rsidR="00CA6E5E" w:rsidRDefault="00CA6E5E">
            <w:pPr>
              <w:pStyle w:val="SDMDocInfoText"/>
              <w:keepNext/>
            </w:pPr>
            <w:r>
              <w:t>01.0</w:t>
            </w:r>
          </w:p>
        </w:tc>
        <w:tc>
          <w:tcPr>
            <w:tcW w:w="2004" w:type="dxa"/>
            <w:tcBorders>
              <w:bottom w:val="single" w:sz="4" w:space="0" w:color="auto"/>
            </w:tcBorders>
          </w:tcPr>
          <w:p w14:paraId="047ACDA1" w14:textId="77777777" w:rsidR="00CA6E5E" w:rsidRPr="00B85235" w:rsidRDefault="00CA6E5E">
            <w:pPr>
              <w:pStyle w:val="SDMDocInfoText"/>
              <w:keepNext/>
            </w:pPr>
            <w:r>
              <w:t>20</w:t>
            </w:r>
            <w:r w:rsidRPr="00FA0412">
              <w:t xml:space="preserve"> </w:t>
            </w:r>
            <w:r>
              <w:t>February</w:t>
            </w:r>
            <w:r w:rsidRPr="00FA0412">
              <w:t xml:space="preserve"> 202</w:t>
            </w:r>
            <w:r>
              <w:t>6</w:t>
            </w:r>
          </w:p>
        </w:tc>
        <w:tc>
          <w:tcPr>
            <w:tcW w:w="5811" w:type="dxa"/>
            <w:tcBorders>
              <w:bottom w:val="single" w:sz="4" w:space="0" w:color="auto"/>
            </w:tcBorders>
          </w:tcPr>
          <w:p w14:paraId="762F5175" w14:textId="03841B32" w:rsidR="00CA6E5E" w:rsidRDefault="00CA6E5E">
            <w:pPr>
              <w:pStyle w:val="SDMDocInfoText"/>
              <w:keepNext/>
            </w:pPr>
            <w:r>
              <w:t>SBM020</w:t>
            </w:r>
            <w:r w:rsidRPr="00FA0412">
              <w:t xml:space="preserve">, Annex </w:t>
            </w:r>
            <w:r w:rsidR="007B6FE6">
              <w:t>7</w:t>
            </w:r>
            <w:r w:rsidRPr="00FA0412">
              <w:t>.</w:t>
            </w:r>
            <w:r>
              <w:br/>
              <w:t>Initial adoption.</w:t>
            </w:r>
          </w:p>
        </w:tc>
      </w:tr>
      <w:tr w:rsidR="00CA6E5E" w:rsidRPr="0056518A" w14:paraId="62B84054" w14:textId="77777777" w:rsidTr="007B3A6B">
        <w:trPr>
          <w:trHeight w:val="113"/>
          <w:jc w:val="center"/>
        </w:trPr>
        <w:tc>
          <w:tcPr>
            <w:tcW w:w="9213" w:type="dxa"/>
            <w:gridSpan w:val="3"/>
            <w:tcBorders>
              <w:top w:val="single" w:sz="4" w:space="0" w:color="auto"/>
              <w:bottom w:val="single" w:sz="12" w:space="0" w:color="auto"/>
            </w:tcBorders>
            <w:vAlign w:val="center"/>
          </w:tcPr>
          <w:p w14:paraId="24942766" w14:textId="6E4F3B97" w:rsidR="00CA6E5E" w:rsidRPr="0056518A" w:rsidRDefault="00CA6E5E">
            <w:pPr>
              <w:pStyle w:val="SDMDocInfoText"/>
            </w:pPr>
            <w:r w:rsidRPr="00FA0412">
              <w:t>Decision Class: Regulatory</w:t>
            </w:r>
            <w:r w:rsidRPr="00FA0412">
              <w:br/>
              <w:t>Document Type: Tool</w:t>
            </w:r>
            <w:r w:rsidRPr="00FA0412">
              <w:br/>
              <w:t>Business Function: Methodology</w:t>
            </w:r>
            <w:r w:rsidRPr="00FA0412">
              <w:br/>
              <w:t xml:space="preserve">Keywords: A6.4 mechanism, </w:t>
            </w:r>
            <w:r w:rsidR="005B7A55">
              <w:t>electricity generation, electric power transmission, grid emission factor, methodologies</w:t>
            </w:r>
            <w:r w:rsidR="00EA375C">
              <w:t>.</w:t>
            </w:r>
          </w:p>
        </w:tc>
      </w:tr>
    </w:tbl>
    <w:p w14:paraId="5188D345" w14:textId="77777777" w:rsidR="00CA6E5E" w:rsidRDefault="00CA6E5E" w:rsidP="00CA6E5E">
      <w:pPr>
        <w:rPr>
          <w:sz w:val="2"/>
          <w:szCs w:val="2"/>
        </w:rPr>
      </w:pPr>
    </w:p>
    <w:p w14:paraId="091DE878" w14:textId="77777777" w:rsidR="00CA6E5E" w:rsidRDefault="00CA6E5E" w:rsidP="00CA6E5E">
      <w:pPr>
        <w:rPr>
          <w:sz w:val="2"/>
          <w:szCs w:val="2"/>
        </w:rPr>
      </w:pPr>
    </w:p>
    <w:p w14:paraId="07E444B3" w14:textId="77777777" w:rsidR="00D9066E" w:rsidRDefault="00D9066E" w:rsidP="00D9066E">
      <w:pPr>
        <w:rPr>
          <w:sz w:val="2"/>
          <w:szCs w:val="2"/>
        </w:rPr>
      </w:pPr>
    </w:p>
    <w:p w14:paraId="6619A952" w14:textId="77777777" w:rsidR="00235FD4" w:rsidRDefault="00235FD4" w:rsidP="00ED7CB5">
      <w:pPr>
        <w:rPr>
          <w:sz w:val="2"/>
          <w:szCs w:val="2"/>
        </w:rPr>
      </w:pPr>
    </w:p>
    <w:sectPr w:rsidR="00235FD4" w:rsidSect="00964E72">
      <w:footerReference w:type="default" r:id="rId28"/>
      <w:footnotePr>
        <w:numRestart w:val="eachSect"/>
      </w:footnotePr>
      <w:pgSz w:w="11907" w:h="16840" w:code="9"/>
      <w:pgMar w:top="2268" w:right="1276" w:bottom="1418" w:left="1418" w:header="851" w:footer="567" w:gutter="0"/>
      <w:cols w:space="720"/>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F7FC7C" w14:textId="77777777" w:rsidR="003F6646" w:rsidRDefault="003F6646">
      <w:r>
        <w:separator/>
      </w:r>
    </w:p>
  </w:endnote>
  <w:endnote w:type="continuationSeparator" w:id="0">
    <w:p w14:paraId="3EB2360C" w14:textId="77777777" w:rsidR="003F6646" w:rsidRDefault="003F6646">
      <w:r>
        <w:continuationSeparator/>
      </w:r>
    </w:p>
  </w:endnote>
  <w:endnote w:type="continuationNotice" w:id="1">
    <w:p w14:paraId="328A420E" w14:textId="77777777" w:rsidR="003F6646" w:rsidRDefault="003F664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D06E3" w14:textId="77777777" w:rsidR="00AC1E5C" w:rsidRDefault="00AC1E5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07A05" w14:textId="5980DF8A" w:rsidR="0096673C" w:rsidRDefault="0096673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9A021" w14:textId="77777777" w:rsidR="00AC1E5C" w:rsidRDefault="00AC1E5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77268" w14:textId="2E6B3D61" w:rsidR="00F07540" w:rsidRPr="00F07540" w:rsidRDefault="00F07540" w:rsidP="0071171A">
    <w:pPr>
      <w:pStyle w:val="SDMFooter"/>
    </w:pPr>
    <w:r w:rsidRPr="00F306F1">
      <w:fldChar w:fldCharType="begin"/>
    </w:r>
    <w:r w:rsidRPr="00F306F1">
      <w:instrText xml:space="preserve"> PAGE </w:instrText>
    </w:r>
    <w:r w:rsidRPr="00F306F1">
      <w:fldChar w:fldCharType="separate"/>
    </w:r>
    <w:r>
      <w:t>2</w:t>
    </w:r>
    <w:r w:rsidRPr="00F306F1">
      <w:fldChar w:fldCharType="end"/>
    </w:r>
    <w:r w:rsidRPr="00F306F1">
      <w:t xml:space="preserve"> of </w:t>
    </w:r>
    <w:r>
      <w:fldChar w:fldCharType="begin"/>
    </w:r>
    <w:r>
      <w:instrText>NUMPAGES</w:instrText>
    </w:r>
    <w:r>
      <w:fldChar w:fldCharType="separate"/>
    </w:r>
    <w:r>
      <w:t>73</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BDAD4" w14:textId="3AEDA806" w:rsidR="000D1E11" w:rsidRPr="00F306F1" w:rsidRDefault="000D1E11">
    <w:pPr>
      <w:pStyle w:val="SDMFooter"/>
    </w:pPr>
    <w:r w:rsidRPr="00F306F1">
      <w:fldChar w:fldCharType="begin"/>
    </w:r>
    <w:r w:rsidRPr="00F306F1">
      <w:instrText xml:space="preserve"> PAGE </w:instrText>
    </w:r>
    <w:r w:rsidRPr="00F306F1">
      <w:fldChar w:fldCharType="separate"/>
    </w:r>
    <w:r w:rsidR="00C5445F">
      <w:t>4</w:t>
    </w:r>
    <w:r w:rsidRPr="00F306F1">
      <w:fldChar w:fldCharType="end"/>
    </w:r>
    <w:r w:rsidRPr="00F306F1">
      <w:t xml:space="preserve"> of </w:t>
    </w:r>
    <w:r>
      <w:fldChar w:fldCharType="begin"/>
    </w:r>
    <w:r>
      <w:instrText>NUMPAGES</w:instrText>
    </w:r>
    <w:r>
      <w:fldChar w:fldCharType="separate"/>
    </w:r>
    <w:r w:rsidR="00C5445F">
      <w:t>11</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8EE55" w14:textId="322CF752" w:rsidR="00EE1108" w:rsidRPr="00F306F1" w:rsidRDefault="00EE1108">
    <w:pPr>
      <w:pStyle w:val="SDMFooter"/>
    </w:pPr>
    <w:r w:rsidRPr="00F306F1">
      <w:fldChar w:fldCharType="begin"/>
    </w:r>
    <w:r w:rsidRPr="00F306F1">
      <w:instrText xml:space="preserve"> PAGE </w:instrText>
    </w:r>
    <w:r w:rsidRPr="00F306F1">
      <w:fldChar w:fldCharType="separate"/>
    </w:r>
    <w:r>
      <w:t>4</w:t>
    </w:r>
    <w:r w:rsidRPr="00F306F1">
      <w:fldChar w:fldCharType="end"/>
    </w:r>
    <w:r w:rsidRPr="00F306F1">
      <w:t xml:space="preserve"> of </w:t>
    </w:r>
    <w:r>
      <w:fldChar w:fldCharType="begin"/>
    </w:r>
    <w:r>
      <w:instrText>NUMPAGES</w:instrText>
    </w:r>
    <w:r>
      <w:fldChar w:fldCharType="separate"/>
    </w:r>
    <w:r>
      <w:t>11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66B406" w14:textId="77777777" w:rsidR="003F6646" w:rsidRDefault="003F6646">
      <w:r>
        <w:separator/>
      </w:r>
    </w:p>
  </w:footnote>
  <w:footnote w:type="continuationSeparator" w:id="0">
    <w:p w14:paraId="6D55C283" w14:textId="77777777" w:rsidR="003F6646" w:rsidRDefault="003F6646">
      <w:r>
        <w:continuationSeparator/>
      </w:r>
    </w:p>
  </w:footnote>
  <w:footnote w:type="continuationNotice" w:id="1">
    <w:p w14:paraId="31B50C5D" w14:textId="77777777" w:rsidR="003F6646" w:rsidRDefault="003F6646"/>
  </w:footnote>
  <w:footnote w:id="2">
    <w:p w14:paraId="306E1A0A" w14:textId="3DDF0472" w:rsidR="009B336B" w:rsidRPr="00455DCA" w:rsidRDefault="009B336B">
      <w:pPr>
        <w:pStyle w:val="FootnoteText"/>
        <w:rPr>
          <w:rFonts w:eastAsia="MS Mincho"/>
          <w:lang w:val="en-US" w:eastAsia="ja-JP"/>
        </w:rPr>
      </w:pPr>
      <w:r>
        <w:rPr>
          <w:rStyle w:val="FootnoteReference"/>
        </w:rPr>
        <w:footnoteRef/>
      </w:r>
      <w:r>
        <w:rPr>
          <w:lang w:val="en-US"/>
        </w:rPr>
        <w:tab/>
      </w:r>
      <w:r w:rsidRPr="009B336B">
        <w:rPr>
          <w:lang w:val="en-US"/>
        </w:rPr>
        <w:t>Note that this version of the tool does not include procedures to account for the effects of contracts between actors in electricity markets, such as power purchase agreements between specific entities. The tool may be updated in the future to reflect such contracts based on evolving developments in relevant fora or under relevant regulatory frameworks.</w:t>
      </w:r>
      <w:r w:rsidR="00E563BD">
        <w:rPr>
          <w:rFonts w:eastAsia="MS Mincho" w:hint="eastAsia"/>
          <w:lang w:val="en-US" w:eastAsia="ja-JP"/>
        </w:rPr>
        <w:t xml:space="preserve"> </w:t>
      </w:r>
      <w:r w:rsidR="000300B5">
        <w:rPr>
          <w:rFonts w:eastAsia="MS Mincho" w:hint="eastAsia"/>
          <w:lang w:val="en-US" w:eastAsia="ja-JP"/>
        </w:rPr>
        <w:t>Further note that t</w:t>
      </w:r>
      <w:r w:rsidR="00E563BD" w:rsidRPr="00E563BD">
        <w:rPr>
          <w:rFonts w:eastAsia="MS Mincho"/>
          <w:lang w:val="en-US" w:eastAsia="ja-JP"/>
        </w:rPr>
        <w:t xml:space="preserve">he tool currently does not include provisions for integrating off-grid power plants in the calculation of the emission factor for the electricity system and </w:t>
      </w:r>
      <w:r w:rsidR="000300B5">
        <w:rPr>
          <w:rFonts w:eastAsia="MS Mincho" w:hint="eastAsia"/>
          <w:lang w:val="en-US" w:eastAsia="ja-JP"/>
        </w:rPr>
        <w:t xml:space="preserve">that </w:t>
      </w:r>
      <w:r w:rsidR="00E563BD" w:rsidRPr="00E563BD">
        <w:rPr>
          <w:rFonts w:eastAsia="MS Mincho"/>
          <w:lang w:val="en-US" w:eastAsia="ja-JP"/>
        </w:rPr>
        <w:t xml:space="preserve">this issue </w:t>
      </w:r>
      <w:r w:rsidR="000B23D5">
        <w:rPr>
          <w:rFonts w:eastAsia="MS Mincho" w:hint="eastAsia"/>
          <w:lang w:val="en-US" w:eastAsia="ja-JP"/>
        </w:rPr>
        <w:t xml:space="preserve">may </w:t>
      </w:r>
      <w:r w:rsidR="00E563BD" w:rsidRPr="00E563BD">
        <w:rPr>
          <w:rFonts w:eastAsia="MS Mincho"/>
          <w:lang w:val="en-US" w:eastAsia="ja-JP"/>
        </w:rPr>
        <w:t>be addressed in future revisions to this methodological tool.</w:t>
      </w:r>
    </w:p>
  </w:footnote>
  <w:footnote w:id="3">
    <w:p w14:paraId="5257A4AE" w14:textId="0F284F7D" w:rsidR="009B336B" w:rsidRDefault="009B336B">
      <w:pPr>
        <w:pStyle w:val="FootnoteText"/>
      </w:pPr>
      <w:r>
        <w:rPr>
          <w:rStyle w:val="FootnoteReference"/>
        </w:rPr>
        <w:footnoteRef/>
      </w:r>
      <w:r>
        <w:rPr>
          <w:lang w:val="en-US"/>
        </w:rPr>
        <w:tab/>
      </w:r>
      <w:r w:rsidR="7CA60D72" w:rsidRPr="009B336B">
        <w:rPr>
          <w:lang w:val="en-US"/>
        </w:rPr>
        <w:t xml:space="preserve">See </w:t>
      </w:r>
      <w:hyperlink r:id="rId1">
        <w:r w:rsidR="7CA60D72" w:rsidRPr="7CA60D72">
          <w:rPr>
            <w:rStyle w:val="Hyperlink"/>
            <w:lang w:val="en-US"/>
          </w:rPr>
          <w:t>https://unfccc.int/sites/default/files/resource/A6.4-PROC-METH-001.pdf</w:t>
        </w:r>
      </w:hyperlink>
      <w:r w:rsidR="7CA60D72">
        <w:rPr>
          <w:lang w:val="en-US"/>
        </w:rPr>
        <w:t>.</w:t>
      </w:r>
    </w:p>
  </w:footnote>
  <w:footnote w:id="4">
    <w:p w14:paraId="71740019" w14:textId="3838E70F" w:rsidR="009B336B" w:rsidRDefault="009B336B">
      <w:pPr>
        <w:pStyle w:val="FootnoteText"/>
      </w:pPr>
      <w:r>
        <w:rPr>
          <w:rStyle w:val="FootnoteReference"/>
        </w:rPr>
        <w:footnoteRef/>
      </w:r>
      <w:r>
        <w:rPr>
          <w:lang w:val="en-US"/>
        </w:rPr>
        <w:tab/>
      </w:r>
      <w:r w:rsidRPr="009B336B">
        <w:rPr>
          <w:lang w:val="en-US"/>
        </w:rPr>
        <w:t>For example, this may apply to a facility that purchases electricity from a specific wind power plant through a dedicated electricity line and therefore draws a high load from the electricity system during periods of low wind power availability.</w:t>
      </w:r>
    </w:p>
  </w:footnote>
  <w:footnote w:id="5">
    <w:p w14:paraId="24BFF0E0" w14:textId="1BB04476" w:rsidR="00D55ADA" w:rsidRDefault="00D55ADA">
      <w:pPr>
        <w:pStyle w:val="FootnoteText"/>
      </w:pPr>
      <w:r>
        <w:rPr>
          <w:rStyle w:val="FootnoteReference"/>
        </w:rPr>
        <w:footnoteRef/>
      </w:r>
      <w:r w:rsidR="00F74E46">
        <w:tab/>
      </w:r>
      <w:r w:rsidRPr="00D23AC8">
        <w:t xml:space="preserve">For example, </w:t>
      </w:r>
      <w:r w:rsidR="00F20868">
        <w:t xml:space="preserve">in the case of </w:t>
      </w:r>
      <w:r w:rsidR="00325D81">
        <w:t xml:space="preserve">a </w:t>
      </w:r>
      <w:r w:rsidR="000B756B">
        <w:t>landfill gas utilization project, one electricity generation source </w:t>
      </w:r>
      <w:r w:rsidR="000B756B" w:rsidRPr="002E3B23">
        <w:rPr>
          <w:i/>
          <w:iCs/>
        </w:rPr>
        <w:t>s</w:t>
      </w:r>
      <w:r w:rsidR="000B756B">
        <w:t xml:space="preserve"> </w:t>
      </w:r>
      <w:r w:rsidR="00594203">
        <w:t>may</w:t>
      </w:r>
      <w:r w:rsidR="00A45B63">
        <w:t xml:space="preserve"> </w:t>
      </w:r>
      <w:r w:rsidR="003B2BA2">
        <w:t xml:space="preserve">be </w:t>
      </w:r>
      <w:r w:rsidR="00A45B63">
        <w:t xml:space="preserve">the </w:t>
      </w:r>
      <w:r w:rsidR="006C0C87">
        <w:t>power genera</w:t>
      </w:r>
      <w:r w:rsidR="00145CA0">
        <w:t>tion</w:t>
      </w:r>
      <w:r w:rsidR="00266AF0">
        <w:t xml:space="preserve"> equipment utilizing the </w:t>
      </w:r>
      <w:r w:rsidR="00594203">
        <w:t xml:space="preserve">landfill gas, while electricity consumption sources may include </w:t>
      </w:r>
      <w:r w:rsidR="002876BB">
        <w:t xml:space="preserve">equipment </w:t>
      </w:r>
      <w:r w:rsidR="003B2BA2">
        <w:t xml:space="preserve">used </w:t>
      </w:r>
      <w:r w:rsidR="002876BB">
        <w:t>to operate the landfill gas capture system and other auxiliary equipment.</w:t>
      </w:r>
    </w:p>
  </w:footnote>
  <w:footnote w:id="6">
    <w:p w14:paraId="2AD5DC4E" w14:textId="39D87F49" w:rsidR="009B336B" w:rsidRDefault="009B336B">
      <w:pPr>
        <w:pStyle w:val="FootnoteText"/>
      </w:pPr>
      <w:r>
        <w:rPr>
          <w:rStyle w:val="FootnoteReference"/>
        </w:rPr>
        <w:footnoteRef/>
      </w:r>
      <w:r>
        <w:rPr>
          <w:lang w:val="en-US"/>
        </w:rPr>
        <w:tab/>
      </w:r>
      <w:r w:rsidRPr="00633A80">
        <w:rPr>
          <w:lang w:val="en-US"/>
        </w:rPr>
        <w:t xml:space="preserve">See </w:t>
      </w:r>
      <w:hyperlink r:id="rId2" w:history="1">
        <w:r w:rsidRPr="00633A80">
          <w:rPr>
            <w:rStyle w:val="Hyperlink"/>
            <w:lang w:val="en-US"/>
          </w:rPr>
          <w:t>https://www.ipcc-nggip.iges.or.jp/public/2019rf/index.html</w:t>
        </w:r>
      </w:hyperlink>
      <w:r w:rsidRPr="00CB0928">
        <w:rPr>
          <w:rStyle w:val="Hyperlink"/>
          <w:u w:val="none"/>
          <w:lang w:val="en-US"/>
        </w:rPr>
        <w:t>.</w:t>
      </w:r>
    </w:p>
  </w:footnote>
  <w:footnote w:id="7">
    <w:p w14:paraId="5419E7CD" w14:textId="7BF12A32" w:rsidR="009B336B" w:rsidRDefault="009B336B">
      <w:pPr>
        <w:pStyle w:val="FootnoteText"/>
      </w:pPr>
      <w:r>
        <w:rPr>
          <w:rStyle w:val="FootnoteReference"/>
        </w:rPr>
        <w:footnoteRef/>
      </w:r>
      <w:r>
        <w:rPr>
          <w:lang w:val="en-US"/>
        </w:rPr>
        <w:tab/>
      </w:r>
      <w:r w:rsidRPr="009B336B">
        <w:rPr>
          <w:lang w:val="en-US"/>
        </w:rPr>
        <w:t xml:space="preserve">See </w:t>
      </w:r>
      <w:hyperlink r:id="rId3" w:history="1">
        <w:r w:rsidRPr="00CE3995">
          <w:rPr>
            <w:rStyle w:val="Hyperlink"/>
            <w:lang w:val="en-US"/>
          </w:rPr>
          <w:t>https://unfccc.int/sites/default/files/resource/A6.4-STAN-METH-005.pdf</w:t>
        </w:r>
      </w:hyperlink>
      <w:r w:rsidRPr="009B336B">
        <w:rPr>
          <w:lang w:val="en-US"/>
        </w:rPr>
        <w:t>.</w:t>
      </w:r>
    </w:p>
  </w:footnote>
  <w:footnote w:id="8">
    <w:p w14:paraId="69C90B19" w14:textId="2EC48773" w:rsidR="009B336B" w:rsidRDefault="009B336B">
      <w:pPr>
        <w:pStyle w:val="FootnoteText"/>
      </w:pPr>
      <w:r>
        <w:rPr>
          <w:rStyle w:val="FootnoteReference"/>
        </w:rPr>
        <w:footnoteRef/>
      </w:r>
      <w:r>
        <w:rPr>
          <w:lang w:val="en-US"/>
        </w:rPr>
        <w:tab/>
      </w:r>
      <w:r w:rsidRPr="009B336B">
        <w:rPr>
          <w:lang w:val="en-US"/>
        </w:rPr>
        <w:t xml:space="preserve">For example, where regional cross-boundary dispatch centres are required to comply with dispatch orders of a national dispatch centre, the area controlled by the national dispatch centre shall be used to delineate </w:t>
      </w:r>
      <w:r w:rsidRPr="00132939">
        <w:rPr>
          <w:lang w:val="en-US"/>
        </w:rPr>
        <w:t>the project electricity system</w:t>
      </w:r>
      <w:r w:rsidRPr="009B336B">
        <w:rPr>
          <w:lang w:val="en-US"/>
        </w:rPr>
        <w:t>.</w:t>
      </w:r>
    </w:p>
  </w:footnote>
  <w:footnote w:id="9">
    <w:p w14:paraId="7388DE4A" w14:textId="607F673D" w:rsidR="005637CA" w:rsidRDefault="005637CA">
      <w:pPr>
        <w:pStyle w:val="FootnoteText"/>
      </w:pPr>
      <w:r>
        <w:rPr>
          <w:rStyle w:val="FootnoteReference"/>
        </w:rPr>
        <w:footnoteRef/>
      </w:r>
      <w:r w:rsidR="004B4453">
        <w:tab/>
      </w:r>
      <w:r w:rsidR="12F45459" w:rsidRPr="005637CA">
        <w:t>For example, if two transmission lines are operated between two independent dispatch centres and each has a maximum load capacity of 100</w:t>
      </w:r>
      <w:r w:rsidR="00C178B6">
        <w:t> </w:t>
      </w:r>
      <w:r w:rsidR="12F45459" w:rsidRPr="005637CA">
        <w:t>MW</w:t>
      </w:r>
      <w:r w:rsidR="12F45459">
        <w:t>, then c</w:t>
      </w:r>
      <w:r w:rsidR="12F45459" w:rsidRPr="005637CA">
        <w:t xml:space="preserve">ount the number of hours during which the total operating capacity of these two lines is lower than 150 MW. If the number of hours </w:t>
      </w:r>
      <w:r w:rsidR="12F45459">
        <w:t>during which the total operating capacity is lower than 150</w:t>
      </w:r>
      <w:r w:rsidR="00C178B6">
        <w:t> </w:t>
      </w:r>
      <w:r w:rsidR="12F45459">
        <w:t xml:space="preserve">MW </w:t>
      </w:r>
      <w:r w:rsidR="12F45459" w:rsidRPr="005637CA">
        <w:t xml:space="preserve">exceeds 7884 </w:t>
      </w:r>
      <w:r w:rsidR="12F45459">
        <w:t>in a non-leap year</w:t>
      </w:r>
      <w:r w:rsidR="12F45459" w:rsidRPr="005637CA">
        <w:t xml:space="preserve"> and 7902</w:t>
      </w:r>
      <w:r w:rsidR="12F45459">
        <w:t xml:space="preserve"> in </w:t>
      </w:r>
      <w:r w:rsidR="12F45459" w:rsidRPr="005637CA">
        <w:t xml:space="preserve">a leap year, it shall be considered that </w:t>
      </w:r>
      <w:r w:rsidR="12F45459" w:rsidRPr="005637CA" w:rsidDel="00493FC8">
        <w:t xml:space="preserve">no </w:t>
      </w:r>
      <w:r w:rsidR="12F45459" w:rsidRPr="005637CA">
        <w:t>transmission constraints exist between the two independent dispatch centres in that year</w:t>
      </w:r>
      <w:r w:rsidR="12F45459">
        <w:t>.</w:t>
      </w:r>
    </w:p>
  </w:footnote>
  <w:footnote w:id="10">
    <w:p w14:paraId="643F5A4B" w14:textId="1D4875AB" w:rsidR="00B80A98" w:rsidRPr="00780E96" w:rsidRDefault="00B80A98">
      <w:pPr>
        <w:pStyle w:val="FootnoteText"/>
      </w:pPr>
      <w:r>
        <w:rPr>
          <w:rStyle w:val="FootnoteReference"/>
        </w:rPr>
        <w:footnoteRef/>
      </w:r>
      <w:r w:rsidR="00EB78E5">
        <w:tab/>
      </w:r>
      <w:r w:rsidR="321339B7" w:rsidRPr="1BC29F8F">
        <w:rPr>
          <w:rFonts w:eastAsia="Arial"/>
        </w:rPr>
        <w:t xml:space="preserve">For </w:t>
      </w:r>
      <w:r w:rsidR="321339B7">
        <w:rPr>
          <w:rFonts w:eastAsia="Arial"/>
        </w:rPr>
        <w:t>example, in the case of</w:t>
      </w:r>
      <w:r w:rsidR="321339B7" w:rsidRPr="1BC29F8F">
        <w:rPr>
          <w:rFonts w:eastAsia="Arial"/>
        </w:rPr>
        <w:t xml:space="preserve"> a grid-connected landfill gas </w:t>
      </w:r>
      <w:r w:rsidR="321339B7" w:rsidRPr="0027656B">
        <w:rPr>
          <w:rFonts w:eastAsia="Arial"/>
        </w:rPr>
        <w:t>recovery project</w:t>
      </w:r>
      <w:r w:rsidR="000C3886" w:rsidRPr="0027656B">
        <w:rPr>
          <w:rFonts w:eastAsia="MS Mincho"/>
          <w:lang w:eastAsia="ja-JP"/>
        </w:rPr>
        <w:t>,</w:t>
      </w:r>
      <w:r w:rsidR="321339B7" w:rsidRPr="0027656B">
        <w:rPr>
          <w:rFonts w:eastAsia="Arial"/>
        </w:rPr>
        <w:t xml:space="preserve"> activity participants may choose between two approaches to determine the applicable case: (1) Activity participants</w:t>
      </w:r>
      <w:r w:rsidR="321339B7" w:rsidRPr="1BC29F8F">
        <w:rPr>
          <w:rFonts w:eastAsia="Arial"/>
        </w:rPr>
        <w:t xml:space="preserve"> may calculate the hourly net electricity </w:t>
      </w:r>
      <w:r w:rsidR="321339B7">
        <w:rPr>
          <w:rFonts w:eastAsia="Arial"/>
        </w:rPr>
        <w:t>supplied to or consumed from</w:t>
      </w:r>
      <w:r w:rsidR="321339B7" w:rsidRPr="1BC29F8F">
        <w:rPr>
          <w:rFonts w:eastAsia="Arial"/>
        </w:rPr>
        <w:t xml:space="preserve"> </w:t>
      </w:r>
      <w:r w:rsidR="321339B7" w:rsidRPr="00780E96">
        <w:rPr>
          <w:rFonts w:eastAsia="Arial"/>
        </w:rPr>
        <w:t xml:space="preserve">the electricity system. If there is net consumption of electricity from the electricity system during </w:t>
      </w:r>
      <w:r w:rsidR="321339B7" w:rsidRPr="00780E96">
        <w:t>a given</w:t>
      </w:r>
      <w:r w:rsidR="321339B7" w:rsidRPr="00780E96">
        <w:rPr>
          <w:rFonts w:eastAsia="Arial"/>
        </w:rPr>
        <w:t xml:space="preserve"> hour, c</w:t>
      </w:r>
      <w:r w:rsidR="321339B7" w:rsidRPr="00780E96">
        <w:t>ase 1 applies. The emission factor for case 1 shall be applied to the net consumption for that hour to calculate</w:t>
      </w:r>
      <w:r w:rsidR="321339B7" w:rsidRPr="00780E96">
        <w:rPr>
          <w:rFonts w:eastAsia="Arial"/>
        </w:rPr>
        <w:t xml:space="preserve"> </w:t>
      </w:r>
      <w:r w:rsidR="001A3B87" w:rsidRPr="00780E96">
        <w:rPr>
          <w:rFonts w:eastAsia="Arial"/>
          <w:i/>
          <w:iCs/>
        </w:rPr>
        <w:t>AE</w:t>
      </w:r>
      <w:r w:rsidR="321339B7" w:rsidRPr="00780E96">
        <w:rPr>
          <w:rFonts w:eastAsia="Arial"/>
          <w:i/>
          <w:iCs/>
          <w:vertAlign w:val="subscript"/>
        </w:rPr>
        <w:t>EC,y</w:t>
      </w:r>
      <w:r w:rsidR="321339B7" w:rsidRPr="00780E96">
        <w:rPr>
          <w:rFonts w:eastAsia="Arial"/>
        </w:rPr>
        <w:t xml:space="preserve">. If there is a net supply of electricity to the electricity system during a given hour, </w:t>
      </w:r>
      <w:r w:rsidR="321339B7" w:rsidRPr="00780E96">
        <w:t>c</w:t>
      </w:r>
      <w:r w:rsidR="321339B7" w:rsidRPr="00780E96">
        <w:rPr>
          <w:rFonts w:eastAsia="Arial"/>
        </w:rPr>
        <w:t xml:space="preserve">ase 2 applies. The emission factor for case 2 shall be applied to the net generation for that hour to calculate </w:t>
      </w:r>
      <w:r w:rsidR="321339B7" w:rsidRPr="00780E96">
        <w:rPr>
          <w:rFonts w:eastAsia="Arial"/>
          <w:i/>
          <w:iCs/>
        </w:rPr>
        <w:t>BE</w:t>
      </w:r>
      <w:r w:rsidR="321339B7" w:rsidRPr="00780E96">
        <w:rPr>
          <w:rFonts w:eastAsia="Arial"/>
          <w:i/>
          <w:iCs/>
          <w:vertAlign w:val="subscript"/>
        </w:rPr>
        <w:t>EG,y</w:t>
      </w:r>
      <w:r w:rsidR="321339B7" w:rsidRPr="00780E96">
        <w:rPr>
          <w:rFonts w:eastAsia="Arial"/>
        </w:rPr>
        <w:t>. (2) Alternatively, activity participants may calculate the emissions separately for all electricity generation sources (e.g., the landfill gas generator) and for all electricity consumption sources (e.g., auxiliary consumption of the generator, flare, and lighting). The emission factor for case 1 shall be applied exclusively to the total electricity consumption to calculate</w:t>
      </w:r>
      <w:r w:rsidR="001A3B87" w:rsidRPr="00780E96">
        <w:rPr>
          <w:rFonts w:eastAsia="Arial"/>
        </w:rPr>
        <w:t xml:space="preserve"> </w:t>
      </w:r>
      <w:r w:rsidR="001A3B87" w:rsidRPr="00780E96">
        <w:rPr>
          <w:rFonts w:eastAsia="Arial"/>
          <w:i/>
          <w:iCs/>
        </w:rPr>
        <w:t>AE</w:t>
      </w:r>
      <w:r w:rsidR="321339B7" w:rsidRPr="00780E96">
        <w:rPr>
          <w:rFonts w:eastAsia="Arial"/>
          <w:i/>
          <w:iCs/>
          <w:vertAlign w:val="subscript"/>
        </w:rPr>
        <w:t>EC,y</w:t>
      </w:r>
      <w:r w:rsidR="321339B7" w:rsidRPr="00780E96">
        <w:rPr>
          <w:rFonts w:eastAsia="Arial"/>
        </w:rPr>
        <w:t xml:space="preserve">. The emission factor for case 2 shall be applied exclusively to the total electricity generation to calculate </w:t>
      </w:r>
      <w:r w:rsidR="321339B7" w:rsidRPr="00780E96">
        <w:rPr>
          <w:rFonts w:eastAsia="Arial"/>
          <w:i/>
          <w:iCs/>
        </w:rPr>
        <w:t>BE</w:t>
      </w:r>
      <w:r w:rsidR="321339B7" w:rsidRPr="00780E96">
        <w:rPr>
          <w:rFonts w:eastAsia="Arial"/>
          <w:i/>
          <w:iCs/>
          <w:vertAlign w:val="subscript"/>
        </w:rPr>
        <w:t>EG,y</w:t>
      </w:r>
      <w:r w:rsidR="321339B7" w:rsidRPr="00780E96">
        <w:rPr>
          <w:rFonts w:eastAsia="Arial"/>
        </w:rPr>
        <w:t>.</w:t>
      </w:r>
    </w:p>
  </w:footnote>
  <w:footnote w:id="11">
    <w:p w14:paraId="5E57FF7F" w14:textId="22F3AF78" w:rsidR="00451CA7" w:rsidRDefault="00451CA7">
      <w:pPr>
        <w:pStyle w:val="FootnoteText"/>
      </w:pPr>
      <w:r>
        <w:rPr>
          <w:rStyle w:val="FootnoteReference"/>
        </w:rPr>
        <w:footnoteRef/>
      </w:r>
      <w:r w:rsidR="00F74E46">
        <w:tab/>
      </w:r>
      <w:r w:rsidRPr="00451CA7">
        <w:t xml:space="preserve">The values in the table were calculated based on the higher and the lower estimates of power plant </w:t>
      </w:r>
      <w:r w:rsidR="00C146F7">
        <w:t xml:space="preserve">efficiencies </w:t>
      </w:r>
      <w:r w:rsidRPr="00451CA7">
        <w:t>and CO</w:t>
      </w:r>
      <w:r w:rsidRPr="006720D6">
        <w:rPr>
          <w:vertAlign w:val="subscript"/>
        </w:rPr>
        <w:t>2</w:t>
      </w:r>
      <w:r w:rsidRPr="00451CA7">
        <w:t xml:space="preserve"> emission factors </w:t>
      </w:r>
      <w:r w:rsidR="00C146F7">
        <w:t>for</w:t>
      </w:r>
      <w:r w:rsidR="00C146F7" w:rsidRPr="00451CA7">
        <w:t xml:space="preserve"> </w:t>
      </w:r>
      <w:r w:rsidRPr="00451CA7">
        <w:t>the relevant fuel types. The CO</w:t>
      </w:r>
      <w:r w:rsidRPr="006720D6">
        <w:rPr>
          <w:vertAlign w:val="subscript"/>
        </w:rPr>
        <w:t>2</w:t>
      </w:r>
      <w:r w:rsidRPr="00451CA7">
        <w:t xml:space="preserve"> emission factors were taken from the 2006 IPCC Guidelines for </w:t>
      </w:r>
      <w:r w:rsidR="006C1A86">
        <w:t>N</w:t>
      </w:r>
      <w:r w:rsidR="006C1A86" w:rsidRPr="00451CA7">
        <w:t xml:space="preserve">ational </w:t>
      </w:r>
      <w:r w:rsidR="006C1A86">
        <w:t xml:space="preserve">Greenhouse </w:t>
      </w:r>
      <w:r w:rsidR="00950BB8">
        <w:t>I</w:t>
      </w:r>
      <w:r w:rsidRPr="00451CA7">
        <w:t xml:space="preserve">nventories. </w:t>
      </w:r>
      <w:r w:rsidR="00950BB8">
        <w:t>P</w:t>
      </w:r>
      <w:r w:rsidRPr="00451CA7">
        <w:t xml:space="preserve">ower plant </w:t>
      </w:r>
      <w:r w:rsidR="00950BB8">
        <w:t xml:space="preserve">efficiencies </w:t>
      </w:r>
      <w:r w:rsidRPr="00451CA7">
        <w:t>were collected from various sources, including manufacturer information for the upper end of the efficiency</w:t>
      </w:r>
      <w:r w:rsidR="00BE2F90">
        <w:t xml:space="preserve"> range</w:t>
      </w:r>
      <w:r w:rsidRPr="00451CA7">
        <w:t>.</w:t>
      </w:r>
    </w:p>
  </w:footnote>
  <w:footnote w:id="12">
    <w:p w14:paraId="3FA3AD75" w14:textId="0BAB284E" w:rsidR="00E94667" w:rsidRPr="00CB0025" w:rsidRDefault="00E94667" w:rsidP="00D20081">
      <w:pPr>
        <w:pStyle w:val="FootnoteText"/>
        <w:rPr>
          <w:highlight w:val="yellow"/>
        </w:rPr>
      </w:pPr>
      <w:r w:rsidRPr="008D686D">
        <w:rPr>
          <w:rStyle w:val="FootnoteReference"/>
        </w:rPr>
        <w:footnoteRef/>
      </w:r>
      <w:r w:rsidRPr="008D686D">
        <w:tab/>
        <w:t>T</w:t>
      </w:r>
      <w:r w:rsidR="00856005" w:rsidRPr="008D686D">
        <w:t xml:space="preserve">he </w:t>
      </w:r>
      <w:r w:rsidR="00D248BC" w:rsidRPr="008D686D">
        <w:t xml:space="preserve">MEP is currently working on the development of a methodological tool </w:t>
      </w:r>
      <w:r w:rsidR="008C1307" w:rsidRPr="00780E96">
        <w:t>for</w:t>
      </w:r>
      <w:r w:rsidR="00D20081" w:rsidRPr="00780E96">
        <w:t xml:space="preserve"> activity</w:t>
      </w:r>
      <w:r w:rsidR="005F58EA" w:rsidRPr="00780E96">
        <w:rPr>
          <w:rFonts w:eastAsia="MS Mincho" w:hint="eastAsia"/>
          <w:lang w:eastAsia="ja-JP"/>
        </w:rPr>
        <w:t xml:space="preserve"> </w:t>
      </w:r>
      <w:r w:rsidR="008C1307" w:rsidRPr="00780E96">
        <w:t>and</w:t>
      </w:r>
      <w:r w:rsidR="008C1307" w:rsidRPr="008D686D">
        <w:t xml:space="preserve"> leakage emissions from biomass</w:t>
      </w:r>
      <w:r w:rsidR="00E07DBC" w:rsidRPr="008D686D">
        <w:t xml:space="preserve">. This tool </w:t>
      </w:r>
      <w:r w:rsidR="00761633" w:rsidRPr="008D686D">
        <w:t>may</w:t>
      </w:r>
      <w:r w:rsidR="00E07DBC" w:rsidRPr="008D686D">
        <w:t xml:space="preserve"> be applied </w:t>
      </w:r>
      <w:r w:rsidR="00761633" w:rsidRPr="008D686D">
        <w:t xml:space="preserve">to determine these emissions </w:t>
      </w:r>
      <w:r w:rsidR="00E07DBC" w:rsidRPr="008D686D">
        <w:t>once it is adopted by the Supervisory Body.</w:t>
      </w:r>
    </w:p>
  </w:footnote>
  <w:footnote w:id="13">
    <w:p w14:paraId="101DA550" w14:textId="5C25434F" w:rsidR="00511431" w:rsidRDefault="00511431">
      <w:pPr>
        <w:pStyle w:val="FootnoteText"/>
      </w:pPr>
      <w:r>
        <w:rPr>
          <w:rStyle w:val="FootnoteReference"/>
        </w:rPr>
        <w:footnoteRef/>
      </w:r>
      <w:r>
        <w:rPr>
          <w:lang w:val="en-US"/>
        </w:rPr>
        <w:tab/>
      </w:r>
      <w:r w:rsidRPr="00511431">
        <w:rPr>
          <w:lang w:val="en-US"/>
        </w:rPr>
        <w:t>The MEP may consider further methods in the future. In addition, activity participants may also submit proposals for a revision of this tool to include other methods. For example, in some instances an electricity consumption source that depends on intermittent generation may only depend on one form of intermittent generation (e.g. only wind power). The effect of such an instance on the electricity system could be reflected through a more refined method in the future.</w:t>
      </w:r>
    </w:p>
  </w:footnote>
  <w:footnote w:id="14">
    <w:p w14:paraId="39EF83FB" w14:textId="62291CAD" w:rsidR="00511431" w:rsidRDefault="00511431">
      <w:pPr>
        <w:pStyle w:val="FootnoteText"/>
      </w:pPr>
      <w:r>
        <w:rPr>
          <w:rStyle w:val="FootnoteReference"/>
        </w:rPr>
        <w:footnoteRef/>
      </w:r>
      <w:r>
        <w:rPr>
          <w:lang w:val="en-US"/>
        </w:rPr>
        <w:tab/>
      </w:r>
      <w:r w:rsidRPr="00511431">
        <w:rPr>
          <w:lang w:val="en-US"/>
        </w:rPr>
        <w:t>The uncertainties in this table are based on expert judgements by the MEP. The uncertainty estimates for the simple OM and simple adjustment OM are informed by a comparison between the dispatch data OM emission factor and the simple OM emission factor for a limited set of data. The MEP aims to gather additional data and may update these values in a future revision of the tool. Under the conditions in which the average OM emission factor may be applied, its use is conservative. Therefore, the value for the uncertainty is set to zero.</w:t>
      </w:r>
    </w:p>
  </w:footnote>
  <w:footnote w:id="15">
    <w:p w14:paraId="6733D2C7" w14:textId="7CEE3C5F" w:rsidR="00511431" w:rsidRDefault="00511431">
      <w:pPr>
        <w:pStyle w:val="FootnoteText"/>
      </w:pPr>
      <w:r>
        <w:rPr>
          <w:rStyle w:val="FootnoteReference"/>
        </w:rPr>
        <w:footnoteRef/>
      </w:r>
      <w:r>
        <w:rPr>
          <w:lang w:val="en-US"/>
        </w:rPr>
        <w:tab/>
      </w:r>
      <w:r w:rsidRPr="00511431">
        <w:rPr>
          <w:lang w:val="en-US"/>
        </w:rPr>
        <w:t>For example, in some instances, data on the dispatch data OM emission factor may be available but the activity participants may not wish to use it since it would require them to account for electricity generation or consumption on an hourly basis.</w:t>
      </w:r>
    </w:p>
  </w:footnote>
  <w:footnote w:id="16">
    <w:p w14:paraId="3F2FF659" w14:textId="6A17AC21" w:rsidR="00EE5896" w:rsidRPr="005A4836" w:rsidRDefault="00EE5896">
      <w:pPr>
        <w:pStyle w:val="FootnoteText"/>
      </w:pPr>
      <w:r w:rsidRPr="005A4836">
        <w:rPr>
          <w:rStyle w:val="FootnoteReference"/>
        </w:rPr>
        <w:footnoteRef/>
      </w:r>
      <w:r w:rsidRPr="005A4836">
        <w:tab/>
        <w:t xml:space="preserve">The order is usually based on increasing marginal costs of electricity generation; however, other considerations may also play a role, such as the </w:t>
      </w:r>
      <w:r w:rsidR="007E5AD5" w:rsidRPr="005A4836">
        <w:t>availab</w:t>
      </w:r>
      <w:r w:rsidR="007E5AD5">
        <w:t>ility</w:t>
      </w:r>
      <w:r w:rsidR="007E5AD5" w:rsidRPr="005A4836">
        <w:t xml:space="preserve"> </w:t>
      </w:r>
      <w:r w:rsidRPr="005A4836">
        <w:t>of water for irrigation purposes in the case of hydro power plants.</w:t>
      </w:r>
    </w:p>
  </w:footnote>
  <w:footnote w:id="17">
    <w:p w14:paraId="25D582A2" w14:textId="0B107B27" w:rsidR="00F65332" w:rsidRDefault="00F65332">
      <w:pPr>
        <w:pStyle w:val="FootnoteText"/>
      </w:pPr>
      <w:r>
        <w:rPr>
          <w:rStyle w:val="FootnoteReference"/>
        </w:rPr>
        <w:footnoteRef/>
      </w:r>
      <w:r>
        <w:rPr>
          <w:lang w:val="en-US"/>
        </w:rPr>
        <w:tab/>
      </w:r>
      <w:r w:rsidRPr="00F65332">
        <w:rPr>
          <w:lang w:val="en-US"/>
        </w:rPr>
        <w:t>Such curtailment may occur, for example, due to interventions by the operator of the electricity system to ensure a safe operation of the system or due to renewable electricity producers limiting generation in response to market signals, such as negative electricity prices. In some countries, data on hours with negative electricity prices is available and may be used as a proxy for the hours in which renewable electricity generation is curtailed.</w:t>
      </w:r>
    </w:p>
  </w:footnote>
  <w:footnote w:id="18">
    <w:p w14:paraId="2FA6F3FB" w14:textId="5D747E4C" w:rsidR="00511431" w:rsidRDefault="00511431">
      <w:pPr>
        <w:pStyle w:val="FootnoteText"/>
      </w:pPr>
      <w:r>
        <w:rPr>
          <w:rStyle w:val="FootnoteReference"/>
        </w:rPr>
        <w:footnoteRef/>
      </w:r>
      <w:r>
        <w:rPr>
          <w:lang w:val="en-US"/>
        </w:rPr>
        <w:tab/>
      </w:r>
      <w:r w:rsidRPr="00511431">
        <w:rPr>
          <w:lang w:val="en-US"/>
        </w:rPr>
        <w:t>The value of 30</w:t>
      </w:r>
      <w:r w:rsidR="00A66575">
        <w:rPr>
          <w:lang w:val="en-US"/>
        </w:rPr>
        <w:t xml:space="preserve"> per cent</w:t>
      </w:r>
      <w:r w:rsidRPr="00511431">
        <w:rPr>
          <w:lang w:val="en-US"/>
        </w:rPr>
        <w:t xml:space="preserve"> was derived from an analysis of the share of renewable electricity generation and the number of hours in which electricity prices were negative or close to zero for several countries. It was found that with a share of renewable electricity generation of up to 30</w:t>
      </w:r>
      <w:r w:rsidR="00A66575">
        <w:rPr>
          <w:lang w:val="en-US"/>
        </w:rPr>
        <w:t xml:space="preserve"> per cent</w:t>
      </w:r>
      <w:r w:rsidRPr="00511431">
        <w:rPr>
          <w:lang w:val="en-US"/>
        </w:rPr>
        <w:t>, the number of hours with negative or close to zero electricity prices are commonly less than 100 in a calendar year.</w:t>
      </w:r>
    </w:p>
  </w:footnote>
  <w:footnote w:id="19">
    <w:p w14:paraId="2E0A942B" w14:textId="2CEDE1AC" w:rsidR="005A6D07" w:rsidRDefault="005A6D07">
      <w:pPr>
        <w:pStyle w:val="FootnoteText"/>
      </w:pPr>
      <w:r>
        <w:rPr>
          <w:rStyle w:val="FootnoteReference"/>
        </w:rPr>
        <w:footnoteRef/>
      </w:r>
      <w:r w:rsidR="00F74E46">
        <w:tab/>
      </w:r>
      <w:r w:rsidRPr="005A6D07">
        <w:t xml:space="preserve">For instance, this may include power generation curves or operational statistics for the </w:t>
      </w:r>
      <w:r w:rsidRPr="00CE0B46">
        <w:t>project electricity system</w:t>
      </w:r>
      <w:r w:rsidRPr="005A6D07">
        <w:t xml:space="preserve"> released by regulatory agencies or system operators.</w:t>
      </w:r>
    </w:p>
  </w:footnote>
  <w:footnote w:id="20">
    <w:p w14:paraId="66E2F54F" w14:textId="1F24DADA" w:rsidR="00604E4A" w:rsidRPr="00431B80" w:rsidRDefault="00604E4A">
      <w:pPr>
        <w:pStyle w:val="FootnoteText"/>
      </w:pPr>
      <w:r w:rsidRPr="00431B80">
        <w:rPr>
          <w:rStyle w:val="FootnoteReference"/>
        </w:rPr>
        <w:footnoteRef/>
      </w:r>
      <w:r w:rsidR="00F74E46">
        <w:tab/>
      </w:r>
      <w:r w:rsidRPr="00431B80">
        <w:t>For example, the emission factor for 2025 may be calculated based on data from 2023, the emission factor for 2026 based on data from 2024, and so on.</w:t>
      </w:r>
    </w:p>
  </w:footnote>
  <w:footnote w:id="21">
    <w:p w14:paraId="2BE9C0AD" w14:textId="12BF533D" w:rsidR="00921CE1" w:rsidRPr="00D75619" w:rsidRDefault="00921CE1">
      <w:pPr>
        <w:pStyle w:val="FootnoteText"/>
      </w:pPr>
      <w:r w:rsidRPr="00D75619">
        <w:rPr>
          <w:rStyle w:val="FootnoteReference"/>
        </w:rPr>
        <w:footnoteRef/>
      </w:r>
      <w:r w:rsidR="00F74E46">
        <w:tab/>
      </w:r>
      <w:r w:rsidRPr="00D75619">
        <w:t xml:space="preserve">For example, </w:t>
      </w:r>
      <w:r w:rsidR="00306C1A" w:rsidRPr="00D75619">
        <w:t>if</w:t>
      </w:r>
      <w:r w:rsidRPr="00D75619">
        <w:t xml:space="preserve"> the annual data required to calculate the emission factor for year</w:t>
      </w:r>
      <w:r w:rsidR="009C0775">
        <w:t> </w:t>
      </w:r>
      <w:r w:rsidRPr="00D75619">
        <w:t xml:space="preserve">y </w:t>
      </w:r>
      <w:r w:rsidR="001C47C3">
        <w:t>are</w:t>
      </w:r>
      <w:r w:rsidR="001C47C3" w:rsidRPr="00D75619">
        <w:t xml:space="preserve"> </w:t>
      </w:r>
      <w:r w:rsidRPr="00D75619">
        <w:t xml:space="preserve">usually available </w:t>
      </w:r>
      <w:r w:rsidR="00351326">
        <w:t>only more</w:t>
      </w:r>
      <w:r w:rsidR="00351326" w:rsidRPr="00D75619">
        <w:t xml:space="preserve"> </w:t>
      </w:r>
      <w:r w:rsidRPr="00D75619">
        <w:t>than six months after the end of year</w:t>
      </w:r>
      <w:r w:rsidR="00B97751">
        <w:t> </w:t>
      </w:r>
      <w:r w:rsidRPr="00583214">
        <w:rPr>
          <w:i/>
        </w:rPr>
        <w:t>y</w:t>
      </w:r>
      <w:r w:rsidRPr="00D75619">
        <w:t>, the historical year </w:t>
      </w:r>
      <w:r w:rsidRPr="00583214">
        <w:rPr>
          <w:i/>
        </w:rPr>
        <w:t xml:space="preserve">v </w:t>
      </w:r>
      <w:r w:rsidRPr="00D75619">
        <w:t xml:space="preserve">may correspond to </w:t>
      </w:r>
      <w:r w:rsidR="00306C1A" w:rsidRPr="00D75619">
        <w:t>year</w:t>
      </w:r>
      <w:r w:rsidR="00C178B6">
        <w:t> </w:t>
      </w:r>
      <w:r w:rsidR="00306C1A" w:rsidRPr="00583214">
        <w:rPr>
          <w:i/>
        </w:rPr>
        <w:t>y</w:t>
      </w:r>
      <w:r w:rsidR="00306C1A" w:rsidRPr="00D75619">
        <w:t xml:space="preserve">-1. </w:t>
      </w:r>
      <w:r w:rsidRPr="00D75619">
        <w:t xml:space="preserve">If the data </w:t>
      </w:r>
      <w:r w:rsidR="001E2EA1">
        <w:t>are</w:t>
      </w:r>
      <w:r w:rsidR="001E2EA1" w:rsidRPr="00D75619">
        <w:t xml:space="preserve"> </w:t>
      </w:r>
      <w:r w:rsidRPr="00D75619">
        <w:t xml:space="preserve">usually available </w:t>
      </w:r>
      <w:r w:rsidR="001E2EA1">
        <w:t>only</w:t>
      </w:r>
      <w:r w:rsidR="002F577C">
        <w:t xml:space="preserve"> </w:t>
      </w:r>
      <w:r w:rsidRPr="00D75619">
        <w:t>18 months after the end of year</w:t>
      </w:r>
      <w:r w:rsidR="00B97751">
        <w:t> </w:t>
      </w:r>
      <w:r w:rsidRPr="00583214">
        <w:rPr>
          <w:i/>
        </w:rPr>
        <w:t>y</w:t>
      </w:r>
      <w:r w:rsidRPr="00D75619">
        <w:t xml:space="preserve">, </w:t>
      </w:r>
      <w:r w:rsidR="00D75619" w:rsidRPr="00D75619">
        <w:t>the historical year </w:t>
      </w:r>
      <w:r w:rsidR="00D75619" w:rsidRPr="00D75619">
        <w:rPr>
          <w:i/>
          <w:iCs/>
        </w:rPr>
        <w:t>v</w:t>
      </w:r>
      <w:r w:rsidR="00D75619" w:rsidRPr="00D75619">
        <w:t xml:space="preserve"> may correspond to year</w:t>
      </w:r>
      <w:r w:rsidR="000F7CED">
        <w:t> </w:t>
      </w:r>
      <w:r w:rsidR="00D75619" w:rsidRPr="00D75619">
        <w:rPr>
          <w:i/>
          <w:iCs/>
        </w:rPr>
        <w:t>y</w:t>
      </w:r>
      <w:r w:rsidR="00D75619" w:rsidRPr="00D75619">
        <w:t>-2.</w:t>
      </w:r>
    </w:p>
  </w:footnote>
  <w:footnote w:id="22">
    <w:p w14:paraId="419172AE" w14:textId="23F7B4BF" w:rsidR="00BA1E18" w:rsidRPr="001A0905" w:rsidRDefault="00BA1E18">
      <w:pPr>
        <w:pStyle w:val="FootnoteText"/>
      </w:pPr>
      <w:r w:rsidRPr="001A0905">
        <w:rPr>
          <w:rStyle w:val="FootnoteReference"/>
        </w:rPr>
        <w:footnoteRef/>
      </w:r>
      <w:r w:rsidR="00F74E46">
        <w:tab/>
      </w:r>
      <w:r w:rsidR="00925BED" w:rsidRPr="001A0905">
        <w:t xml:space="preserve">This differentiation is </w:t>
      </w:r>
      <w:r w:rsidR="00A31CE6" w:rsidRPr="001A0905">
        <w:t>preliminary</w:t>
      </w:r>
      <w:r w:rsidR="00FA7551" w:rsidRPr="001A0905">
        <w:t xml:space="preserve">. Further work may be </w:t>
      </w:r>
      <w:r w:rsidR="000C751A">
        <w:t>undertaken</w:t>
      </w:r>
      <w:r w:rsidR="000C751A" w:rsidRPr="001A0905">
        <w:t xml:space="preserve"> </w:t>
      </w:r>
      <w:r w:rsidR="00925BED" w:rsidRPr="001A0905">
        <w:t xml:space="preserve">on this matter, pending the development of other </w:t>
      </w:r>
      <w:r w:rsidR="00990233">
        <w:t xml:space="preserve">methodological </w:t>
      </w:r>
      <w:r w:rsidR="00925BED" w:rsidRPr="001A0905">
        <w:t>tools</w:t>
      </w:r>
      <w:r w:rsidR="00342111" w:rsidRPr="001A0905">
        <w:t xml:space="preserve"> under the Article 6.4 mechanism.</w:t>
      </w:r>
      <w:r w:rsidR="001658D2" w:rsidRPr="001A0905">
        <w:t xml:space="preserve"> Biomass may </w:t>
      </w:r>
      <w:r w:rsidR="00C17593">
        <w:t>originate</w:t>
      </w:r>
      <w:r w:rsidR="00C17593" w:rsidRPr="001A0905">
        <w:t xml:space="preserve"> </w:t>
      </w:r>
      <w:r w:rsidR="001658D2" w:rsidRPr="001A0905">
        <w:t xml:space="preserve">from renewable or non-renewable resources. As a conservative </w:t>
      </w:r>
      <w:r w:rsidR="00A31CE6" w:rsidRPr="001A0905">
        <w:t xml:space="preserve">and simplified </w:t>
      </w:r>
      <w:r w:rsidR="001658D2" w:rsidRPr="001A0905">
        <w:t xml:space="preserve">approach, in this version of the </w:t>
      </w:r>
      <w:r w:rsidR="00F923A0">
        <w:t xml:space="preserve">methodological </w:t>
      </w:r>
      <w:r w:rsidR="001658D2" w:rsidRPr="001A0905">
        <w:t xml:space="preserve">tool biomass is considered </w:t>
      </w:r>
      <w:r w:rsidR="00FC0A43">
        <w:t>non-</w:t>
      </w:r>
      <w:r w:rsidR="001658D2" w:rsidRPr="001A0905">
        <w:t xml:space="preserve">renewable under </w:t>
      </w:r>
      <w:r w:rsidR="00F923A0" w:rsidRPr="00AC147D">
        <w:rPr>
          <w:b/>
        </w:rPr>
        <w:t>case </w:t>
      </w:r>
      <w:r w:rsidR="00FC0A43" w:rsidRPr="00AC147D">
        <w:rPr>
          <w:b/>
        </w:rPr>
        <w:t>1</w:t>
      </w:r>
      <w:r w:rsidR="00FC0A43">
        <w:t xml:space="preserve"> and </w:t>
      </w:r>
      <w:r w:rsidR="001658D2" w:rsidRPr="001A0905">
        <w:t xml:space="preserve">renewable under </w:t>
      </w:r>
      <w:r w:rsidR="005728BE" w:rsidRPr="00AC147D">
        <w:rPr>
          <w:b/>
        </w:rPr>
        <w:t>case </w:t>
      </w:r>
      <w:r w:rsidR="001658D2" w:rsidRPr="00AC147D">
        <w:rPr>
          <w:b/>
        </w:rPr>
        <w:t>2</w:t>
      </w:r>
      <w:r w:rsidR="001658D2" w:rsidRPr="001A0905">
        <w:t xml:space="preserve">. </w:t>
      </w:r>
      <w:r w:rsidR="00A31CE6" w:rsidRPr="001A0905">
        <w:t xml:space="preserve">Similarly, the emissions impact of power generation based on hydrogen depends on how the hydrogen is produced. As a conservative and simplified approach, hydrogen is treated as a </w:t>
      </w:r>
      <w:r w:rsidR="0018238D" w:rsidRPr="001A0905">
        <w:t xml:space="preserve">fuel associated with emissions under </w:t>
      </w:r>
      <w:r w:rsidR="00AE0E20" w:rsidRPr="00AC147D">
        <w:rPr>
          <w:b/>
        </w:rPr>
        <w:t>case </w:t>
      </w:r>
      <w:r w:rsidR="0018238D" w:rsidRPr="00AC147D">
        <w:rPr>
          <w:b/>
        </w:rPr>
        <w:t>1</w:t>
      </w:r>
      <w:r w:rsidR="0018238D">
        <w:t xml:space="preserve"> and </w:t>
      </w:r>
      <w:r w:rsidR="00A31CE6" w:rsidRPr="001A0905">
        <w:t xml:space="preserve">as a zero-emission fuel under </w:t>
      </w:r>
      <w:r w:rsidR="00AE0E20" w:rsidRPr="00AC147D">
        <w:rPr>
          <w:b/>
        </w:rPr>
        <w:t>case </w:t>
      </w:r>
      <w:r w:rsidR="00A31CE6" w:rsidRPr="00AC147D">
        <w:rPr>
          <w:b/>
        </w:rPr>
        <w:t>2</w:t>
      </w:r>
      <w:r w:rsidR="00A31CE6" w:rsidRPr="009C0C5F">
        <w:rPr>
          <w:bCs/>
        </w:rPr>
        <w:t>.</w:t>
      </w:r>
    </w:p>
  </w:footnote>
  <w:footnote w:id="23">
    <w:p w14:paraId="03E96225" w14:textId="50E39865" w:rsidR="00A66961" w:rsidRPr="00C86097" w:rsidRDefault="00A66961">
      <w:pPr>
        <w:pStyle w:val="FootnoteText"/>
      </w:pPr>
      <w:r w:rsidRPr="00C86097">
        <w:rPr>
          <w:rStyle w:val="FootnoteReference"/>
        </w:rPr>
        <w:footnoteRef/>
      </w:r>
      <w:r w:rsidR="00F74E46">
        <w:tab/>
      </w:r>
      <w:r w:rsidRPr="00C86097">
        <w:t xml:space="preserve">For example, the reference period may </w:t>
      </w:r>
      <w:r w:rsidR="00C038B7" w:rsidRPr="00C86097">
        <w:t>start on 1 January 2022</w:t>
      </w:r>
      <w:r w:rsidR="00282CC5" w:rsidRPr="00C86097">
        <w:t xml:space="preserve">. </w:t>
      </w:r>
      <w:r w:rsidR="00282CC5" w:rsidRPr="00780E96">
        <w:t>If a</w:t>
      </w:r>
      <w:r w:rsidR="00D24690" w:rsidRPr="00780E96">
        <w:t>n Article 6.4</w:t>
      </w:r>
      <w:r w:rsidR="00282CC5" w:rsidRPr="00780E96">
        <w:t xml:space="preserve"> project </w:t>
      </w:r>
      <w:r w:rsidR="00D24690" w:rsidRPr="00780E96">
        <w:t xml:space="preserve">or CP </w:t>
      </w:r>
      <w:r w:rsidR="00282CC5" w:rsidRPr="00780E96">
        <w:t>determines the emission factor for the year 2029, the most recent available data may be available for 2027</w:t>
      </w:r>
      <w:r w:rsidR="00282CC5" w:rsidRPr="00C86097">
        <w:t>. In this case,</w:t>
      </w:r>
      <w:r w:rsidR="00282CC5" w:rsidRPr="00C86097" w:rsidDel="008D13B6">
        <w:t xml:space="preserve"> </w:t>
      </w:r>
      <w:r w:rsidR="00282CC5" w:rsidRPr="00C86097">
        <w:t>period </w:t>
      </w:r>
      <w:r w:rsidR="00282CC5" w:rsidRPr="00D50C52">
        <w:rPr>
          <w:i/>
        </w:rPr>
        <w:t>t</w:t>
      </w:r>
      <w:r w:rsidR="00282CC5" w:rsidRPr="00C86097">
        <w:t xml:space="preserve"> corresponds to the </w:t>
      </w:r>
      <w:r w:rsidR="00C86097" w:rsidRPr="00C86097">
        <w:t>six-year period from 1 January 2022 to 31 December 20</w:t>
      </w:r>
      <w:r w:rsidR="00434C2D">
        <w:t>2</w:t>
      </w:r>
      <w:r w:rsidR="00C86097" w:rsidRPr="00C86097">
        <w:t>7. If a power unit </w:t>
      </w:r>
      <w:r w:rsidR="00C86097" w:rsidRPr="00D50C52">
        <w:rPr>
          <w:i/>
        </w:rPr>
        <w:t>p</w:t>
      </w:r>
      <w:r w:rsidR="00C86097" w:rsidRPr="00C86097">
        <w:t xml:space="preserve"> included in the BM calculation started operation on 1 July 2023, the electricity generation data </w:t>
      </w:r>
      <w:r w:rsidR="00A0331B">
        <w:t>for</w:t>
      </w:r>
      <w:r w:rsidR="00A0331B" w:rsidRPr="00C86097">
        <w:t xml:space="preserve"> </w:t>
      </w:r>
      <w:r w:rsidR="00C86097" w:rsidRPr="00C86097">
        <w:t>that power units shall cover the period from 1 July 2023 until 31 December 2027. If another power unit </w:t>
      </w:r>
      <w:r w:rsidR="00C86097" w:rsidRPr="00D50C52">
        <w:rPr>
          <w:i/>
        </w:rPr>
        <w:t>p</w:t>
      </w:r>
      <w:r w:rsidR="00C86097" w:rsidRPr="00C86097">
        <w:t xml:space="preserve"> included in </w:t>
      </w:r>
      <w:r w:rsidR="005B3348">
        <w:t xml:space="preserve">the </w:t>
      </w:r>
      <w:r w:rsidR="00C86097" w:rsidRPr="00C86097">
        <w:t>calculation started operation on 15 November 2024, the electricity generation data for</w:t>
      </w:r>
      <w:r w:rsidR="00AA71F3">
        <w:t xml:space="preserve"> </w:t>
      </w:r>
      <w:r w:rsidR="00C86097" w:rsidRPr="00C86097">
        <w:t>that power unit shall cover</w:t>
      </w:r>
      <w:r w:rsidR="00AA71F3">
        <w:t xml:space="preserve"> </w:t>
      </w:r>
      <w:r w:rsidR="00C86097" w:rsidRPr="00C86097">
        <w:t>the period from 15 November 2024 until 31 December 2027.</w:t>
      </w:r>
    </w:p>
  </w:footnote>
  <w:footnote w:id="24">
    <w:p w14:paraId="2B66CC41" w14:textId="28BB9ED9" w:rsidR="00D60CDA" w:rsidRPr="00D60CDA" w:rsidRDefault="00D60CDA">
      <w:pPr>
        <w:pStyle w:val="FootnoteText"/>
      </w:pPr>
      <w:r w:rsidRPr="00D60CDA">
        <w:rPr>
          <w:rStyle w:val="FootnoteReference"/>
        </w:rPr>
        <w:footnoteRef/>
      </w:r>
      <w:r w:rsidR="00F74E46">
        <w:tab/>
      </w:r>
      <w:r w:rsidRPr="00D60CDA">
        <w:t>Note that the BM emission factor is always calculated for a calendar year </w:t>
      </w:r>
      <w:r w:rsidRPr="0059556B">
        <w:rPr>
          <w:i/>
        </w:rPr>
        <w:t>y</w:t>
      </w:r>
      <w:r w:rsidRPr="00D60CDA">
        <w:t xml:space="preserve"> of the crediting period. </w:t>
      </w:r>
      <w:r w:rsidR="00A82AE3">
        <w:t>Where the OM emission factor is determined on an hourly basis, the annual value of the BM emission factor may be applied to each hour </w:t>
      </w:r>
      <w:r w:rsidR="00A82AE3" w:rsidRPr="0059556B">
        <w:rPr>
          <w:i/>
        </w:rPr>
        <w:t>h</w:t>
      </w:r>
      <w:r w:rsidR="00A82AE3">
        <w:t>.</w:t>
      </w:r>
    </w:p>
  </w:footnote>
  <w:footnote w:id="25">
    <w:p w14:paraId="7BC7730A" w14:textId="3C1F2669" w:rsidR="00511431" w:rsidRDefault="00511431">
      <w:pPr>
        <w:pStyle w:val="FootnoteText"/>
      </w:pPr>
      <w:r>
        <w:rPr>
          <w:rStyle w:val="FootnoteReference"/>
        </w:rPr>
        <w:footnoteRef/>
      </w:r>
      <w:r>
        <w:rPr>
          <w:lang w:val="en-US"/>
        </w:rPr>
        <w:tab/>
      </w:r>
      <w:r w:rsidRPr="00511431">
        <w:rPr>
          <w:lang w:val="en-US"/>
        </w:rPr>
        <w:t>Mechanism methodologies may, for example, specify more narrow ranges of the values for specific technologies or circumstances, such as different ranges for different types of renewable power generation technologies (e.g. wind power, solar PV, wind power, reflecting their likely) or different circumstances (e.g. availability of solar radiation or the share of renewable electricity generation).</w:t>
      </w:r>
    </w:p>
  </w:footnote>
  <w:footnote w:id="26">
    <w:p w14:paraId="12057059" w14:textId="65231107" w:rsidR="00511431" w:rsidRDefault="00511431">
      <w:pPr>
        <w:pStyle w:val="FootnoteText"/>
      </w:pPr>
      <w:r>
        <w:rPr>
          <w:rStyle w:val="FootnoteReference"/>
        </w:rPr>
        <w:footnoteRef/>
      </w:r>
      <w:r>
        <w:rPr>
          <w:lang w:val="en-US"/>
        </w:rPr>
        <w:tab/>
      </w:r>
      <w:r w:rsidR="006B2C4A" w:rsidRPr="006B2C4A">
        <w:rPr>
          <w:lang w:val="en-US"/>
        </w:rPr>
        <w:t>These values are based on an expert judgment by the MEP which is informed by an assessment of the ‘capacity value’ of different types of power units based on the literature. The ‘capacity value’ reflects contribution a generation resource makes to grid reliability. It is here assumed that non-intermittent power units have a higher capacity value and therefore affect the BM emission factor more strongly.</w:t>
      </w:r>
    </w:p>
  </w:footnote>
  <w:footnote w:id="27">
    <w:p w14:paraId="7034BF1F" w14:textId="21177703" w:rsidR="00DD734D" w:rsidRDefault="00DD734D">
      <w:pPr>
        <w:pStyle w:val="FootnoteText"/>
      </w:pPr>
      <w:r>
        <w:rPr>
          <w:rStyle w:val="FootnoteReference"/>
        </w:rPr>
        <w:footnoteRef/>
      </w:r>
      <w:r>
        <w:tab/>
      </w:r>
      <w:r w:rsidRPr="00042B20">
        <w:t>Calculated as 1.3 t</w:t>
      </w:r>
      <w:r w:rsidR="0045644E">
        <w:t> </w:t>
      </w:r>
      <w:r w:rsidRPr="00042B20">
        <w:t>CO</w:t>
      </w:r>
      <w:r w:rsidRPr="00042B20">
        <w:rPr>
          <w:vertAlign w:val="subscript"/>
        </w:rPr>
        <w:t>2</w:t>
      </w:r>
      <w:r w:rsidR="0022179C">
        <w:t> / </w:t>
      </w:r>
      <w:r w:rsidRPr="00042B20">
        <w:t>MWh</w:t>
      </w:r>
      <w:r>
        <w:t xml:space="preserve"> x 1</w:t>
      </w:r>
      <w:r w:rsidRPr="00042B20">
        <w:t>/3</w:t>
      </w:r>
      <w:r>
        <w:t>.</w:t>
      </w:r>
    </w:p>
  </w:footnote>
  <w:footnote w:id="28">
    <w:p w14:paraId="21B6B6E7" w14:textId="5DBA9E16" w:rsidR="00042B20" w:rsidRDefault="00042B20">
      <w:pPr>
        <w:pStyle w:val="FootnoteText"/>
      </w:pPr>
      <w:r>
        <w:rPr>
          <w:rStyle w:val="FootnoteReference"/>
        </w:rPr>
        <w:footnoteRef/>
      </w:r>
      <w:r w:rsidR="00F74E46">
        <w:tab/>
      </w:r>
      <w:r w:rsidRPr="00042B20">
        <w:t>Calculated as 1.3 t</w:t>
      </w:r>
      <w:r w:rsidR="0045644E">
        <w:t> </w:t>
      </w:r>
      <w:r w:rsidRPr="00042B20">
        <w:t>CO</w:t>
      </w:r>
      <w:r w:rsidRPr="00042B20">
        <w:rPr>
          <w:vertAlign w:val="subscript"/>
        </w:rPr>
        <w:t>2</w:t>
      </w:r>
      <w:r w:rsidR="00E12CA9">
        <w:rPr>
          <w:rFonts w:eastAsia="SimSun" w:cs="Arial"/>
          <w:lang w:eastAsia="zh-CN"/>
        </w:rPr>
        <w:t>eq / </w:t>
      </w:r>
      <w:r w:rsidRPr="00042B20">
        <w:t>MWh</w:t>
      </w:r>
      <w:r>
        <w:t xml:space="preserve"> x </w:t>
      </w:r>
      <w:r w:rsidRPr="00042B20">
        <w:t>2/3</w:t>
      </w:r>
      <w:r w:rsidR="00DE20B4">
        <w:t>.</w:t>
      </w:r>
    </w:p>
  </w:footnote>
  <w:footnote w:id="29">
    <w:p w14:paraId="28F71DED" w14:textId="671C04D1" w:rsidR="00042B20" w:rsidRDefault="00042B20">
      <w:pPr>
        <w:pStyle w:val="FootnoteText"/>
      </w:pPr>
      <w:r>
        <w:rPr>
          <w:rStyle w:val="FootnoteReference"/>
        </w:rPr>
        <w:footnoteRef/>
      </w:r>
      <w:r w:rsidR="00F74E46">
        <w:tab/>
      </w:r>
      <w:r w:rsidR="00E209AA">
        <w:t xml:space="preserve">This value represents a </w:t>
      </w:r>
      <w:r w:rsidRPr="00042B20">
        <w:t xml:space="preserve">conservative </w:t>
      </w:r>
      <w:r w:rsidR="001F1283">
        <w:t xml:space="preserve">(i.e. </w:t>
      </w:r>
      <w:r w:rsidRPr="00042B20">
        <w:t xml:space="preserve">higher </w:t>
      </w:r>
      <w:r w:rsidR="005E11F9">
        <w:t>end</w:t>
      </w:r>
      <w:r w:rsidR="00610865">
        <w:t>)</w:t>
      </w:r>
      <w:r w:rsidRPr="00042B20">
        <w:t xml:space="preserve"> value </w:t>
      </w:r>
      <w:r w:rsidR="00E209AA">
        <w:t>for</w:t>
      </w:r>
      <w:r w:rsidR="00E209AA" w:rsidRPr="00042B20">
        <w:t xml:space="preserve"> </w:t>
      </w:r>
      <w:r w:rsidRPr="00042B20">
        <w:t xml:space="preserve">the emission intensity of </w:t>
      </w:r>
      <w:r w:rsidR="001F1283">
        <w:t>coal</w:t>
      </w:r>
      <w:r w:rsidRPr="00042B20">
        <w:t xml:space="preserve"> power </w:t>
      </w:r>
      <w:r w:rsidR="001F1283">
        <w:t>generation</w:t>
      </w:r>
      <w:r w:rsidR="0021793D">
        <w:t xml:space="preserve"> (see </w:t>
      </w:r>
      <w:r w:rsidR="003C1CC0">
        <w:fldChar w:fldCharType="begin"/>
      </w:r>
      <w:r w:rsidR="003C1CC0">
        <w:instrText xml:space="preserve"> REF _Ref220950638 \h </w:instrText>
      </w:r>
      <w:r w:rsidR="003C1CC0">
        <w:fldChar w:fldCharType="separate"/>
      </w:r>
      <w:r w:rsidR="003B0135">
        <w:t>Table </w:t>
      </w:r>
      <w:r w:rsidR="003B0135">
        <w:rPr>
          <w:noProof/>
        </w:rPr>
        <w:t>3</w:t>
      </w:r>
      <w:r w:rsidR="003C1CC0">
        <w:fldChar w:fldCharType="end"/>
      </w:r>
      <w:r w:rsidR="0021793D" w:rsidRPr="004D2236">
        <w:t>)</w:t>
      </w:r>
      <w:r w:rsidRPr="004D2236">
        <w:t>.</w:t>
      </w:r>
    </w:p>
  </w:footnote>
  <w:footnote w:id="30">
    <w:p w14:paraId="21ED8CD0" w14:textId="72A171C7" w:rsidR="006B2C4A" w:rsidRDefault="006B2C4A">
      <w:pPr>
        <w:pStyle w:val="FootnoteText"/>
      </w:pPr>
      <w:r>
        <w:rPr>
          <w:rStyle w:val="FootnoteReference"/>
        </w:rPr>
        <w:footnoteRef/>
      </w:r>
      <w:r>
        <w:rPr>
          <w:lang w:val="en-US"/>
        </w:rPr>
        <w:tab/>
      </w:r>
      <w:r w:rsidRPr="006B2C4A">
        <w:rPr>
          <w:lang w:val="en-US"/>
        </w:rPr>
        <w:t>Where case</w:t>
      </w:r>
      <w:r w:rsidR="0024266E">
        <w:rPr>
          <w:lang w:val="en-US"/>
        </w:rPr>
        <w:t> </w:t>
      </w:r>
      <w:r w:rsidRPr="006B2C4A">
        <w:rPr>
          <w:lang w:val="en-US"/>
        </w:rPr>
        <w:t xml:space="preserve">1 applies and the electricity generation source is intermittent, or the electricity consumption source depends on intermittent generation, the default values in </w:t>
      </w:r>
      <w:r w:rsidRPr="005E148D">
        <w:rPr>
          <w:lang w:val="en-US"/>
        </w:rPr>
        <w:t>paragraph</w:t>
      </w:r>
      <w:r w:rsidR="00371E1E" w:rsidRPr="005E148D">
        <w:rPr>
          <w:lang w:val="en-US"/>
        </w:rPr>
        <w:t> </w:t>
      </w:r>
      <w:r w:rsidRPr="005E148D">
        <w:rPr>
          <w:cs/>
          <w:lang w:val="en-US"/>
        </w:rPr>
        <w:t>‎</w:t>
      </w:r>
      <w:r w:rsidRPr="005E148D">
        <w:rPr>
          <w:lang w:val="en-US"/>
        </w:rPr>
        <w:t>106</w:t>
      </w:r>
      <w:r w:rsidRPr="006B2C4A">
        <w:rPr>
          <w:lang w:val="en-US"/>
        </w:rPr>
        <w:t xml:space="preserve"> are not necessarily conservative. This is illustrated through the following example: an electricity system consists of 40</w:t>
      </w:r>
      <w:r w:rsidR="00A66575">
        <w:rPr>
          <w:lang w:val="en-US"/>
        </w:rPr>
        <w:t xml:space="preserve"> per cent</w:t>
      </w:r>
      <w:r w:rsidRPr="006B2C4A">
        <w:rPr>
          <w:lang w:val="en-US"/>
        </w:rPr>
        <w:t xml:space="preserve"> hydro power, 10</w:t>
      </w:r>
      <w:r w:rsidR="00A66575">
        <w:rPr>
          <w:lang w:val="en-US"/>
        </w:rPr>
        <w:t xml:space="preserve"> per cent</w:t>
      </w:r>
      <w:r w:rsidRPr="006B2C4A">
        <w:rPr>
          <w:lang w:val="en-US"/>
        </w:rPr>
        <w:t xml:space="preserve"> wind power, and 50</w:t>
      </w:r>
      <w:r w:rsidR="00A66575">
        <w:rPr>
          <w:lang w:val="en-US"/>
        </w:rPr>
        <w:t xml:space="preserve"> per cent</w:t>
      </w:r>
      <w:r w:rsidRPr="006B2C4A">
        <w:rPr>
          <w:lang w:val="en-US"/>
        </w:rPr>
        <w:t xml:space="preserve"> coal power generation. A hydrogen production plant mainly uses electricity from a dedicated wind power plant and complements this by electricity generation from the electricity system when wind power is not available. In this configuration it is likely that the electricity consumed mostly stems from coal power generation. However, the applicable emission factor of 0.87 t</w:t>
      </w:r>
      <w:r w:rsidR="0033417D">
        <w:rPr>
          <w:lang w:val="en-US"/>
        </w:rPr>
        <w:t> </w:t>
      </w:r>
      <w:r w:rsidRPr="006B2C4A">
        <w:rPr>
          <w:lang w:val="en-US"/>
        </w:rPr>
        <w:t>CO</w:t>
      </w:r>
      <w:r w:rsidRPr="009C19D1">
        <w:rPr>
          <w:vertAlign w:val="subscript"/>
          <w:lang w:val="en-US"/>
        </w:rPr>
        <w:t>2</w:t>
      </w:r>
      <w:r w:rsidRPr="006B2C4A">
        <w:rPr>
          <w:lang w:val="en-US"/>
        </w:rPr>
        <w:t>e</w:t>
      </w:r>
      <w:r w:rsidR="009C19D1">
        <w:rPr>
          <w:lang w:val="en-US"/>
        </w:rPr>
        <w:t>q</w:t>
      </w:r>
      <w:r w:rsidR="009C19D1">
        <w:rPr>
          <w:rFonts w:eastAsia="SimSun" w:cs="Arial"/>
          <w:lang w:eastAsia="zh-CN"/>
        </w:rPr>
        <w:t> / </w:t>
      </w:r>
      <w:r w:rsidRPr="006B2C4A">
        <w:rPr>
          <w:lang w:val="en-US"/>
        </w:rPr>
        <w:t>MWh is calculated based on the assumption that at least one third of the electricity consumed is from renewable or nuclear power plants and may not be conservative if all electricity is consumed from coal power plants. Therefore, a conservative value of 1.3 t</w:t>
      </w:r>
      <w:r w:rsidR="0033417D">
        <w:rPr>
          <w:lang w:val="en-US"/>
        </w:rPr>
        <w:t> </w:t>
      </w:r>
      <w:r w:rsidRPr="006B2C4A">
        <w:rPr>
          <w:lang w:val="en-US"/>
        </w:rPr>
        <w:t>CO</w:t>
      </w:r>
      <w:r w:rsidRPr="009C19D1">
        <w:rPr>
          <w:vertAlign w:val="subscript"/>
          <w:lang w:val="en-US"/>
        </w:rPr>
        <w:t>2</w:t>
      </w:r>
      <w:r w:rsidRPr="006B2C4A">
        <w:rPr>
          <w:lang w:val="en-US"/>
        </w:rPr>
        <w:t>e</w:t>
      </w:r>
      <w:r w:rsidR="009C19D1">
        <w:rPr>
          <w:lang w:val="en-US"/>
        </w:rPr>
        <w:t>q</w:t>
      </w:r>
      <w:r w:rsidR="009C19D1">
        <w:rPr>
          <w:rFonts w:eastAsia="SimSun" w:cs="Arial"/>
          <w:lang w:eastAsia="zh-CN"/>
        </w:rPr>
        <w:t> / </w:t>
      </w:r>
      <w:r w:rsidRPr="006B2C4A">
        <w:rPr>
          <w:lang w:val="en-US"/>
        </w:rPr>
        <w:t>MWh is used in this case under Option</w:t>
      </w:r>
      <w:r w:rsidR="00FE0895">
        <w:rPr>
          <w:lang w:val="en-US"/>
        </w:rPr>
        <w:t> </w:t>
      </w:r>
      <w:r w:rsidRPr="006B2C4A">
        <w:rPr>
          <w:lang w:val="en-US"/>
        </w:rPr>
        <w:t>B.</w:t>
      </w:r>
    </w:p>
  </w:footnote>
  <w:footnote w:id="31">
    <w:p w14:paraId="2B43C645" w14:textId="4D0FE129" w:rsidR="00FF1471" w:rsidRDefault="00FF1471">
      <w:pPr>
        <w:pStyle w:val="FootnoteText"/>
      </w:pPr>
      <w:r>
        <w:rPr>
          <w:rStyle w:val="FootnoteReference"/>
        </w:rPr>
        <w:footnoteRef/>
      </w:r>
      <w:r w:rsidR="00F74E46">
        <w:tab/>
      </w:r>
      <w:r>
        <w:t>Calculated as 0.3 t</w:t>
      </w:r>
      <w:r w:rsidR="00B23B70">
        <w:t> </w:t>
      </w:r>
      <w:r>
        <w:t>CO</w:t>
      </w:r>
      <w:r w:rsidRPr="00393D05">
        <w:rPr>
          <w:vertAlign w:val="subscript"/>
        </w:rPr>
        <w:t>2</w:t>
      </w:r>
      <w:r w:rsidR="00E12CA9">
        <w:rPr>
          <w:rFonts w:eastAsia="SimSun" w:cs="Arial"/>
          <w:lang w:eastAsia="zh-CN"/>
        </w:rPr>
        <w:t>eq / </w:t>
      </w:r>
      <w:r>
        <w:t>MWh</w:t>
      </w:r>
      <w:r w:rsidR="00393D05">
        <w:t xml:space="preserve"> x </w:t>
      </w:r>
      <w:r>
        <w:t>2/3</w:t>
      </w:r>
      <w:r w:rsidR="00EA115B">
        <w:t>.</w:t>
      </w:r>
      <w:r w:rsidR="002101C3">
        <w:t xml:space="preserve"> </w:t>
      </w:r>
      <w:r w:rsidR="0021793D">
        <w:t>The value of 0.3 t CO</w:t>
      </w:r>
      <w:r w:rsidR="0021793D" w:rsidRPr="00393D05">
        <w:rPr>
          <w:vertAlign w:val="subscript"/>
        </w:rPr>
        <w:t>2</w:t>
      </w:r>
      <w:r w:rsidR="00E12CA9">
        <w:rPr>
          <w:rFonts w:eastAsia="SimSun" w:cs="Arial"/>
          <w:lang w:eastAsia="zh-CN"/>
        </w:rPr>
        <w:t>eq / </w:t>
      </w:r>
      <w:r w:rsidR="0021793D">
        <w:t xml:space="preserve">MWh represents a conservative (i.e. lower end) value for the </w:t>
      </w:r>
      <w:r w:rsidR="0021793D" w:rsidRPr="000E02F0">
        <w:rPr>
          <w:lang w:val="en-US"/>
        </w:rPr>
        <w:t>CO</w:t>
      </w:r>
      <w:r w:rsidR="0021793D" w:rsidRPr="000E02F0">
        <w:rPr>
          <w:vertAlign w:val="subscript"/>
          <w:lang w:val="en-US"/>
        </w:rPr>
        <w:t>2</w:t>
      </w:r>
      <w:r w:rsidR="0021793D">
        <w:t xml:space="preserve"> emissions intensity of a natural gas power plant (see </w:t>
      </w:r>
      <w:r w:rsidR="005A4E54">
        <w:fldChar w:fldCharType="begin"/>
      </w:r>
      <w:r w:rsidR="005A4E54">
        <w:instrText xml:space="preserve"> REF _Ref220950638 \h </w:instrText>
      </w:r>
      <w:r w:rsidR="005A4E54">
        <w:fldChar w:fldCharType="separate"/>
      </w:r>
      <w:r w:rsidR="003B0135">
        <w:t>Table </w:t>
      </w:r>
      <w:r w:rsidR="003B0135">
        <w:rPr>
          <w:noProof/>
        </w:rPr>
        <w:t>3</w:t>
      </w:r>
      <w:r w:rsidR="005A4E54">
        <w:fldChar w:fldCharType="end"/>
      </w:r>
      <w:r w:rsidR="0021793D">
        <w:t>).</w:t>
      </w:r>
    </w:p>
  </w:footnote>
  <w:footnote w:id="32">
    <w:p w14:paraId="621A0F3E" w14:textId="2B98B71D" w:rsidR="00393D05" w:rsidRDefault="00393D05">
      <w:pPr>
        <w:pStyle w:val="FootnoteText"/>
      </w:pPr>
      <w:r>
        <w:rPr>
          <w:rStyle w:val="FootnoteReference"/>
        </w:rPr>
        <w:footnoteRef/>
      </w:r>
      <w:r w:rsidR="00F74E46">
        <w:tab/>
      </w:r>
      <w:r w:rsidRPr="00393D05">
        <w:t>Calculated as 0.3 t</w:t>
      </w:r>
      <w:r w:rsidR="00B23B70">
        <w:t> </w:t>
      </w:r>
      <w:r w:rsidRPr="00393D05">
        <w:t>CO</w:t>
      </w:r>
      <w:r w:rsidRPr="00393D05">
        <w:rPr>
          <w:vertAlign w:val="subscript"/>
        </w:rPr>
        <w:t>2</w:t>
      </w:r>
      <w:r w:rsidR="00E12CA9">
        <w:rPr>
          <w:rFonts w:eastAsia="SimSun" w:cs="Arial"/>
          <w:lang w:eastAsia="zh-CN"/>
        </w:rPr>
        <w:t>eq / </w:t>
      </w:r>
      <w:r w:rsidRPr="00393D05">
        <w:t>MWh</w:t>
      </w:r>
      <w:r>
        <w:t xml:space="preserve"> x </w:t>
      </w:r>
      <w:r w:rsidRPr="00393D05">
        <w:t>1/3</w:t>
      </w:r>
      <w:r w:rsidR="00EA115B">
        <w:t>.</w:t>
      </w:r>
    </w:p>
  </w:footnote>
  <w:footnote w:id="33">
    <w:p w14:paraId="1CC7B6FC" w14:textId="494D382A" w:rsidR="0028439B" w:rsidRDefault="0028439B">
      <w:pPr>
        <w:pStyle w:val="FootnoteText"/>
      </w:pPr>
      <w:r>
        <w:rPr>
          <w:rStyle w:val="FootnoteReference"/>
        </w:rPr>
        <w:footnoteRef/>
      </w:r>
      <w:r w:rsidR="00F74E46">
        <w:tab/>
      </w:r>
      <w:r w:rsidR="00AD4422">
        <w:t xml:space="preserve">This value is based on </w:t>
      </w:r>
      <w:r w:rsidRPr="0028439B">
        <w:t>upstream emissions from solar PV power plant</w:t>
      </w:r>
      <w:r w:rsidR="00F57037">
        <w:t>s as reported in</w:t>
      </w:r>
      <w:r w:rsidRPr="0028439B" w:rsidDel="00F57037">
        <w:t xml:space="preserve"> </w:t>
      </w:r>
      <w:r w:rsidRPr="0028439B">
        <w:rPr>
          <w:i/>
          <w:iCs/>
        </w:rPr>
        <w:t>Life Cycle Greenhouse Gas Emissions from Concentrating Solar Power</w:t>
      </w:r>
      <w:r>
        <w:rPr>
          <w:i/>
          <w:iCs/>
        </w:rPr>
        <w:t>,</w:t>
      </w:r>
      <w:r w:rsidRPr="0028439B">
        <w:t xml:space="preserve"> </w:t>
      </w:r>
      <w:r w:rsidR="00F57037">
        <w:t>published</w:t>
      </w:r>
      <w:r w:rsidRPr="0028439B">
        <w:t xml:space="preserve"> by </w:t>
      </w:r>
      <w:r w:rsidR="00810A60">
        <w:t>the National Renewable Energy Laboratory (</w:t>
      </w:r>
      <w:r w:rsidRPr="0028439B">
        <w:t>NREL</w:t>
      </w:r>
      <w:r w:rsidR="00810A60">
        <w:t>)</w:t>
      </w:r>
      <w:r w:rsidR="00EA115B">
        <w:t>.</w:t>
      </w:r>
    </w:p>
  </w:footnote>
  <w:footnote w:id="34">
    <w:p w14:paraId="207771D0" w14:textId="679BE036" w:rsidR="00B16C25" w:rsidRDefault="00B16C25">
      <w:pPr>
        <w:pStyle w:val="FootnoteText"/>
      </w:pPr>
      <w:r>
        <w:rPr>
          <w:rStyle w:val="FootnoteReference"/>
        </w:rPr>
        <w:footnoteRef/>
      </w:r>
      <w:r>
        <w:rPr>
          <w:lang w:val="en-US"/>
        </w:rPr>
        <w:tab/>
      </w:r>
      <w:r w:rsidRPr="00B16C25">
        <w:rPr>
          <w:lang w:val="en-US"/>
        </w:rPr>
        <w:t>Source: IEC 60038:2009 - IEC standard voltages</w:t>
      </w:r>
      <w:r>
        <w:rPr>
          <w:lang w:val="en-US"/>
        </w:rPr>
        <w:t>.</w:t>
      </w:r>
    </w:p>
  </w:footnote>
  <w:footnote w:id="35">
    <w:p w14:paraId="34C3A5E2" w14:textId="77777777" w:rsidR="00D9066E" w:rsidRDefault="00D9066E">
      <w:pPr>
        <w:pStyle w:val="FootnoteText"/>
      </w:pPr>
      <w:r>
        <w:rPr>
          <w:rStyle w:val="FootnoteReference"/>
        </w:rPr>
        <w:footnoteRef/>
      </w:r>
      <w:r>
        <w:tab/>
        <w:t>Conditions defined as 0ºC (273.15 K, 32ºF) and 1 atm (101.325 kN/m2, 101.325 kPa, 14.69 psia, 29.92 in Hg, 760 torr).</w:t>
      </w:r>
    </w:p>
  </w:footnote>
  <w:footnote w:id="36">
    <w:p w14:paraId="2AA499F9" w14:textId="40856B04" w:rsidR="00BB5C1D" w:rsidRDefault="00EC2B1A">
      <w:pPr>
        <w:pStyle w:val="FootnoteText"/>
      </w:pPr>
      <w:r>
        <w:rPr>
          <w:rStyle w:val="FootnoteReference"/>
        </w:rPr>
        <w:footnoteRef/>
      </w:r>
      <w:r w:rsidRPr="00BB5C1D">
        <w:rPr>
          <w:lang w:val="en-US"/>
        </w:rPr>
        <w:tab/>
        <w:t xml:space="preserve">In the case of electricity systems involving more than one country, an average value, weighted by electricity generation, from the relevant </w:t>
      </w:r>
      <w:r w:rsidR="00611399" w:rsidRPr="00BB5C1D">
        <w:rPr>
          <w:lang w:val="en-US"/>
        </w:rPr>
        <w:t>countries,</w:t>
      </w:r>
      <w:r w:rsidRPr="00BB5C1D">
        <w:rPr>
          <w:lang w:val="en-US"/>
        </w:rPr>
        <w:t xml:space="preserve"> shall be used instead of a country-specific value.</w:t>
      </w:r>
    </w:p>
  </w:footnote>
  <w:footnote w:id="37">
    <w:p w14:paraId="081245BE" w14:textId="48624399" w:rsidR="00EC2B1A" w:rsidRPr="00C178B6" w:rsidRDefault="00EC2B1A">
      <w:pPr>
        <w:pStyle w:val="FootnoteText"/>
        <w:rPr>
          <w:rFonts w:eastAsia="MS Mincho"/>
          <w:lang w:val="en-US" w:eastAsia="ja-JP"/>
        </w:rPr>
      </w:pPr>
      <w:r>
        <w:rPr>
          <w:rStyle w:val="FootnoteReference"/>
        </w:rPr>
        <w:footnoteRef/>
      </w:r>
      <w:r w:rsidRPr="00F9319A">
        <w:rPr>
          <w:lang w:val="en-US"/>
        </w:rPr>
        <w:tab/>
      </w:r>
      <w:r w:rsidR="6B6CAEC8" w:rsidRPr="00CB3FB8">
        <w:rPr>
          <w:rFonts w:eastAsia="MS Mincho"/>
          <w:lang w:eastAsia="ja-JP"/>
        </w:rPr>
        <w:t>Ember’s country-level electricity dataset</w:t>
      </w:r>
      <w:r w:rsidR="6B6CAEC8" w:rsidRPr="00F9319A">
        <w:rPr>
          <w:rFonts w:eastAsia="MS Mincho"/>
          <w:lang w:eastAsia="ja-JP"/>
        </w:rPr>
        <w:t xml:space="preserve"> </w:t>
      </w:r>
      <w:r w:rsidR="6B6CAEC8" w:rsidRPr="00F1546D">
        <w:rPr>
          <w:rFonts w:eastAsia="MS Mincho"/>
          <w:lang w:eastAsia="ja-JP"/>
        </w:rPr>
        <w:t>(a</w:t>
      </w:r>
      <w:r w:rsidR="6B6CAEC8" w:rsidRPr="00F1546D">
        <w:rPr>
          <w:rFonts w:eastAsia="MS Mincho"/>
          <w:lang w:val="en-US" w:eastAsia="ja-JP"/>
        </w:rPr>
        <w:t>nnual power sector CO</w:t>
      </w:r>
      <w:r w:rsidR="6B6CAEC8" w:rsidRPr="00F1546D">
        <w:rPr>
          <w:rFonts w:ascii="Cambria Math" w:eastAsia="MS Mincho" w:hAnsi="Cambria Math" w:cs="Cambria Math"/>
          <w:lang w:val="en-US" w:eastAsia="ja-JP"/>
        </w:rPr>
        <w:t>₂</w:t>
      </w:r>
      <w:r w:rsidR="6B6CAEC8" w:rsidRPr="00F1546D">
        <w:rPr>
          <w:rFonts w:eastAsia="MS Mincho"/>
          <w:lang w:val="en-US" w:eastAsia="ja-JP"/>
        </w:rPr>
        <w:t xml:space="preserve"> emissions, annual electricity generation by source, and annual capacity additions by technology</w:t>
      </w:r>
      <w:r w:rsidR="6B6CAEC8" w:rsidRPr="00F1546D">
        <w:rPr>
          <w:rFonts w:eastAsia="MS Mincho"/>
          <w:lang w:eastAsia="ja-JP"/>
        </w:rPr>
        <w:t>),</w:t>
      </w:r>
      <w:r w:rsidR="6B6CAEC8" w:rsidRPr="00F9319A">
        <w:rPr>
          <w:rFonts w:eastAsia="MS Mincho"/>
          <w:lang w:eastAsia="ja-JP"/>
        </w:rPr>
        <w:t xml:space="preserve"> downloaded directly from the Ember data visualizer (2024 release) was used for the analysis. </w:t>
      </w:r>
      <w:r w:rsidR="6B6CAEC8" w:rsidRPr="00F9319A">
        <w:rPr>
          <w:lang w:val="en-US"/>
        </w:rPr>
        <w:t xml:space="preserve">See </w:t>
      </w:r>
      <w:hyperlink r:id="rId4">
        <w:r w:rsidR="6B6CAEC8" w:rsidRPr="6B6CAEC8">
          <w:rPr>
            <w:rStyle w:val="Hyperlink"/>
            <w:lang w:val="en-US"/>
          </w:rPr>
          <w:t>https://ember-energy.org/data/</w:t>
        </w:r>
      </w:hyperlink>
      <w:r w:rsidR="6B6CAEC8" w:rsidRPr="00F9319A">
        <w:rPr>
          <w:lang w:val="en-US"/>
        </w:rPr>
        <w:t>.</w:t>
      </w:r>
    </w:p>
  </w:footnote>
  <w:footnote w:id="38">
    <w:p w14:paraId="3ED8E910" w14:textId="53EDBD2B" w:rsidR="00FE7104" w:rsidRDefault="00FE7104">
      <w:pPr>
        <w:pStyle w:val="FootnoteText"/>
      </w:pPr>
      <w:r>
        <w:rPr>
          <w:rStyle w:val="FootnoteReference"/>
        </w:rPr>
        <w:footnoteRef/>
      </w:r>
      <w:r w:rsidR="005E746A">
        <w:tab/>
      </w:r>
      <w:r w:rsidRPr="00BB5C1D">
        <w:t>The values contained in this table are calculated using a specific data set and methodological approach applicable only within the context of this tool. They do not constitute official factors, benchmarks, or standardized reference values and shall not be used or cited beyond the implementation of this methodological tool unless explicitly adopted through a separate decision of the Supervisory Body. Where permitted under this tool, proponents retain the option to apply the prescribed global default values instead of the country-specific values listed herein.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5CC6D" w14:textId="77777777" w:rsidR="00342FAF" w:rsidRDefault="00342FAF">
    <w:pPr>
      <w:pStyle w:val="Header"/>
    </w:pPr>
  </w:p>
  <w:p w14:paraId="66475837" w14:textId="77777777" w:rsidR="00342FAF" w:rsidRDefault="00342F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EE031" w14:textId="613CBE81" w:rsidR="00D70C47" w:rsidRPr="00042BCD" w:rsidRDefault="00F42D86" w:rsidP="00F74E46">
    <w:pPr>
      <w:pStyle w:val="SDMTiHead"/>
      <w:pBdr>
        <w:bottom w:val="single" w:sz="24" w:space="10" w:color="auto"/>
      </w:pBdr>
      <w:tabs>
        <w:tab w:val="clear" w:pos="4320"/>
        <w:tab w:val="clear" w:pos="8640"/>
      </w:tabs>
      <w:spacing w:after="240"/>
      <w:ind w:left="0" w:firstLine="0"/>
      <w:rPr>
        <w:szCs w:val="22"/>
      </w:rPr>
    </w:pPr>
    <w:r>
      <w:rPr>
        <w:lang w:val="de-DE"/>
      </w:rPr>
      <w:t>ARTICLE 6.4 MECHANISM</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00C91" w14:textId="77777777" w:rsidR="00AC1E5C" w:rsidRDefault="00AC1E5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2251A" w14:textId="7BE942A1" w:rsidR="00C74D24" w:rsidRPr="005A3A16" w:rsidRDefault="003F6646" w:rsidP="0047017F">
    <w:pPr>
      <w:pBdr>
        <w:bottom w:val="single" w:sz="4" w:space="10" w:color="auto"/>
      </w:pBdr>
      <w:tabs>
        <w:tab w:val="left" w:pos="3038"/>
        <w:tab w:val="right" w:pos="9356"/>
        <w:tab w:val="right" w:pos="14288"/>
      </w:tabs>
      <w:rPr>
        <w:rFonts w:eastAsia="MS Mincho" w:cs="Arial"/>
        <w:sz w:val="20"/>
        <w:szCs w:val="16"/>
      </w:rPr>
    </w:pPr>
    <w:sdt>
      <w:sdtPr>
        <w:rPr>
          <w:rFonts w:eastAsia="MS Mincho" w:cs="Arial"/>
          <w:sz w:val="20"/>
          <w:szCs w:val="16"/>
        </w:rPr>
        <w:id w:val="-1660845331"/>
        <w:docPartObj>
          <w:docPartGallery w:val="Watermarks"/>
          <w:docPartUnique/>
        </w:docPartObj>
      </w:sdtPr>
      <w:sdtEndPr/>
      <w:sdtContent/>
    </w:sdt>
    <w:r w:rsidR="00CA1B89" w:rsidRPr="00CA1B89">
      <w:rPr>
        <w:rFonts w:eastAsia="MS Mincho" w:cs="Arial"/>
        <w:sz w:val="20"/>
        <w:szCs w:val="16"/>
      </w:rPr>
      <w:t>A6.4-AMT-007</w:t>
    </w:r>
    <w:r w:rsidR="0047017F">
      <w:rPr>
        <w:rFonts w:eastAsia="MS Mincho" w:cs="Arial"/>
        <w:sz w:val="20"/>
        <w:szCs w:val="16"/>
      </w:rPr>
      <w:tab/>
    </w:r>
    <w:r w:rsidR="00C74D24" w:rsidRPr="005A3A16">
      <w:rPr>
        <w:rFonts w:eastAsia="MS Mincho" w:cs="Arial"/>
        <w:sz w:val="20"/>
        <w:szCs w:val="16"/>
      </w:rPr>
      <w:fldChar w:fldCharType="begin"/>
    </w:r>
    <w:r w:rsidR="00C74D24" w:rsidRPr="005A3A16">
      <w:rPr>
        <w:rFonts w:eastAsia="MS Mincho" w:cs="Arial"/>
        <w:sz w:val="20"/>
        <w:szCs w:val="16"/>
      </w:rPr>
      <w:instrText xml:space="preserve"> REF  SDMConfidentialMark \* Upper \h  \* MERGEFORMAT </w:instrText>
    </w:r>
    <w:r w:rsidR="00C74D24" w:rsidRPr="005A3A16">
      <w:rPr>
        <w:rFonts w:eastAsia="MS Mincho" w:cs="Arial"/>
        <w:sz w:val="20"/>
        <w:szCs w:val="16"/>
      </w:rPr>
    </w:r>
    <w:r w:rsidR="00C74D24" w:rsidRPr="005A3A16">
      <w:rPr>
        <w:rFonts w:eastAsia="MS Mincho" w:cs="Arial"/>
        <w:sz w:val="20"/>
        <w:szCs w:val="16"/>
      </w:rPr>
      <w:fldChar w:fldCharType="separate"/>
    </w:r>
    <w:sdt>
      <w:sdtPr>
        <w:rPr>
          <w:rFonts w:eastAsia="MS Mincho" w:cs="Arial"/>
          <w:sz w:val="20"/>
          <w:szCs w:val="16"/>
        </w:rPr>
        <w:alias w:val="SDMConfidentialMark"/>
        <w:tag w:val="SDMConfidentialMark"/>
        <w:id w:val="-1911069186"/>
        <w:lock w:val="sdtLocked"/>
        <w:placeholder>
          <w:docPart w:val="C27A5DEC7E7E46DCB4C1B74314711F86"/>
        </w:placeholder>
        <w:dropDownList>
          <w:listItem w:displayText="Confidential" w:value="Confidential"/>
          <w:listItem w:displayText=" " w:value="  "/>
        </w:dropDownList>
      </w:sdtPr>
      <w:sdtEndPr/>
      <w:sdtContent>
        <w:r w:rsidR="003B0135" w:rsidRPr="003B0135">
          <w:rPr>
            <w:rFonts w:eastAsia="MS Mincho" w:cs="Arial"/>
            <w:sz w:val="20"/>
            <w:szCs w:val="16"/>
          </w:rPr>
          <w:t xml:space="preserve"> </w:t>
        </w:r>
      </w:sdtContent>
    </w:sdt>
    <w:r w:rsidR="00C74D24" w:rsidRPr="005A3A16">
      <w:rPr>
        <w:rFonts w:eastAsia="MS Mincho" w:cs="Arial"/>
        <w:sz w:val="20"/>
        <w:szCs w:val="16"/>
      </w:rPr>
      <w:fldChar w:fldCharType="end"/>
    </w:r>
  </w:p>
  <w:p w14:paraId="0937555A" w14:textId="77777777" w:rsidR="003B0135" w:rsidRPr="00D9066E" w:rsidRDefault="0071171A" w:rsidP="003B0135">
    <w:pPr>
      <w:pBdr>
        <w:bottom w:val="single" w:sz="4" w:space="10" w:color="auto"/>
      </w:pBdr>
      <w:tabs>
        <w:tab w:val="right" w:pos="9356"/>
        <w:tab w:val="right" w:pos="14288"/>
      </w:tabs>
      <w:rPr>
        <w:szCs w:val="22"/>
        <w:lang w:val="en-US"/>
      </w:rPr>
    </w:pPr>
    <w:r w:rsidRPr="002F3B54">
      <w:rPr>
        <w:rFonts w:eastAsia="MS Mincho" w:cs="Arial"/>
        <w:sz w:val="20"/>
        <w:szCs w:val="16"/>
      </w:rPr>
      <w:fldChar w:fldCharType="begin"/>
    </w:r>
    <w:r w:rsidRPr="002F3B54">
      <w:rPr>
        <w:rFonts w:eastAsia="MS Mincho" w:cs="Arial"/>
        <w:sz w:val="20"/>
        <w:szCs w:val="16"/>
      </w:rPr>
      <w:instrText xml:space="preserve"> REF  SDMTitle1 \h  \* MERGEFORMAT </w:instrText>
    </w:r>
    <w:r w:rsidRPr="002F3B54">
      <w:rPr>
        <w:rFonts w:eastAsia="MS Mincho" w:cs="Arial"/>
        <w:sz w:val="20"/>
        <w:szCs w:val="16"/>
      </w:rPr>
    </w:r>
    <w:r w:rsidRPr="002F3B54">
      <w:rPr>
        <w:rFonts w:eastAsia="MS Mincho" w:cs="Arial"/>
        <w:sz w:val="20"/>
        <w:szCs w:val="16"/>
      </w:rPr>
      <w:fldChar w:fldCharType="separate"/>
    </w:r>
    <w:sdt>
      <w:sdtPr>
        <w:rPr>
          <w:rFonts w:eastAsia="MS Mincho" w:cs="Arial"/>
          <w:sz w:val="20"/>
          <w:szCs w:val="16"/>
        </w:rPr>
        <w:alias w:val="SDMTitle1"/>
        <w:tag w:val="SDMTitle1"/>
        <w:id w:val="1439409481"/>
        <w:lock w:val="sdtLocked"/>
        <w:placeholder>
          <w:docPart w:val="A384096BD848438F886F04592C7B5CFB"/>
        </w:placeholder>
      </w:sdtPr>
      <w:sdtEndPr>
        <w:rPr>
          <w:rFonts w:eastAsia="Times New Roman" w:cs="Times New Roman"/>
          <w:sz w:val="22"/>
          <w:szCs w:val="20"/>
        </w:rPr>
      </w:sdtEndPr>
      <w:sdtContent>
        <w:sdt>
          <w:sdtPr>
            <w:rPr>
              <w:rFonts w:eastAsia="MS Mincho" w:cs="Arial"/>
              <w:sz w:val="20"/>
              <w:szCs w:val="16"/>
            </w:rPr>
            <w:alias w:val="SDMDocType"/>
            <w:tag w:val="SDMDocType"/>
            <w:id w:val="1164595591"/>
            <w:lock w:val="sdtContentLocked"/>
            <w:placeholder>
              <w:docPart w:val="D935D0D938604B169DE841804DF7B6B0"/>
            </w:placeholder>
            <w:dropDownList>
              <w:listItem w:displayText="Standard" w:value="Standard"/>
              <w:listItem w:displayText="Guideline" w:value="Guideline"/>
              <w:listItem w:displayText="Procedure" w:value="Procedure"/>
              <w:listItem w:displayText="Information note" w:value="Information note"/>
              <w:listItem w:displayText="Methodology" w:value="Methodology"/>
              <w:listItem w:displayText="Methodological tool" w:value="Methodological tool"/>
              <w:listItem w:displayText="Meeting report" w:value="Meeting report"/>
            </w:dropDownList>
          </w:sdtPr>
          <w:sdtEndPr>
            <w:rPr>
              <w:rFonts w:eastAsia="Times New Roman" w:cs="Times New Roman"/>
              <w:sz w:val="22"/>
              <w:szCs w:val="20"/>
            </w:rPr>
          </w:sdtEndPr>
          <w:sdtContent>
            <w:r w:rsidR="003B0135" w:rsidRPr="003B0135">
              <w:rPr>
                <w:rFonts w:eastAsia="MS Mincho" w:cs="Arial"/>
                <w:sz w:val="20"/>
                <w:szCs w:val="16"/>
              </w:rPr>
              <w:t>Methodological tool</w:t>
            </w:r>
          </w:sdtContent>
        </w:sdt>
      </w:sdtContent>
    </w:sdt>
    <w:r w:rsidRPr="002F3B54">
      <w:rPr>
        <w:rFonts w:eastAsia="MS Mincho" w:cs="Arial"/>
        <w:sz w:val="20"/>
        <w:szCs w:val="16"/>
      </w:rPr>
      <w:fldChar w:fldCharType="end"/>
    </w:r>
    <w:r w:rsidRPr="002F3B54">
      <w:rPr>
        <w:rFonts w:eastAsia="MS Mincho" w:cs="Arial"/>
        <w:sz w:val="20"/>
        <w:szCs w:val="16"/>
      </w:rPr>
      <w:t xml:space="preserve">: </w:t>
    </w:r>
    <w:r w:rsidRPr="002F3B54">
      <w:rPr>
        <w:rFonts w:eastAsia="MS Mincho" w:cs="Arial"/>
        <w:sz w:val="20"/>
        <w:szCs w:val="16"/>
      </w:rPr>
      <w:fldChar w:fldCharType="begin"/>
    </w:r>
    <w:r w:rsidRPr="002F3B54">
      <w:rPr>
        <w:rFonts w:eastAsia="MS Mincho" w:cs="Arial"/>
        <w:sz w:val="20"/>
        <w:szCs w:val="16"/>
      </w:rPr>
      <w:instrText xml:space="preserve"> REF  SDMTitle2 \h  \* MERGEFORMAT </w:instrText>
    </w:r>
    <w:r w:rsidRPr="002F3B54">
      <w:rPr>
        <w:rFonts w:eastAsia="MS Mincho" w:cs="Arial"/>
        <w:sz w:val="20"/>
        <w:szCs w:val="16"/>
      </w:rPr>
    </w:r>
    <w:r w:rsidRPr="002F3B54">
      <w:rPr>
        <w:rFonts w:eastAsia="MS Mincho" w:cs="Arial"/>
        <w:sz w:val="20"/>
        <w:szCs w:val="16"/>
      </w:rPr>
      <w:fldChar w:fldCharType="separate"/>
    </w:r>
    <w:sdt>
      <w:sdtPr>
        <w:rPr>
          <w:rFonts w:eastAsia="MS Mincho" w:cs="Arial"/>
          <w:sz w:val="20"/>
          <w:szCs w:val="16"/>
        </w:rPr>
        <w:alias w:val="SDMTitle2"/>
        <w:tag w:val="SDMTitle2"/>
        <w:id w:val="-696767288"/>
        <w:lock w:val="sdtLocked"/>
        <w:placeholder>
          <w:docPart w:val="3BB71C72C2F94B789EA6A88D7A37198C"/>
        </w:placeholder>
      </w:sdtPr>
      <w:sdtEndPr>
        <w:rPr>
          <w:rFonts w:eastAsia="Times New Roman" w:cs="Times New Roman"/>
          <w:sz w:val="22"/>
          <w:szCs w:val="20"/>
          <w:lang w:val="de-DE"/>
        </w:rPr>
      </w:sdtEndPr>
      <w:sdtContent>
        <w:sdt>
          <w:sdtPr>
            <w:rPr>
              <w:rFonts w:eastAsia="MS Mincho" w:cs="Arial"/>
              <w:sz w:val="20"/>
              <w:szCs w:val="16"/>
            </w:rPr>
            <w:alias w:val="SDMTitle2"/>
            <w:tag w:val="SDMTitle2"/>
            <w:id w:val="1431860461"/>
            <w:lock w:val="sdtLocked"/>
            <w:placeholder>
              <w:docPart w:val="9A79F438FE6444B7B1A8A2AF5F849E0D"/>
            </w:placeholder>
          </w:sdtPr>
          <w:sdtEndPr>
            <w:rPr>
              <w:rFonts w:eastAsia="Times New Roman" w:cs="Times New Roman"/>
              <w:sz w:val="22"/>
              <w:szCs w:val="20"/>
              <w:lang w:val="de-DE"/>
            </w:rPr>
          </w:sdtEndPr>
          <w:sdtContent>
            <w:r w:rsidR="003B0135" w:rsidRPr="003B0135">
              <w:rPr>
                <w:rFonts w:eastAsia="MS Mincho" w:cs="Arial"/>
                <w:sz w:val="20"/>
                <w:szCs w:val="16"/>
              </w:rPr>
              <w:t xml:space="preserve">Emissions from electricity generation </w:t>
            </w:r>
            <w:r w:rsidR="003B0135" w:rsidRPr="003B0135">
              <w:rPr>
                <w:rFonts w:eastAsia="MS Mincho" w:cs="Arial"/>
                <w:sz w:val="20"/>
                <w:szCs w:val="16"/>
                <w:lang w:val="en-US"/>
              </w:rPr>
              <w:t>and</w:t>
            </w:r>
            <w:r w:rsidR="003B0135" w:rsidRPr="00335746">
              <w:rPr>
                <w:lang w:val="en-US"/>
              </w:rPr>
              <w:t xml:space="preserve"> consumption</w:t>
            </w:r>
          </w:sdtContent>
        </w:sdt>
      </w:sdtContent>
    </w:sdt>
  </w:p>
  <w:p w14:paraId="7B643760" w14:textId="61F0F0AE" w:rsidR="004E7C82" w:rsidRPr="0071171A" w:rsidRDefault="0071171A" w:rsidP="00C21F06">
    <w:pPr>
      <w:pBdr>
        <w:bottom w:val="single" w:sz="4" w:space="10" w:color="auto"/>
      </w:pBdr>
      <w:tabs>
        <w:tab w:val="right" w:pos="9356"/>
        <w:tab w:val="right" w:pos="14288"/>
      </w:tabs>
    </w:pPr>
    <w:r w:rsidRPr="002F3B54">
      <w:rPr>
        <w:rFonts w:eastAsia="MS Mincho" w:cs="Arial"/>
        <w:sz w:val="20"/>
        <w:szCs w:val="16"/>
      </w:rPr>
      <w:fldChar w:fldCharType="end"/>
    </w:r>
    <w:r w:rsidRPr="002F3B54">
      <w:rPr>
        <w:rFonts w:eastAsia="MS Mincho" w:cs="Arial"/>
        <w:sz w:val="20"/>
        <w:szCs w:val="16"/>
      </w:rPr>
      <w:fldChar w:fldCharType="begin"/>
    </w:r>
    <w:r w:rsidRPr="002F3B54">
      <w:rPr>
        <w:rFonts w:eastAsia="MS Mincho" w:cs="Arial"/>
        <w:sz w:val="20"/>
        <w:szCs w:val="16"/>
        <w:lang w:val="en-US"/>
      </w:rPr>
      <w:instrText xml:space="preserve"> REF  SDMDocVerLab \h  \* MERGEFORMAT </w:instrText>
    </w:r>
    <w:r w:rsidRPr="002F3B54">
      <w:rPr>
        <w:rFonts w:eastAsia="MS Mincho" w:cs="Arial"/>
        <w:sz w:val="20"/>
        <w:szCs w:val="16"/>
      </w:rPr>
    </w:r>
    <w:r w:rsidRPr="002F3B54">
      <w:rPr>
        <w:rFonts w:eastAsia="MS Mincho" w:cs="Arial"/>
        <w:sz w:val="20"/>
        <w:szCs w:val="16"/>
      </w:rPr>
      <w:fldChar w:fldCharType="separate"/>
    </w:r>
    <w:sdt>
      <w:sdtPr>
        <w:rPr>
          <w:rFonts w:eastAsia="MS Mincho" w:cs="Arial"/>
          <w:sz w:val="20"/>
          <w:szCs w:val="16"/>
        </w:rPr>
        <w:alias w:val="SDMDocVersionLabel"/>
        <w:tag w:val="SDMDocVersionLabel"/>
        <w:id w:val="1416663052"/>
        <w:lock w:val="sdtLocked"/>
        <w:placeholder>
          <w:docPart w:val="C1D80F24FBEB427BBC6B26AE1EA5C04D"/>
        </w:placeholder>
      </w:sdtPr>
      <w:sdtEndPr/>
      <w:sdtContent>
        <w:r w:rsidR="003B0135" w:rsidRPr="003B0135">
          <w:rPr>
            <w:rFonts w:eastAsia="MS Mincho" w:cs="Arial"/>
            <w:sz w:val="20"/>
            <w:szCs w:val="16"/>
            <w:lang w:val="en-US"/>
          </w:rPr>
          <w:t xml:space="preserve">Version </w:t>
        </w:r>
      </w:sdtContent>
    </w:sdt>
    <w:r w:rsidRPr="002F3B54">
      <w:rPr>
        <w:rFonts w:eastAsia="MS Mincho" w:cs="Arial"/>
        <w:sz w:val="20"/>
        <w:szCs w:val="16"/>
      </w:rPr>
      <w:fldChar w:fldCharType="end"/>
    </w:r>
    <w:r w:rsidRPr="002F3B54">
      <w:rPr>
        <w:rFonts w:eastAsia="MS Mincho" w:cs="Arial"/>
        <w:sz w:val="20"/>
        <w:szCs w:val="16"/>
      </w:rPr>
      <w:fldChar w:fldCharType="begin"/>
    </w:r>
    <w:r w:rsidRPr="002F3B54">
      <w:rPr>
        <w:rFonts w:eastAsia="MS Mincho" w:cs="Arial"/>
        <w:sz w:val="20"/>
        <w:szCs w:val="16"/>
        <w:lang w:val="en-US"/>
      </w:rPr>
      <w:instrText xml:space="preserve"> REF  SDMDocVer \h  \* MERGEFORMAT </w:instrText>
    </w:r>
    <w:r w:rsidRPr="002F3B54">
      <w:rPr>
        <w:rFonts w:eastAsia="MS Mincho" w:cs="Arial"/>
        <w:sz w:val="20"/>
        <w:szCs w:val="16"/>
      </w:rPr>
    </w:r>
    <w:r w:rsidRPr="002F3B54">
      <w:rPr>
        <w:rFonts w:eastAsia="MS Mincho" w:cs="Arial"/>
        <w:sz w:val="20"/>
        <w:szCs w:val="16"/>
      </w:rPr>
      <w:fldChar w:fldCharType="separate"/>
    </w:r>
    <w:sdt>
      <w:sdtPr>
        <w:rPr>
          <w:rFonts w:eastAsia="MS Mincho" w:cs="Arial"/>
          <w:sz w:val="20"/>
          <w:szCs w:val="16"/>
        </w:rPr>
        <w:alias w:val="SDMDocVer"/>
        <w:tag w:val="SDMDocVer"/>
        <w:id w:val="-1805071324"/>
        <w:lock w:val="sdtLocked"/>
        <w:placeholder>
          <w:docPart w:val="7729651773CE4DDDA0FFBD41982B3135"/>
        </w:placeholder>
      </w:sdtPr>
      <w:sdtEndPr/>
      <w:sdtContent>
        <w:r w:rsidR="003B0135" w:rsidRPr="003B0135">
          <w:rPr>
            <w:rFonts w:eastAsia="MS Mincho" w:cs="Arial"/>
            <w:sz w:val="20"/>
            <w:szCs w:val="16"/>
          </w:rPr>
          <w:t>02.0</w:t>
        </w:r>
      </w:sdtContent>
    </w:sdt>
    <w:r w:rsidRPr="002F3B54">
      <w:rPr>
        <w:rFonts w:eastAsia="MS Mincho" w:cs="Arial"/>
        <w:sz w:val="20"/>
        <w:szCs w:val="16"/>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5D16B" w14:textId="592C3216" w:rsidR="000D1E11" w:rsidRDefault="00CB1F27">
    <w:pPr>
      <w:numPr>
        <w:ilvl w:val="5"/>
        <w:numId w:val="0"/>
      </w:numPr>
    </w:pPr>
    <w:r>
      <w:cr/>
    </w:r>
    <w:r>
      <w:cr/>
    </w:r>
    <w:r>
      <w:cr/>
    </w:r>
    <w:r>
      <w:cr/>
    </w:r>
    <w:r>
      <w:cr/>
    </w:r>
    <w:r>
      <w:cr/>
    </w:r>
    <w:r>
      <w:cr/>
    </w:r>
    <w:r>
      <w:cr/>
    </w:r>
    <w:r>
      <w:cr/>
    </w:r>
    <w:r>
      <w:cr/>
    </w:r>
    <w:r>
      <w:cr/>
    </w:r>
    <w:r>
      <w:cr/>
    </w:r>
    <w:r>
      <w:cr/>
    </w:r>
    <w:r>
      <w:cr/>
    </w:r>
    <w:r>
      <w:cr/>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821E9" w14:textId="333A0E65" w:rsidR="00C74D24" w:rsidRPr="005A3A16" w:rsidRDefault="003F6646" w:rsidP="00C74D24">
    <w:pPr>
      <w:pBdr>
        <w:bottom w:val="single" w:sz="4" w:space="10" w:color="auto"/>
      </w:pBdr>
      <w:tabs>
        <w:tab w:val="right" w:pos="9356"/>
        <w:tab w:val="right" w:pos="14288"/>
      </w:tabs>
      <w:rPr>
        <w:rFonts w:eastAsia="MS Mincho" w:cs="Arial"/>
        <w:sz w:val="20"/>
        <w:szCs w:val="16"/>
      </w:rPr>
    </w:pPr>
    <w:sdt>
      <w:sdtPr>
        <w:rPr>
          <w:rFonts w:eastAsia="MS Mincho" w:cs="Arial"/>
          <w:sz w:val="20"/>
          <w:szCs w:val="16"/>
        </w:rPr>
        <w:id w:val="-445780457"/>
        <w:docPartObj>
          <w:docPartGallery w:val="Watermarks"/>
          <w:docPartUnique/>
        </w:docPartObj>
      </w:sdtPr>
      <w:sdtEndPr/>
      <w:sdtContent/>
    </w:sdt>
    <w:r w:rsidR="00CA1B89" w:rsidRPr="00CA1B89">
      <w:rPr>
        <w:rFonts w:eastAsia="MS Mincho" w:cs="Arial"/>
        <w:sz w:val="20"/>
        <w:szCs w:val="16"/>
      </w:rPr>
      <w:t>A6.4-AMT-007</w:t>
    </w:r>
    <w:r w:rsidR="00C74D24" w:rsidRPr="005A3A16">
      <w:rPr>
        <w:rFonts w:eastAsia="MS Mincho" w:cs="Arial"/>
        <w:sz w:val="20"/>
        <w:szCs w:val="16"/>
      </w:rPr>
      <w:fldChar w:fldCharType="begin"/>
    </w:r>
    <w:r w:rsidR="00C74D24" w:rsidRPr="005A3A16">
      <w:rPr>
        <w:rFonts w:eastAsia="MS Mincho" w:cs="Arial"/>
        <w:sz w:val="20"/>
        <w:szCs w:val="16"/>
      </w:rPr>
      <w:instrText xml:space="preserve"> REF  SDMDocRef \* Upper \h  \* MERGEFORMAT </w:instrText>
    </w:r>
    <w:r w:rsidR="00C74D24" w:rsidRPr="005A3A16">
      <w:rPr>
        <w:rFonts w:eastAsia="MS Mincho" w:cs="Arial"/>
        <w:sz w:val="20"/>
        <w:szCs w:val="16"/>
      </w:rPr>
    </w:r>
    <w:r w:rsidR="00C74D24" w:rsidRPr="005A3A16">
      <w:rPr>
        <w:rFonts w:eastAsia="MS Mincho" w:cs="Arial"/>
        <w:sz w:val="20"/>
        <w:szCs w:val="16"/>
      </w:rPr>
      <w:fldChar w:fldCharType="end"/>
    </w:r>
    <w:r w:rsidR="00C74D24" w:rsidRPr="005A3A16">
      <w:rPr>
        <w:rFonts w:eastAsia="MS Mincho" w:cs="Arial"/>
        <w:sz w:val="20"/>
        <w:szCs w:val="16"/>
      </w:rPr>
      <w:tab/>
    </w:r>
    <w:r w:rsidR="00C74D24" w:rsidRPr="005A3A16">
      <w:rPr>
        <w:rFonts w:eastAsia="MS Mincho" w:cs="Arial"/>
        <w:sz w:val="20"/>
        <w:szCs w:val="16"/>
      </w:rPr>
      <w:fldChar w:fldCharType="begin"/>
    </w:r>
    <w:r w:rsidR="00C74D24" w:rsidRPr="005A3A16">
      <w:rPr>
        <w:rFonts w:eastAsia="MS Mincho" w:cs="Arial"/>
        <w:sz w:val="20"/>
        <w:szCs w:val="16"/>
      </w:rPr>
      <w:instrText xml:space="preserve"> REF  SDMConfidentialMark \* Upper \h  \* MERGEFORMAT </w:instrText>
    </w:r>
    <w:r w:rsidR="00C74D24" w:rsidRPr="005A3A16">
      <w:rPr>
        <w:rFonts w:eastAsia="MS Mincho" w:cs="Arial"/>
        <w:sz w:val="20"/>
        <w:szCs w:val="16"/>
      </w:rPr>
    </w:r>
    <w:r w:rsidR="00C74D24" w:rsidRPr="005A3A16">
      <w:rPr>
        <w:rFonts w:eastAsia="MS Mincho" w:cs="Arial"/>
        <w:sz w:val="20"/>
        <w:szCs w:val="16"/>
      </w:rPr>
      <w:fldChar w:fldCharType="separate"/>
    </w:r>
    <w:sdt>
      <w:sdtPr>
        <w:rPr>
          <w:rFonts w:eastAsia="MS Mincho" w:cs="Arial"/>
          <w:sz w:val="20"/>
          <w:szCs w:val="16"/>
        </w:rPr>
        <w:alias w:val="SDMConfidentialMark"/>
        <w:tag w:val="SDMConfidentialMark"/>
        <w:id w:val="-1351487153"/>
        <w:lock w:val="sdtLocked"/>
        <w:placeholder>
          <w:docPart w:val="E0D1CAC70E084DD0A4A12CAFB5953394"/>
        </w:placeholder>
        <w:dropDownList>
          <w:listItem w:displayText="Confidential" w:value="Confidential"/>
          <w:listItem w:displayText=" " w:value="  "/>
        </w:dropDownList>
      </w:sdtPr>
      <w:sdtEndPr/>
      <w:sdtContent>
        <w:r w:rsidR="003B0135" w:rsidRPr="003B0135">
          <w:rPr>
            <w:rFonts w:eastAsia="MS Mincho" w:cs="Arial"/>
            <w:sz w:val="20"/>
            <w:szCs w:val="16"/>
          </w:rPr>
          <w:t xml:space="preserve"> </w:t>
        </w:r>
      </w:sdtContent>
    </w:sdt>
    <w:r w:rsidR="00C74D24" w:rsidRPr="005A3A16">
      <w:rPr>
        <w:rFonts w:eastAsia="MS Mincho" w:cs="Arial"/>
        <w:sz w:val="20"/>
        <w:szCs w:val="16"/>
      </w:rPr>
      <w:fldChar w:fldCharType="end"/>
    </w:r>
  </w:p>
  <w:p w14:paraId="31751D81" w14:textId="77777777" w:rsidR="003B0135" w:rsidRPr="00D9066E" w:rsidRDefault="0071171A" w:rsidP="003B0135">
    <w:pPr>
      <w:pBdr>
        <w:bottom w:val="single" w:sz="4" w:space="10" w:color="auto"/>
      </w:pBdr>
      <w:tabs>
        <w:tab w:val="right" w:pos="9356"/>
        <w:tab w:val="right" w:pos="14288"/>
      </w:tabs>
      <w:rPr>
        <w:szCs w:val="22"/>
        <w:lang w:val="en-US"/>
      </w:rPr>
    </w:pPr>
    <w:r w:rsidRPr="002F3B54">
      <w:rPr>
        <w:rFonts w:eastAsia="MS Mincho" w:cs="Arial"/>
        <w:sz w:val="20"/>
        <w:szCs w:val="16"/>
      </w:rPr>
      <w:fldChar w:fldCharType="begin"/>
    </w:r>
    <w:r w:rsidRPr="002F3B54">
      <w:rPr>
        <w:rFonts w:eastAsia="MS Mincho" w:cs="Arial"/>
        <w:sz w:val="20"/>
        <w:szCs w:val="16"/>
      </w:rPr>
      <w:instrText xml:space="preserve"> REF  SDMTitle1 \h  \* MERGEFORMAT </w:instrText>
    </w:r>
    <w:r w:rsidRPr="002F3B54">
      <w:rPr>
        <w:rFonts w:eastAsia="MS Mincho" w:cs="Arial"/>
        <w:sz w:val="20"/>
        <w:szCs w:val="16"/>
      </w:rPr>
    </w:r>
    <w:r w:rsidRPr="002F3B54">
      <w:rPr>
        <w:rFonts w:eastAsia="MS Mincho" w:cs="Arial"/>
        <w:sz w:val="20"/>
        <w:szCs w:val="16"/>
      </w:rPr>
      <w:fldChar w:fldCharType="separate"/>
    </w:r>
    <w:sdt>
      <w:sdtPr>
        <w:rPr>
          <w:rFonts w:eastAsia="MS Mincho" w:cs="Arial"/>
          <w:sz w:val="20"/>
          <w:szCs w:val="16"/>
        </w:rPr>
        <w:alias w:val="SDMTitle1"/>
        <w:tag w:val="SDMTitle1"/>
        <w:id w:val="-1050606779"/>
        <w:lock w:val="sdtLocked"/>
        <w:placeholder>
          <w:docPart w:val="7DA411EED22340EC88BEBE2EFDD28747"/>
        </w:placeholder>
      </w:sdtPr>
      <w:sdtEndPr>
        <w:rPr>
          <w:rFonts w:eastAsia="Times New Roman" w:cs="Times New Roman"/>
          <w:sz w:val="22"/>
          <w:szCs w:val="20"/>
        </w:rPr>
      </w:sdtEndPr>
      <w:sdtContent>
        <w:sdt>
          <w:sdtPr>
            <w:rPr>
              <w:rFonts w:eastAsia="MS Mincho" w:cs="Arial"/>
              <w:sz w:val="20"/>
              <w:szCs w:val="16"/>
            </w:rPr>
            <w:alias w:val="SDMDocType"/>
            <w:tag w:val="SDMDocType"/>
            <w:id w:val="-1128858603"/>
            <w:lock w:val="sdtContentLocked"/>
            <w:placeholder>
              <w:docPart w:val="5A6B3DC9CD12409A954345EDF9A6E65C"/>
            </w:placeholder>
            <w:dropDownList>
              <w:listItem w:displayText="Standard" w:value="Standard"/>
              <w:listItem w:displayText="Guideline" w:value="Guideline"/>
              <w:listItem w:displayText="Procedure" w:value="Procedure"/>
              <w:listItem w:displayText="Information note" w:value="Information note"/>
              <w:listItem w:displayText="Methodology" w:value="Methodology"/>
              <w:listItem w:displayText="Methodological tool" w:value="Methodological tool"/>
              <w:listItem w:displayText="Meeting report" w:value="Meeting report"/>
            </w:dropDownList>
          </w:sdtPr>
          <w:sdtEndPr>
            <w:rPr>
              <w:rFonts w:eastAsia="Times New Roman" w:cs="Times New Roman"/>
              <w:sz w:val="22"/>
              <w:szCs w:val="20"/>
            </w:rPr>
          </w:sdtEndPr>
          <w:sdtContent>
            <w:r w:rsidR="003B0135" w:rsidRPr="003B0135">
              <w:rPr>
                <w:rFonts w:eastAsia="MS Mincho" w:cs="Arial"/>
                <w:sz w:val="20"/>
                <w:szCs w:val="16"/>
              </w:rPr>
              <w:t>Methodological tool</w:t>
            </w:r>
          </w:sdtContent>
        </w:sdt>
      </w:sdtContent>
    </w:sdt>
    <w:r w:rsidRPr="002F3B54">
      <w:rPr>
        <w:rFonts w:eastAsia="MS Mincho" w:cs="Arial"/>
        <w:sz w:val="20"/>
        <w:szCs w:val="16"/>
      </w:rPr>
      <w:fldChar w:fldCharType="end"/>
    </w:r>
    <w:r w:rsidRPr="002F3B54">
      <w:rPr>
        <w:rFonts w:eastAsia="MS Mincho" w:cs="Arial"/>
        <w:sz w:val="20"/>
        <w:szCs w:val="16"/>
      </w:rPr>
      <w:t xml:space="preserve">: </w:t>
    </w:r>
    <w:r w:rsidRPr="002F3B54">
      <w:rPr>
        <w:rFonts w:eastAsia="MS Mincho" w:cs="Arial"/>
        <w:sz w:val="20"/>
        <w:szCs w:val="16"/>
      </w:rPr>
      <w:fldChar w:fldCharType="begin"/>
    </w:r>
    <w:r w:rsidRPr="002F3B54">
      <w:rPr>
        <w:rFonts w:eastAsia="MS Mincho" w:cs="Arial"/>
        <w:sz w:val="20"/>
        <w:szCs w:val="16"/>
      </w:rPr>
      <w:instrText xml:space="preserve"> REF  SDMTitle2 \h  \* MERGEFORMAT </w:instrText>
    </w:r>
    <w:r w:rsidRPr="002F3B54">
      <w:rPr>
        <w:rFonts w:eastAsia="MS Mincho" w:cs="Arial"/>
        <w:sz w:val="20"/>
        <w:szCs w:val="16"/>
      </w:rPr>
    </w:r>
    <w:r w:rsidRPr="002F3B54">
      <w:rPr>
        <w:rFonts w:eastAsia="MS Mincho" w:cs="Arial"/>
        <w:sz w:val="20"/>
        <w:szCs w:val="16"/>
      </w:rPr>
      <w:fldChar w:fldCharType="separate"/>
    </w:r>
    <w:sdt>
      <w:sdtPr>
        <w:rPr>
          <w:rFonts w:eastAsia="MS Mincho" w:cs="Arial"/>
          <w:sz w:val="20"/>
          <w:szCs w:val="16"/>
        </w:rPr>
        <w:alias w:val="SDMTitle2"/>
        <w:tag w:val="SDMTitle2"/>
        <w:id w:val="854928484"/>
        <w:lock w:val="sdtLocked"/>
        <w:placeholder>
          <w:docPart w:val="BBB6FD3EEFEE44F39E824CF858D502E9"/>
        </w:placeholder>
      </w:sdtPr>
      <w:sdtEndPr>
        <w:rPr>
          <w:rFonts w:eastAsia="Times New Roman" w:cs="Times New Roman"/>
          <w:sz w:val="22"/>
          <w:szCs w:val="20"/>
          <w:lang w:val="de-DE"/>
        </w:rPr>
      </w:sdtEndPr>
      <w:sdtContent>
        <w:sdt>
          <w:sdtPr>
            <w:rPr>
              <w:rFonts w:eastAsia="MS Mincho" w:cs="Arial"/>
              <w:sz w:val="20"/>
              <w:szCs w:val="16"/>
            </w:rPr>
            <w:alias w:val="SDMTitle2"/>
            <w:tag w:val="SDMTitle2"/>
            <w:id w:val="1434163646"/>
            <w:lock w:val="sdtLocked"/>
            <w:placeholder>
              <w:docPart w:val="33F3C5F7BB514C97A6E7D1827CE413AE"/>
            </w:placeholder>
          </w:sdtPr>
          <w:sdtEndPr>
            <w:rPr>
              <w:rFonts w:eastAsia="Times New Roman" w:cs="Times New Roman"/>
              <w:sz w:val="22"/>
              <w:szCs w:val="20"/>
              <w:lang w:val="de-DE"/>
            </w:rPr>
          </w:sdtEndPr>
          <w:sdtContent>
            <w:r w:rsidR="003B0135" w:rsidRPr="003B0135">
              <w:rPr>
                <w:rFonts w:eastAsia="MS Mincho" w:cs="Arial"/>
                <w:sz w:val="20"/>
                <w:szCs w:val="16"/>
              </w:rPr>
              <w:t xml:space="preserve">Emissions from electricity generation </w:t>
            </w:r>
            <w:r w:rsidR="003B0135" w:rsidRPr="003B0135">
              <w:rPr>
                <w:rFonts w:eastAsia="MS Mincho" w:cs="Arial"/>
                <w:sz w:val="20"/>
                <w:szCs w:val="16"/>
                <w:lang w:val="en-US"/>
              </w:rPr>
              <w:t>and</w:t>
            </w:r>
            <w:r w:rsidR="003B0135" w:rsidRPr="00335746">
              <w:rPr>
                <w:lang w:val="en-US"/>
              </w:rPr>
              <w:t xml:space="preserve"> consumption</w:t>
            </w:r>
          </w:sdtContent>
        </w:sdt>
      </w:sdtContent>
    </w:sdt>
  </w:p>
  <w:p w14:paraId="18FFC66C" w14:textId="5AB4BC21" w:rsidR="000D1E11" w:rsidRPr="0071171A" w:rsidRDefault="0071171A" w:rsidP="00732581">
    <w:pPr>
      <w:pBdr>
        <w:bottom w:val="single" w:sz="4" w:space="10" w:color="auto"/>
      </w:pBdr>
      <w:tabs>
        <w:tab w:val="right" w:pos="9356"/>
        <w:tab w:val="right" w:pos="14288"/>
      </w:tabs>
    </w:pPr>
    <w:r w:rsidRPr="002F3B54">
      <w:rPr>
        <w:rFonts w:eastAsia="MS Mincho" w:cs="Arial"/>
        <w:sz w:val="20"/>
        <w:szCs w:val="16"/>
      </w:rPr>
      <w:fldChar w:fldCharType="end"/>
    </w:r>
    <w:r w:rsidRPr="002F3B54">
      <w:rPr>
        <w:rFonts w:eastAsia="MS Mincho" w:cs="Arial"/>
        <w:sz w:val="20"/>
        <w:szCs w:val="16"/>
      </w:rPr>
      <w:fldChar w:fldCharType="begin"/>
    </w:r>
    <w:r w:rsidRPr="002F3B54">
      <w:rPr>
        <w:rFonts w:eastAsia="MS Mincho" w:cs="Arial"/>
        <w:sz w:val="20"/>
        <w:szCs w:val="16"/>
        <w:lang w:val="en-US"/>
      </w:rPr>
      <w:instrText xml:space="preserve"> REF  SDMDocVerLab \h  \* MERGEFORMAT </w:instrText>
    </w:r>
    <w:r w:rsidRPr="002F3B54">
      <w:rPr>
        <w:rFonts w:eastAsia="MS Mincho" w:cs="Arial"/>
        <w:sz w:val="20"/>
        <w:szCs w:val="16"/>
      </w:rPr>
    </w:r>
    <w:r w:rsidRPr="002F3B54">
      <w:rPr>
        <w:rFonts w:eastAsia="MS Mincho" w:cs="Arial"/>
        <w:sz w:val="20"/>
        <w:szCs w:val="16"/>
      </w:rPr>
      <w:fldChar w:fldCharType="separate"/>
    </w:r>
    <w:sdt>
      <w:sdtPr>
        <w:rPr>
          <w:rFonts w:eastAsia="MS Mincho" w:cs="Arial"/>
          <w:sz w:val="20"/>
          <w:szCs w:val="16"/>
        </w:rPr>
        <w:alias w:val="SDMDocVersionLabel"/>
        <w:tag w:val="SDMDocVersionLabel"/>
        <w:id w:val="-321045560"/>
        <w:lock w:val="sdtLocked"/>
        <w:placeholder>
          <w:docPart w:val="36685EA7D872410AB9ADD116277498C1"/>
        </w:placeholder>
      </w:sdtPr>
      <w:sdtEndPr/>
      <w:sdtContent>
        <w:r w:rsidR="003B0135" w:rsidRPr="003B0135">
          <w:rPr>
            <w:rFonts w:eastAsia="MS Mincho" w:cs="Arial"/>
            <w:sz w:val="20"/>
            <w:szCs w:val="16"/>
            <w:lang w:val="en-US"/>
          </w:rPr>
          <w:t xml:space="preserve">Version </w:t>
        </w:r>
      </w:sdtContent>
    </w:sdt>
    <w:r w:rsidRPr="002F3B54">
      <w:rPr>
        <w:rFonts w:eastAsia="MS Mincho" w:cs="Arial"/>
        <w:sz w:val="20"/>
        <w:szCs w:val="16"/>
      </w:rPr>
      <w:fldChar w:fldCharType="end"/>
    </w:r>
    <w:r w:rsidRPr="002F3B54">
      <w:rPr>
        <w:rFonts w:eastAsia="MS Mincho" w:cs="Arial"/>
        <w:sz w:val="20"/>
        <w:szCs w:val="16"/>
      </w:rPr>
      <w:fldChar w:fldCharType="begin"/>
    </w:r>
    <w:r w:rsidRPr="002F3B54">
      <w:rPr>
        <w:rFonts w:eastAsia="MS Mincho" w:cs="Arial"/>
        <w:sz w:val="20"/>
        <w:szCs w:val="16"/>
        <w:lang w:val="en-US"/>
      </w:rPr>
      <w:instrText xml:space="preserve"> REF  SDMDocVer \h  \* MERGEFORMAT </w:instrText>
    </w:r>
    <w:r w:rsidRPr="002F3B54">
      <w:rPr>
        <w:rFonts w:eastAsia="MS Mincho" w:cs="Arial"/>
        <w:sz w:val="20"/>
        <w:szCs w:val="16"/>
      </w:rPr>
    </w:r>
    <w:r w:rsidRPr="002F3B54">
      <w:rPr>
        <w:rFonts w:eastAsia="MS Mincho" w:cs="Arial"/>
        <w:sz w:val="20"/>
        <w:szCs w:val="16"/>
      </w:rPr>
      <w:fldChar w:fldCharType="separate"/>
    </w:r>
    <w:sdt>
      <w:sdtPr>
        <w:rPr>
          <w:rFonts w:eastAsia="MS Mincho" w:cs="Arial"/>
          <w:sz w:val="20"/>
          <w:szCs w:val="16"/>
        </w:rPr>
        <w:alias w:val="SDMDocVer"/>
        <w:tag w:val="SDMDocVer"/>
        <w:id w:val="1746223780"/>
        <w:lock w:val="sdtLocked"/>
        <w:placeholder>
          <w:docPart w:val="68215B66D65F4B49BCCA2BA72409F18E"/>
        </w:placeholder>
      </w:sdtPr>
      <w:sdtEndPr/>
      <w:sdtContent>
        <w:r w:rsidR="003B0135" w:rsidRPr="003B0135">
          <w:rPr>
            <w:rFonts w:eastAsia="MS Mincho" w:cs="Arial"/>
            <w:sz w:val="20"/>
            <w:szCs w:val="16"/>
          </w:rPr>
          <w:t>02.0</w:t>
        </w:r>
      </w:sdtContent>
    </w:sdt>
    <w:r w:rsidRPr="002F3B54">
      <w:rPr>
        <w:rFonts w:eastAsia="MS Mincho" w:cs="Arial"/>
        <w:sz w:val="20"/>
        <w:szCs w:val="16"/>
      </w:rPr>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6B654" w14:textId="56B40300" w:rsidR="000D1E11" w:rsidRPr="00B5677C" w:rsidRDefault="00CB1F27">
    <w:pPr>
      <w:numPr>
        <w:ilvl w:val="5"/>
        <w:numId w:val="0"/>
      </w:numPr>
    </w:pPr>
    <w:r>
      <w:cr/>
    </w:r>
    <w:r>
      <w:cr/>
    </w:r>
    <w:r>
      <w:cr/>
    </w:r>
    <w:r>
      <w:cr/>
    </w:r>
    <w:r>
      <w:cr/>
    </w:r>
    <w:r>
      <w:cr/>
    </w:r>
    <w:r>
      <w:cr/>
    </w:r>
    <w:r>
      <w:cr/>
    </w:r>
    <w:r>
      <w:cr/>
    </w:r>
    <w:r>
      <w:cr/>
    </w:r>
    <w:r>
      <w:cr/>
    </w:r>
    <w:r>
      <w:cr/>
    </w:r>
    <w:r>
      <w:cr/>
    </w:r>
    <w:r>
      <w:cr/>
    </w:r>
    <w:r>
      <w:cr/>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F2411" w14:textId="14D2F40D" w:rsidR="00C74D24" w:rsidRPr="005A3A16" w:rsidRDefault="00CA1B89" w:rsidP="00C74D24">
    <w:pPr>
      <w:pBdr>
        <w:bottom w:val="single" w:sz="4" w:space="10" w:color="auto"/>
      </w:pBdr>
      <w:tabs>
        <w:tab w:val="right" w:pos="9356"/>
        <w:tab w:val="right" w:pos="14288"/>
      </w:tabs>
      <w:rPr>
        <w:rFonts w:eastAsia="MS Mincho" w:cs="Arial"/>
        <w:sz w:val="20"/>
        <w:szCs w:val="16"/>
      </w:rPr>
    </w:pPr>
    <w:r w:rsidRPr="00CA1B89">
      <w:rPr>
        <w:rFonts w:eastAsia="MS Mincho" w:cs="Arial"/>
        <w:sz w:val="20"/>
        <w:szCs w:val="16"/>
      </w:rPr>
      <w:t>A6.4-AMT-007</w:t>
    </w:r>
    <w:r w:rsidR="00C74D24" w:rsidRPr="005A3A16">
      <w:rPr>
        <w:rFonts w:eastAsia="MS Mincho" w:cs="Arial"/>
        <w:sz w:val="20"/>
        <w:szCs w:val="16"/>
      </w:rPr>
      <w:fldChar w:fldCharType="begin"/>
    </w:r>
    <w:r w:rsidR="00C74D24" w:rsidRPr="005A3A16">
      <w:rPr>
        <w:rFonts w:eastAsia="MS Mincho" w:cs="Arial"/>
        <w:sz w:val="20"/>
        <w:szCs w:val="16"/>
      </w:rPr>
      <w:instrText xml:space="preserve"> REF  SDMDocRef \* Upper \h  \* MERGEFORMAT </w:instrText>
    </w:r>
    <w:r w:rsidR="00C74D24" w:rsidRPr="005A3A16">
      <w:rPr>
        <w:rFonts w:eastAsia="MS Mincho" w:cs="Arial"/>
        <w:sz w:val="20"/>
        <w:szCs w:val="16"/>
      </w:rPr>
    </w:r>
    <w:r w:rsidR="00C74D24" w:rsidRPr="005A3A16">
      <w:rPr>
        <w:rFonts w:eastAsia="MS Mincho" w:cs="Arial"/>
        <w:sz w:val="20"/>
        <w:szCs w:val="16"/>
      </w:rPr>
      <w:fldChar w:fldCharType="end"/>
    </w:r>
    <w:r w:rsidR="00C74D24" w:rsidRPr="005A3A16">
      <w:rPr>
        <w:rFonts w:eastAsia="MS Mincho" w:cs="Arial"/>
        <w:sz w:val="20"/>
        <w:szCs w:val="16"/>
      </w:rPr>
      <w:tab/>
    </w:r>
    <w:r w:rsidR="00C74D24" w:rsidRPr="005A3A16">
      <w:rPr>
        <w:rFonts w:eastAsia="MS Mincho" w:cs="Arial"/>
        <w:sz w:val="20"/>
        <w:szCs w:val="16"/>
      </w:rPr>
      <w:fldChar w:fldCharType="begin"/>
    </w:r>
    <w:r w:rsidR="00C74D24" w:rsidRPr="005A3A16">
      <w:rPr>
        <w:rFonts w:eastAsia="MS Mincho" w:cs="Arial"/>
        <w:sz w:val="20"/>
        <w:szCs w:val="16"/>
      </w:rPr>
      <w:instrText xml:space="preserve"> REF  SDMConfidentialMark \* Upper \h  \* MERGEFORMAT </w:instrText>
    </w:r>
    <w:r w:rsidR="00C74D24" w:rsidRPr="005A3A16">
      <w:rPr>
        <w:rFonts w:eastAsia="MS Mincho" w:cs="Arial"/>
        <w:sz w:val="20"/>
        <w:szCs w:val="16"/>
      </w:rPr>
    </w:r>
    <w:r w:rsidR="00C74D24" w:rsidRPr="005A3A16">
      <w:rPr>
        <w:rFonts w:eastAsia="MS Mincho" w:cs="Arial"/>
        <w:sz w:val="20"/>
        <w:szCs w:val="16"/>
      </w:rPr>
      <w:fldChar w:fldCharType="separate"/>
    </w:r>
    <w:sdt>
      <w:sdtPr>
        <w:rPr>
          <w:rFonts w:eastAsia="MS Mincho" w:cs="Arial"/>
          <w:sz w:val="20"/>
          <w:szCs w:val="16"/>
        </w:rPr>
        <w:alias w:val="SDMConfidentialMark"/>
        <w:tag w:val="SDMConfidentialMark"/>
        <w:id w:val="177943891"/>
        <w:lock w:val="sdtLocked"/>
        <w:placeholder>
          <w:docPart w:val="ED82FC9ED63C4F2A89BCB92DDC1325F3"/>
        </w:placeholder>
        <w:dropDownList>
          <w:listItem w:displayText="Confidential" w:value="Confidential"/>
          <w:listItem w:displayText=" " w:value="  "/>
        </w:dropDownList>
      </w:sdtPr>
      <w:sdtEndPr/>
      <w:sdtContent>
        <w:r w:rsidR="003B0135" w:rsidRPr="003B0135">
          <w:rPr>
            <w:rFonts w:eastAsia="MS Mincho" w:cs="Arial"/>
            <w:sz w:val="20"/>
            <w:szCs w:val="16"/>
          </w:rPr>
          <w:t xml:space="preserve"> </w:t>
        </w:r>
      </w:sdtContent>
    </w:sdt>
    <w:r w:rsidR="00C74D24" w:rsidRPr="005A3A16">
      <w:rPr>
        <w:rFonts w:eastAsia="MS Mincho" w:cs="Arial"/>
        <w:sz w:val="20"/>
        <w:szCs w:val="16"/>
      </w:rPr>
      <w:fldChar w:fldCharType="end"/>
    </w:r>
  </w:p>
  <w:p w14:paraId="2F9AE692" w14:textId="77777777" w:rsidR="003B0135" w:rsidRPr="00D9066E" w:rsidRDefault="0071171A" w:rsidP="003B0135">
    <w:pPr>
      <w:pBdr>
        <w:bottom w:val="single" w:sz="4" w:space="10" w:color="auto"/>
      </w:pBdr>
      <w:tabs>
        <w:tab w:val="right" w:pos="9356"/>
        <w:tab w:val="right" w:pos="14288"/>
      </w:tabs>
      <w:rPr>
        <w:szCs w:val="22"/>
        <w:lang w:val="en-US"/>
      </w:rPr>
    </w:pPr>
    <w:r w:rsidRPr="002F3B54">
      <w:rPr>
        <w:rFonts w:eastAsia="MS Mincho" w:cs="Arial"/>
        <w:sz w:val="20"/>
        <w:szCs w:val="16"/>
      </w:rPr>
      <w:fldChar w:fldCharType="begin"/>
    </w:r>
    <w:r w:rsidRPr="002F3B54">
      <w:rPr>
        <w:rFonts w:eastAsia="MS Mincho" w:cs="Arial"/>
        <w:sz w:val="20"/>
        <w:szCs w:val="16"/>
      </w:rPr>
      <w:instrText xml:space="preserve"> REF  SDMTitle1 \h  \* MERGEFORMAT </w:instrText>
    </w:r>
    <w:r w:rsidRPr="002F3B54">
      <w:rPr>
        <w:rFonts w:eastAsia="MS Mincho" w:cs="Arial"/>
        <w:sz w:val="20"/>
        <w:szCs w:val="16"/>
      </w:rPr>
    </w:r>
    <w:r w:rsidRPr="002F3B54">
      <w:rPr>
        <w:rFonts w:eastAsia="MS Mincho" w:cs="Arial"/>
        <w:sz w:val="20"/>
        <w:szCs w:val="16"/>
      </w:rPr>
      <w:fldChar w:fldCharType="separate"/>
    </w:r>
    <w:sdt>
      <w:sdtPr>
        <w:rPr>
          <w:rFonts w:eastAsia="MS Mincho" w:cs="Arial"/>
          <w:sz w:val="20"/>
          <w:szCs w:val="16"/>
        </w:rPr>
        <w:alias w:val="SDMTitle1"/>
        <w:tag w:val="SDMTitle1"/>
        <w:id w:val="-273086937"/>
        <w:lock w:val="sdtLocked"/>
        <w:placeholder>
          <w:docPart w:val="49B065CA2D77484499101EBD96DC2970"/>
        </w:placeholder>
      </w:sdtPr>
      <w:sdtEndPr>
        <w:rPr>
          <w:rFonts w:eastAsia="Times New Roman" w:cs="Times New Roman"/>
          <w:sz w:val="22"/>
          <w:szCs w:val="20"/>
        </w:rPr>
      </w:sdtEndPr>
      <w:sdtContent>
        <w:sdt>
          <w:sdtPr>
            <w:rPr>
              <w:rFonts w:eastAsia="MS Mincho" w:cs="Arial"/>
              <w:sz w:val="20"/>
              <w:szCs w:val="16"/>
            </w:rPr>
            <w:alias w:val="SDMDocType"/>
            <w:tag w:val="SDMDocType"/>
            <w:id w:val="1467538598"/>
            <w:lock w:val="sdtContentLocked"/>
            <w:placeholder>
              <w:docPart w:val="D03B6B11BA4A4E3CA63CF80FE4B46C80"/>
            </w:placeholder>
            <w:dropDownList>
              <w:listItem w:displayText="Standard" w:value="Standard"/>
              <w:listItem w:displayText="Guideline" w:value="Guideline"/>
              <w:listItem w:displayText="Procedure" w:value="Procedure"/>
              <w:listItem w:displayText="Information note" w:value="Information note"/>
              <w:listItem w:displayText="Methodology" w:value="Methodology"/>
              <w:listItem w:displayText="Methodological tool" w:value="Methodological tool"/>
              <w:listItem w:displayText="Meeting report" w:value="Meeting report"/>
            </w:dropDownList>
          </w:sdtPr>
          <w:sdtEndPr>
            <w:rPr>
              <w:rFonts w:eastAsia="Times New Roman" w:cs="Times New Roman"/>
              <w:sz w:val="22"/>
              <w:szCs w:val="20"/>
            </w:rPr>
          </w:sdtEndPr>
          <w:sdtContent>
            <w:r w:rsidR="003B0135" w:rsidRPr="003B0135">
              <w:rPr>
                <w:rFonts w:eastAsia="MS Mincho" w:cs="Arial"/>
                <w:sz w:val="20"/>
                <w:szCs w:val="16"/>
              </w:rPr>
              <w:t>Methodological tool</w:t>
            </w:r>
          </w:sdtContent>
        </w:sdt>
      </w:sdtContent>
    </w:sdt>
    <w:r w:rsidRPr="002F3B54">
      <w:rPr>
        <w:rFonts w:eastAsia="MS Mincho" w:cs="Arial"/>
        <w:sz w:val="20"/>
        <w:szCs w:val="16"/>
      </w:rPr>
      <w:fldChar w:fldCharType="end"/>
    </w:r>
    <w:r w:rsidRPr="002F3B54">
      <w:rPr>
        <w:rFonts w:eastAsia="MS Mincho" w:cs="Arial"/>
        <w:sz w:val="20"/>
        <w:szCs w:val="16"/>
      </w:rPr>
      <w:t xml:space="preserve">: </w:t>
    </w:r>
    <w:r w:rsidRPr="002F3B54">
      <w:rPr>
        <w:rFonts w:eastAsia="MS Mincho" w:cs="Arial"/>
        <w:sz w:val="20"/>
        <w:szCs w:val="16"/>
      </w:rPr>
      <w:fldChar w:fldCharType="begin"/>
    </w:r>
    <w:r w:rsidRPr="002F3B54">
      <w:rPr>
        <w:rFonts w:eastAsia="MS Mincho" w:cs="Arial"/>
        <w:sz w:val="20"/>
        <w:szCs w:val="16"/>
      </w:rPr>
      <w:instrText xml:space="preserve"> REF  SDMTitle2 \h  \* MERGEFORMAT </w:instrText>
    </w:r>
    <w:r w:rsidRPr="002F3B54">
      <w:rPr>
        <w:rFonts w:eastAsia="MS Mincho" w:cs="Arial"/>
        <w:sz w:val="20"/>
        <w:szCs w:val="16"/>
      </w:rPr>
    </w:r>
    <w:r w:rsidRPr="002F3B54">
      <w:rPr>
        <w:rFonts w:eastAsia="MS Mincho" w:cs="Arial"/>
        <w:sz w:val="20"/>
        <w:szCs w:val="16"/>
      </w:rPr>
      <w:fldChar w:fldCharType="separate"/>
    </w:r>
    <w:sdt>
      <w:sdtPr>
        <w:rPr>
          <w:rFonts w:eastAsia="MS Mincho" w:cs="Arial"/>
          <w:sz w:val="20"/>
          <w:szCs w:val="16"/>
        </w:rPr>
        <w:alias w:val="SDMTitle2"/>
        <w:tag w:val="SDMTitle2"/>
        <w:id w:val="688487491"/>
        <w:lock w:val="sdtLocked"/>
        <w:placeholder>
          <w:docPart w:val="2F81CB92A401480C907DF2A8AA3254FB"/>
        </w:placeholder>
      </w:sdtPr>
      <w:sdtEndPr>
        <w:rPr>
          <w:rFonts w:eastAsia="Times New Roman" w:cs="Times New Roman"/>
          <w:sz w:val="22"/>
          <w:szCs w:val="20"/>
          <w:lang w:val="de-DE"/>
        </w:rPr>
      </w:sdtEndPr>
      <w:sdtContent>
        <w:sdt>
          <w:sdtPr>
            <w:rPr>
              <w:rFonts w:eastAsia="MS Mincho" w:cs="Arial"/>
              <w:sz w:val="20"/>
              <w:szCs w:val="16"/>
            </w:rPr>
            <w:alias w:val="SDMTitle2"/>
            <w:tag w:val="SDMTitle2"/>
            <w:id w:val="1622350627"/>
            <w:lock w:val="sdtLocked"/>
            <w:placeholder>
              <w:docPart w:val="2D27E8AFCAC845848C79D4D0FB519046"/>
            </w:placeholder>
          </w:sdtPr>
          <w:sdtEndPr>
            <w:rPr>
              <w:rFonts w:eastAsia="Times New Roman" w:cs="Times New Roman"/>
              <w:sz w:val="22"/>
              <w:szCs w:val="20"/>
              <w:lang w:val="de-DE"/>
            </w:rPr>
          </w:sdtEndPr>
          <w:sdtContent>
            <w:r w:rsidR="003B0135" w:rsidRPr="003B0135">
              <w:rPr>
                <w:rFonts w:eastAsia="MS Mincho" w:cs="Arial"/>
                <w:sz w:val="20"/>
                <w:szCs w:val="16"/>
              </w:rPr>
              <w:t xml:space="preserve">Emissions from electricity generation </w:t>
            </w:r>
            <w:r w:rsidR="003B0135" w:rsidRPr="003B0135">
              <w:rPr>
                <w:rFonts w:eastAsia="MS Mincho" w:cs="Arial"/>
                <w:sz w:val="20"/>
                <w:szCs w:val="16"/>
                <w:lang w:val="en-US"/>
              </w:rPr>
              <w:t>and</w:t>
            </w:r>
            <w:r w:rsidR="003B0135" w:rsidRPr="00335746">
              <w:rPr>
                <w:lang w:val="en-US"/>
              </w:rPr>
              <w:t xml:space="preserve"> consumption</w:t>
            </w:r>
          </w:sdtContent>
        </w:sdt>
      </w:sdtContent>
    </w:sdt>
  </w:p>
  <w:p w14:paraId="676CE96E" w14:textId="79E02D11" w:rsidR="00AB69E9" w:rsidRPr="0071171A" w:rsidRDefault="0071171A" w:rsidP="00732581">
    <w:pPr>
      <w:pBdr>
        <w:bottom w:val="single" w:sz="4" w:space="10" w:color="auto"/>
      </w:pBdr>
      <w:tabs>
        <w:tab w:val="right" w:pos="9356"/>
        <w:tab w:val="right" w:pos="14288"/>
      </w:tabs>
    </w:pPr>
    <w:r w:rsidRPr="002F3B54">
      <w:rPr>
        <w:rFonts w:eastAsia="MS Mincho" w:cs="Arial"/>
        <w:sz w:val="20"/>
        <w:szCs w:val="16"/>
      </w:rPr>
      <w:fldChar w:fldCharType="end"/>
    </w:r>
    <w:r w:rsidRPr="002F3B54">
      <w:rPr>
        <w:rFonts w:eastAsia="MS Mincho" w:cs="Arial"/>
        <w:sz w:val="20"/>
        <w:szCs w:val="16"/>
      </w:rPr>
      <w:fldChar w:fldCharType="begin"/>
    </w:r>
    <w:r w:rsidRPr="002F3B54">
      <w:rPr>
        <w:rFonts w:eastAsia="MS Mincho" w:cs="Arial"/>
        <w:sz w:val="20"/>
        <w:szCs w:val="16"/>
        <w:lang w:val="en-US"/>
      </w:rPr>
      <w:instrText xml:space="preserve"> REF  SDMDocVerLab \h  \* MERGEFORMAT </w:instrText>
    </w:r>
    <w:r w:rsidRPr="002F3B54">
      <w:rPr>
        <w:rFonts w:eastAsia="MS Mincho" w:cs="Arial"/>
        <w:sz w:val="20"/>
        <w:szCs w:val="16"/>
      </w:rPr>
    </w:r>
    <w:r w:rsidRPr="002F3B54">
      <w:rPr>
        <w:rFonts w:eastAsia="MS Mincho" w:cs="Arial"/>
        <w:sz w:val="20"/>
        <w:szCs w:val="16"/>
      </w:rPr>
      <w:fldChar w:fldCharType="separate"/>
    </w:r>
    <w:sdt>
      <w:sdtPr>
        <w:rPr>
          <w:rFonts w:eastAsia="MS Mincho" w:cs="Arial"/>
          <w:sz w:val="20"/>
          <w:szCs w:val="16"/>
        </w:rPr>
        <w:alias w:val="SDMDocVersionLabel"/>
        <w:tag w:val="SDMDocVersionLabel"/>
        <w:id w:val="-1385719371"/>
        <w:lock w:val="sdtLocked"/>
        <w:placeholder>
          <w:docPart w:val="655FB8789F1643858F6D9785BA87A4F4"/>
        </w:placeholder>
      </w:sdtPr>
      <w:sdtEndPr/>
      <w:sdtContent>
        <w:r w:rsidR="003B0135" w:rsidRPr="003B0135">
          <w:rPr>
            <w:rFonts w:eastAsia="MS Mincho" w:cs="Arial"/>
            <w:sz w:val="20"/>
            <w:szCs w:val="16"/>
            <w:lang w:val="en-US"/>
          </w:rPr>
          <w:t xml:space="preserve">Version </w:t>
        </w:r>
      </w:sdtContent>
    </w:sdt>
    <w:r w:rsidRPr="002F3B54">
      <w:rPr>
        <w:rFonts w:eastAsia="MS Mincho" w:cs="Arial"/>
        <w:sz w:val="20"/>
        <w:szCs w:val="16"/>
      </w:rPr>
      <w:fldChar w:fldCharType="end"/>
    </w:r>
    <w:r w:rsidRPr="002F3B54">
      <w:rPr>
        <w:rFonts w:eastAsia="MS Mincho" w:cs="Arial"/>
        <w:sz w:val="20"/>
        <w:szCs w:val="16"/>
      </w:rPr>
      <w:fldChar w:fldCharType="begin"/>
    </w:r>
    <w:r w:rsidRPr="002F3B54">
      <w:rPr>
        <w:rFonts w:eastAsia="MS Mincho" w:cs="Arial"/>
        <w:sz w:val="20"/>
        <w:szCs w:val="16"/>
        <w:lang w:val="en-US"/>
      </w:rPr>
      <w:instrText xml:space="preserve"> REF  SDMDocVer \h  \* MERGEFORMAT </w:instrText>
    </w:r>
    <w:r w:rsidRPr="002F3B54">
      <w:rPr>
        <w:rFonts w:eastAsia="MS Mincho" w:cs="Arial"/>
        <w:sz w:val="20"/>
        <w:szCs w:val="16"/>
      </w:rPr>
    </w:r>
    <w:r w:rsidRPr="002F3B54">
      <w:rPr>
        <w:rFonts w:eastAsia="MS Mincho" w:cs="Arial"/>
        <w:sz w:val="20"/>
        <w:szCs w:val="16"/>
      </w:rPr>
      <w:fldChar w:fldCharType="separate"/>
    </w:r>
    <w:sdt>
      <w:sdtPr>
        <w:rPr>
          <w:rFonts w:eastAsia="MS Mincho" w:cs="Arial"/>
          <w:sz w:val="20"/>
          <w:szCs w:val="16"/>
        </w:rPr>
        <w:alias w:val="SDMDocVer"/>
        <w:tag w:val="SDMDocVer"/>
        <w:id w:val="1277137466"/>
        <w:lock w:val="sdtLocked"/>
        <w:placeholder>
          <w:docPart w:val="E67955C34C9B4AED80DC3DA8F66152DD"/>
        </w:placeholder>
      </w:sdtPr>
      <w:sdtEndPr/>
      <w:sdtContent>
        <w:r w:rsidR="003B0135" w:rsidRPr="003B0135">
          <w:rPr>
            <w:rFonts w:eastAsia="MS Mincho" w:cs="Arial"/>
            <w:sz w:val="20"/>
            <w:szCs w:val="16"/>
          </w:rPr>
          <w:t>02.0</w:t>
        </w:r>
      </w:sdtContent>
    </w:sdt>
    <w:r w:rsidRPr="002F3B54">
      <w:rPr>
        <w:rFonts w:eastAsia="MS Mincho" w:cs="Arial"/>
        <w:sz w:val="20"/>
        <w:szCs w:val="1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604B3"/>
    <w:multiLevelType w:val="multilevel"/>
    <w:tmpl w:val="F3D6E6FA"/>
    <w:name w:val="Reg26"/>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4.%8"/>
      <w:lvlJc w:val="left"/>
      <w:pPr>
        <w:tabs>
          <w:tab w:val="num" w:pos="720"/>
        </w:tabs>
        <w:ind w:left="0" w:firstLine="0"/>
      </w:pPr>
    </w:lvl>
    <w:lvl w:ilvl="8">
      <w:start w:val="1"/>
      <w:numFmt w:val="none"/>
      <w:lvlText w:val="[(%5)%9"/>
      <w:lvlJc w:val="left"/>
      <w:pPr>
        <w:tabs>
          <w:tab w:val="num" w:pos="1440"/>
        </w:tabs>
        <w:ind w:left="1440" w:hanging="720"/>
      </w:pPr>
    </w:lvl>
  </w:abstractNum>
  <w:abstractNum w:abstractNumId="1" w15:restartNumberingAfterBreak="0">
    <w:nsid w:val="01DF7C84"/>
    <w:multiLevelType w:val="multilevel"/>
    <w:tmpl w:val="F64666FC"/>
    <w:name w:val="Reg3"/>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3.%8"/>
      <w:lvlJc w:val="left"/>
      <w:pPr>
        <w:tabs>
          <w:tab w:val="num" w:pos="720"/>
        </w:tabs>
        <w:ind w:left="720" w:hanging="720"/>
      </w:pPr>
    </w:lvl>
    <w:lvl w:ilvl="8">
      <w:start w:val="1"/>
      <w:numFmt w:val="none"/>
      <w:lvlText w:val="[(%5)%9"/>
      <w:lvlJc w:val="left"/>
      <w:pPr>
        <w:tabs>
          <w:tab w:val="num" w:pos="1440"/>
        </w:tabs>
        <w:ind w:left="1440" w:hanging="720"/>
      </w:pPr>
    </w:lvl>
  </w:abstractNum>
  <w:abstractNum w:abstractNumId="2" w15:restartNumberingAfterBreak="0">
    <w:nsid w:val="07417693"/>
    <w:multiLevelType w:val="multilevel"/>
    <w:tmpl w:val="648A687A"/>
    <w:styleLink w:val="SDMTableBoxParaNumberedList"/>
    <w:lvl w:ilvl="0">
      <w:start w:val="1"/>
      <w:numFmt w:val="none"/>
      <w:pStyle w:val="SDMTableBoxParaNumbered"/>
      <w:lvlText w:val="%1"/>
      <w:lvlJc w:val="left"/>
      <w:pPr>
        <w:tabs>
          <w:tab w:val="num" w:pos="0"/>
        </w:tabs>
        <w:ind w:left="0" w:firstLine="0"/>
      </w:pPr>
      <w:rPr>
        <w:rFonts w:hint="default"/>
      </w:rPr>
    </w:lvl>
    <w:lvl w:ilvl="1">
      <w:start w:val="1"/>
      <w:numFmt w:val="decimal"/>
      <w:lvlText w:val="%2."/>
      <w:lvlJc w:val="left"/>
      <w:pPr>
        <w:tabs>
          <w:tab w:val="num" w:pos="397"/>
        </w:tabs>
        <w:ind w:left="397" w:hanging="397"/>
      </w:pPr>
      <w:rPr>
        <w:rFonts w:hint="default"/>
      </w:rPr>
    </w:lvl>
    <w:lvl w:ilvl="2">
      <w:start w:val="1"/>
      <w:numFmt w:val="lowerLetter"/>
      <w:lvlText w:val="(%3)"/>
      <w:lvlJc w:val="left"/>
      <w:pPr>
        <w:tabs>
          <w:tab w:val="num" w:pos="851"/>
        </w:tabs>
        <w:ind w:left="851" w:hanging="454"/>
      </w:pPr>
      <w:rPr>
        <w:rFonts w:hint="default"/>
      </w:rPr>
    </w:lvl>
    <w:lvl w:ilvl="3">
      <w:start w:val="1"/>
      <w:numFmt w:val="lowerRoman"/>
      <w:lvlText w:val="(%4)"/>
      <w:lvlJc w:val="left"/>
      <w:pPr>
        <w:tabs>
          <w:tab w:val="num" w:pos="1304"/>
        </w:tabs>
        <w:ind w:left="1304" w:hanging="453"/>
      </w:pPr>
      <w:rPr>
        <w:rFonts w:hint="default"/>
      </w:rPr>
    </w:lvl>
    <w:lvl w:ilvl="4">
      <w:start w:val="1"/>
      <w:numFmt w:val="lowerLetter"/>
      <w:lvlText w:val="%5."/>
      <w:lvlJc w:val="left"/>
      <w:pPr>
        <w:tabs>
          <w:tab w:val="num" w:pos="1644"/>
        </w:tabs>
        <w:ind w:left="1644" w:hanging="340"/>
      </w:pPr>
      <w:rPr>
        <w:rFonts w:hint="default"/>
      </w:rPr>
    </w:lvl>
    <w:lvl w:ilvl="5">
      <w:start w:val="1"/>
      <w:numFmt w:val="lowerRoman"/>
      <w:lvlText w:val="%6."/>
      <w:lvlJc w:val="left"/>
      <w:pPr>
        <w:tabs>
          <w:tab w:val="num" w:pos="1956"/>
        </w:tabs>
        <w:ind w:left="1956" w:hanging="312"/>
      </w:pPr>
      <w:rPr>
        <w:rFonts w:hint="default"/>
      </w:rPr>
    </w:lvl>
    <w:lvl w:ilvl="6">
      <w:start w:val="1"/>
      <w:numFmt w:val="none"/>
      <w:lvlText w:val="%7"/>
      <w:lvlJc w:val="left"/>
      <w:pPr>
        <w:ind w:left="0" w:firstLine="0"/>
      </w:pPr>
      <w:rPr>
        <w:rFonts w:hint="default"/>
      </w:rPr>
    </w:lvl>
    <w:lvl w:ilvl="7">
      <w:start w:val="1"/>
      <w:numFmt w:val="none"/>
      <w:lvlText w:val="%8"/>
      <w:lvlJc w:val="left"/>
      <w:pPr>
        <w:tabs>
          <w:tab w:val="num" w:pos="0"/>
        </w:tabs>
        <w:ind w:left="0" w:firstLine="0"/>
      </w:pPr>
      <w:rPr>
        <w:rFonts w:hint="default"/>
      </w:rPr>
    </w:lvl>
    <w:lvl w:ilvl="8">
      <w:start w:val="1"/>
      <w:numFmt w:val="none"/>
      <w:lvlText w:val="%9"/>
      <w:lvlJc w:val="left"/>
      <w:pPr>
        <w:ind w:left="0" w:firstLine="0"/>
      </w:pPr>
      <w:rPr>
        <w:rFonts w:hint="default"/>
      </w:rPr>
    </w:lvl>
  </w:abstractNum>
  <w:abstractNum w:abstractNumId="3" w15:restartNumberingAfterBreak="0">
    <w:nsid w:val="0AAC1DEE"/>
    <w:multiLevelType w:val="multilevel"/>
    <w:tmpl w:val="EBF238F8"/>
    <w:name w:val="Reg7"/>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3.%8"/>
      <w:lvlJc w:val="left"/>
      <w:pPr>
        <w:tabs>
          <w:tab w:val="num" w:pos="720"/>
        </w:tabs>
        <w:ind w:left="720" w:hanging="720"/>
      </w:pPr>
    </w:lvl>
    <w:lvl w:ilvl="8">
      <w:start w:val="1"/>
      <w:numFmt w:val="none"/>
      <w:lvlText w:val="[(%5)%9"/>
      <w:lvlJc w:val="left"/>
      <w:pPr>
        <w:tabs>
          <w:tab w:val="num" w:pos="1440"/>
        </w:tabs>
        <w:ind w:left="1440" w:hanging="720"/>
      </w:pPr>
    </w:lvl>
  </w:abstractNum>
  <w:abstractNum w:abstractNumId="4" w15:restartNumberingAfterBreak="0">
    <w:nsid w:val="0AB21255"/>
    <w:multiLevelType w:val="multilevel"/>
    <w:tmpl w:val="A28EC812"/>
    <w:lvl w:ilvl="0">
      <w:start w:val="1"/>
      <w:numFmt w:val="decimal"/>
      <w:suff w:val="nothing"/>
      <w:lvlText w:val="Equation (%1)"/>
      <w:lvlJc w:val="left"/>
      <w:pPr>
        <w:ind w:left="0" w:firstLine="0"/>
      </w:pPr>
    </w:lvl>
    <w:lvl w:ilvl="1">
      <w:start w:val="1"/>
      <w:numFmt w:val="decimal"/>
      <w:suff w:val="nothing"/>
      <w:lvlText w:val=""/>
      <w:lvlJc w:val="left"/>
      <w:pPr>
        <w:ind w:left="0" w:firstLine="0"/>
      </w:pPr>
    </w:lvl>
    <w:lvl w:ilvl="2">
      <w:start w:val="1"/>
      <w:numFmt w:val="decimal"/>
      <w:suff w:val="nothing"/>
      <w:lvlText w:val=""/>
      <w:lvlJc w:val="left"/>
      <w:pPr>
        <w:ind w:left="0" w:firstLine="0"/>
      </w:pPr>
    </w:lvl>
    <w:lvl w:ilvl="3">
      <w:start w:val="1"/>
      <w:numFmt w:val="decimal"/>
      <w:suff w:val="nothing"/>
      <w:lvlText w:val=""/>
      <w:lvlJc w:val="left"/>
      <w:pPr>
        <w:ind w:left="0" w:firstLine="0"/>
      </w:pPr>
    </w:lvl>
    <w:lvl w:ilvl="4">
      <w:start w:val="1"/>
      <w:numFmt w:val="decimal"/>
      <w:suff w:val="nothing"/>
      <w:lvlText w:val=""/>
      <w:lvlJc w:val="left"/>
      <w:pPr>
        <w:ind w:left="0" w:firstLine="0"/>
      </w:pPr>
    </w:lvl>
    <w:lvl w:ilvl="5">
      <w:start w:val="1"/>
      <w:numFmt w:val="decimal"/>
      <w:suff w:val="nothing"/>
      <w:lvlText w:val=""/>
      <w:lvlJc w:val="left"/>
      <w:pPr>
        <w:ind w:left="0" w:firstLine="0"/>
      </w:pPr>
    </w:lvl>
    <w:lvl w:ilvl="6">
      <w:start w:val="1"/>
      <w:numFmt w:val="decimal"/>
      <w:suff w:val="nothing"/>
      <w:lvlText w:val=""/>
      <w:lvlJc w:val="left"/>
      <w:pPr>
        <w:ind w:left="0" w:firstLine="0"/>
      </w:pPr>
    </w:lvl>
    <w:lvl w:ilvl="7">
      <w:start w:val="1"/>
      <w:numFmt w:val="decimal"/>
      <w:suff w:val="nothing"/>
      <w:lvlText w:val=""/>
      <w:lvlJc w:val="left"/>
      <w:pPr>
        <w:ind w:left="0" w:firstLine="0"/>
      </w:pPr>
    </w:lvl>
    <w:lvl w:ilvl="8">
      <w:start w:val="1"/>
      <w:numFmt w:val="decimal"/>
      <w:suff w:val="nothing"/>
      <w:lvlText w:val=""/>
      <w:lvlJc w:val="left"/>
      <w:pPr>
        <w:ind w:left="0" w:firstLine="0"/>
      </w:pPr>
    </w:lvl>
  </w:abstractNum>
  <w:abstractNum w:abstractNumId="5" w15:restartNumberingAfterBreak="0">
    <w:nsid w:val="0FB12BA1"/>
    <w:multiLevelType w:val="multilevel"/>
    <w:tmpl w:val="45C27C68"/>
    <w:styleLink w:val="SDMFootnoteList"/>
    <w:lvl w:ilvl="0">
      <w:start w:val="1"/>
      <w:numFmt w:val="none"/>
      <w:pStyle w:val="FootnoteText"/>
      <w:suff w:val="nothing"/>
      <w:lvlText w:val=""/>
      <w:lvlJc w:val="left"/>
      <w:pPr>
        <w:ind w:left="227" w:hanging="227"/>
      </w:pPr>
      <w:rPr>
        <w:rFonts w:hint="default"/>
      </w:rPr>
    </w:lvl>
    <w:lvl w:ilvl="1">
      <w:start w:val="1"/>
      <w:numFmt w:val="lowerLetter"/>
      <w:lvlText w:val="(%2)"/>
      <w:lvlJc w:val="left"/>
      <w:pPr>
        <w:ind w:left="624" w:hanging="397"/>
      </w:pPr>
      <w:rPr>
        <w:rFonts w:hint="default"/>
      </w:rPr>
    </w:lvl>
    <w:lvl w:ilvl="2">
      <w:start w:val="1"/>
      <w:numFmt w:val="lowerRoman"/>
      <w:lvlText w:val="(%3)"/>
      <w:lvlJc w:val="left"/>
      <w:pPr>
        <w:ind w:left="1021" w:hanging="397"/>
      </w:pPr>
      <w:rPr>
        <w:rFonts w:hint="default"/>
      </w:rPr>
    </w:lvl>
    <w:lvl w:ilvl="3">
      <w:start w:val="1"/>
      <w:numFmt w:val="lowerLetter"/>
      <w:lvlText w:val="%4."/>
      <w:lvlJc w:val="left"/>
      <w:pPr>
        <w:ind w:left="1418" w:hanging="397"/>
      </w:pPr>
      <w:rPr>
        <w:rFonts w:hint="default"/>
      </w:rPr>
    </w:lvl>
    <w:lvl w:ilvl="4">
      <w:start w:val="1"/>
      <w:numFmt w:val="lowerRoman"/>
      <w:lvlText w:val="%5."/>
      <w:lvlJc w:val="left"/>
      <w:pPr>
        <w:ind w:left="1814" w:hanging="396"/>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6" w15:restartNumberingAfterBreak="0">
    <w:nsid w:val="0FD52077"/>
    <w:multiLevelType w:val="multilevel"/>
    <w:tmpl w:val="BBF64322"/>
    <w:styleLink w:val="SDMMethEquationNrList"/>
    <w:lvl w:ilvl="0">
      <w:start w:val="1"/>
      <w:numFmt w:val="decimal"/>
      <w:pStyle w:val="SDMMethEquationNr"/>
      <w:suff w:val="nothing"/>
      <w:lvlText w:val="Equation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7" w15:restartNumberingAfterBreak="0">
    <w:nsid w:val="10BF2A88"/>
    <w:multiLevelType w:val="multilevel"/>
    <w:tmpl w:val="87F2B1A4"/>
    <w:name w:val="Reg5"/>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3.%8"/>
      <w:lvlJc w:val="left"/>
      <w:pPr>
        <w:tabs>
          <w:tab w:val="num" w:pos="720"/>
        </w:tabs>
        <w:ind w:left="720" w:hanging="720"/>
      </w:pPr>
    </w:lvl>
    <w:lvl w:ilvl="8">
      <w:start w:val="1"/>
      <w:numFmt w:val="none"/>
      <w:lvlText w:val="[(%5)%9"/>
      <w:lvlJc w:val="left"/>
      <w:pPr>
        <w:tabs>
          <w:tab w:val="num" w:pos="1440"/>
        </w:tabs>
        <w:ind w:left="1440" w:hanging="720"/>
      </w:pPr>
    </w:lvl>
  </w:abstractNum>
  <w:abstractNum w:abstractNumId="8" w15:restartNumberingAfterBreak="0">
    <w:nsid w:val="14233F79"/>
    <w:multiLevelType w:val="multilevel"/>
    <w:tmpl w:val="C60EC370"/>
    <w:name w:val="Reg23"/>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4.%8"/>
      <w:lvlJc w:val="left"/>
      <w:pPr>
        <w:tabs>
          <w:tab w:val="num" w:pos="720"/>
        </w:tabs>
        <w:ind w:left="0" w:firstLine="0"/>
      </w:pPr>
    </w:lvl>
    <w:lvl w:ilvl="8">
      <w:start w:val="1"/>
      <w:numFmt w:val="none"/>
      <w:lvlText w:val="[(%5)%9"/>
      <w:lvlJc w:val="left"/>
      <w:pPr>
        <w:tabs>
          <w:tab w:val="num" w:pos="1440"/>
        </w:tabs>
        <w:ind w:left="1440" w:hanging="720"/>
      </w:pPr>
    </w:lvl>
  </w:abstractNum>
  <w:abstractNum w:abstractNumId="9" w15:restartNumberingAfterBreak="0">
    <w:nsid w:val="14357087"/>
    <w:multiLevelType w:val="multilevel"/>
    <w:tmpl w:val="F38A7462"/>
    <w:styleLink w:val="SDMTableBoxFigureFootnoteFullPageList"/>
    <w:lvl w:ilvl="0">
      <w:start w:val="1"/>
      <w:numFmt w:val="lowerLetter"/>
      <w:lvlText w:val="(%1)"/>
      <w:lvlJc w:val="left"/>
      <w:pPr>
        <w:ind w:left="142" w:hanging="255"/>
      </w:pPr>
      <w:rPr>
        <w:rFonts w:hint="default"/>
        <w:vertAlign w:val="superscript"/>
      </w:rPr>
    </w:lvl>
    <w:lvl w:ilvl="1">
      <w:start w:val="1"/>
      <w:numFmt w:val="decimal"/>
      <w:lvlText w:val="%2."/>
      <w:lvlJc w:val="left"/>
      <w:pPr>
        <w:ind w:left="454" w:hanging="312"/>
      </w:pPr>
      <w:rPr>
        <w:rFonts w:hint="default"/>
      </w:rPr>
    </w:lvl>
    <w:lvl w:ilvl="2">
      <w:start w:val="1"/>
      <w:numFmt w:val="lowerLetter"/>
      <w:lvlText w:val="(%3)"/>
      <w:lvlJc w:val="left"/>
      <w:pPr>
        <w:ind w:left="851" w:hanging="397"/>
      </w:pPr>
      <w:rPr>
        <w:rFonts w:hint="default"/>
      </w:rPr>
    </w:lvl>
    <w:lvl w:ilvl="3">
      <w:start w:val="1"/>
      <w:numFmt w:val="lowerRoman"/>
      <w:lvlText w:val="(%4)"/>
      <w:lvlJc w:val="left"/>
      <w:pPr>
        <w:ind w:left="1247" w:hanging="396"/>
      </w:pPr>
      <w:rPr>
        <w:rFonts w:hint="default"/>
      </w:rPr>
    </w:lvl>
    <w:lvl w:ilvl="4">
      <w:start w:val="1"/>
      <w:numFmt w:val="lowerLetter"/>
      <w:lvlText w:val="%5."/>
      <w:lvlJc w:val="left"/>
      <w:pPr>
        <w:ind w:left="1588" w:hanging="341"/>
      </w:pPr>
      <w:rPr>
        <w:rFonts w:hint="default"/>
      </w:rPr>
    </w:lvl>
    <w:lvl w:ilvl="5">
      <w:start w:val="1"/>
      <w:numFmt w:val="lowerRoman"/>
      <w:lvlText w:val="%6."/>
      <w:lvlJc w:val="left"/>
      <w:pPr>
        <w:ind w:left="2041" w:hanging="453"/>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0" w15:restartNumberingAfterBreak="0">
    <w:nsid w:val="145420C1"/>
    <w:multiLevelType w:val="multilevel"/>
    <w:tmpl w:val="A17458AC"/>
    <w:name w:val="Reg19"/>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4.%8"/>
      <w:lvlJc w:val="left"/>
      <w:pPr>
        <w:tabs>
          <w:tab w:val="num" w:pos="720"/>
        </w:tabs>
        <w:ind w:left="0" w:firstLine="0"/>
      </w:pPr>
    </w:lvl>
    <w:lvl w:ilvl="8">
      <w:start w:val="1"/>
      <w:numFmt w:val="none"/>
      <w:lvlText w:val="[(%5)%9"/>
      <w:lvlJc w:val="left"/>
      <w:pPr>
        <w:tabs>
          <w:tab w:val="num" w:pos="1440"/>
        </w:tabs>
        <w:ind w:left="1440" w:hanging="720"/>
      </w:pPr>
    </w:lvl>
  </w:abstractNum>
  <w:abstractNum w:abstractNumId="11" w15:restartNumberingAfterBreak="0">
    <w:nsid w:val="155523F4"/>
    <w:multiLevelType w:val="multilevel"/>
    <w:tmpl w:val="A6C8D0E2"/>
    <w:name w:val="Reg30"/>
    <w:lvl w:ilvl="0">
      <w:start w:val="1"/>
      <w:numFmt w:val="upperRoman"/>
      <w:suff w:val="space"/>
      <w:lvlText w:val="%1. "/>
      <w:lvlJc w:val="center"/>
      <w:pPr>
        <w:ind w:left="0" w:firstLine="0"/>
      </w:pPr>
      <w:rPr>
        <w:rFonts w:ascii="Times New Roman" w:hAnsi="Times New Roman" w:hint="default"/>
        <w:b/>
        <w:i w:val="0"/>
        <w:sz w:val="22"/>
      </w:rPr>
    </w:lvl>
    <w:lvl w:ilvl="1">
      <w:start w:val="1"/>
      <w:numFmt w:val="upperLetter"/>
      <w:suff w:val="space"/>
      <w:lvlText w:val="%2. "/>
      <w:lvlJc w:val="center"/>
      <w:pPr>
        <w:ind w:left="0" w:firstLine="0"/>
      </w:pPr>
      <w:rPr>
        <w:rFonts w:hint="default"/>
        <w:b/>
        <w:sz w:val="22"/>
        <w:u w:val="none"/>
      </w:rPr>
    </w:lvl>
    <w:lvl w:ilvl="2">
      <w:start w:val="1"/>
      <w:numFmt w:val="decimal"/>
      <w:suff w:val="space"/>
      <w:lvlText w:val="%3. "/>
      <w:lvlJc w:val="center"/>
      <w:pPr>
        <w:ind w:left="0" w:firstLine="0"/>
      </w:pPr>
      <w:rPr>
        <w:rFonts w:hint="default"/>
        <w:b w:val="0"/>
        <w:sz w:val="22"/>
        <w:u w:val="none"/>
      </w:rPr>
    </w:lvl>
    <w:lvl w:ilvl="3">
      <w:start w:val="1"/>
      <w:numFmt w:val="decimal"/>
      <w:lvlRestart w:val="0"/>
      <w:lvlText w:val="%4."/>
      <w:lvlJc w:val="left"/>
      <w:pPr>
        <w:tabs>
          <w:tab w:val="num" w:pos="720"/>
        </w:tabs>
        <w:ind w:left="0" w:firstLine="0"/>
      </w:pPr>
      <w:rPr>
        <w:rFonts w:hint="default"/>
        <w:b w:val="0"/>
        <w:sz w:val="22"/>
      </w:rPr>
    </w:lvl>
    <w:lvl w:ilvl="4">
      <w:start w:val="1"/>
      <w:numFmt w:val="lowerLetter"/>
      <w:lvlText w:val="(%5)"/>
      <w:lvlJc w:val="left"/>
      <w:pPr>
        <w:tabs>
          <w:tab w:val="num" w:pos="1440"/>
        </w:tabs>
        <w:ind w:left="1440" w:hanging="720"/>
      </w:pPr>
      <w:rPr>
        <w:rFonts w:hint="default"/>
        <w:b w:val="0"/>
        <w:sz w:val="22"/>
      </w:rPr>
    </w:lvl>
    <w:lvl w:ilvl="5">
      <w:start w:val="1"/>
      <w:numFmt w:val="lowerRoman"/>
      <w:lvlText w:val="(%6)"/>
      <w:lvlJc w:val="right"/>
      <w:pPr>
        <w:tabs>
          <w:tab w:val="num" w:pos="2160"/>
        </w:tabs>
        <w:ind w:left="2160" w:hanging="573"/>
      </w:pPr>
      <w:rPr>
        <w:rFonts w:hint="default"/>
      </w:rPr>
    </w:lvl>
    <w:lvl w:ilvl="6">
      <w:start w:val="1"/>
      <w:numFmt w:val="lowerLetter"/>
      <w:lvlText w:val=""/>
      <w:lvlJc w:val="left"/>
      <w:pPr>
        <w:tabs>
          <w:tab w:val="num" w:pos="2880"/>
        </w:tabs>
        <w:ind w:left="2880" w:hanging="720"/>
      </w:pPr>
      <w:rPr>
        <w:rFonts w:ascii="Symbol" w:hAnsi="Symbol" w:hint="default"/>
      </w:rPr>
    </w:lvl>
    <w:lvl w:ilvl="7">
      <w:start w:val="1"/>
      <w:numFmt w:val="none"/>
      <w:lvlText w:val="[%4.%8"/>
      <w:lvlJc w:val="left"/>
      <w:pPr>
        <w:tabs>
          <w:tab w:val="num" w:pos="720"/>
        </w:tabs>
        <w:ind w:left="0" w:firstLine="0"/>
      </w:pPr>
      <w:rPr>
        <w:rFonts w:hint="default"/>
      </w:rPr>
    </w:lvl>
    <w:lvl w:ilvl="8">
      <w:start w:val="1"/>
      <w:numFmt w:val="none"/>
      <w:lvlText w:val="[(%5)%9"/>
      <w:lvlJc w:val="left"/>
      <w:pPr>
        <w:tabs>
          <w:tab w:val="num" w:pos="1440"/>
        </w:tabs>
        <w:ind w:left="1440" w:hanging="720"/>
      </w:pPr>
      <w:rPr>
        <w:rFonts w:hint="default"/>
      </w:rPr>
    </w:lvl>
  </w:abstractNum>
  <w:abstractNum w:abstractNumId="12" w15:restartNumberingAfterBreak="0">
    <w:nsid w:val="15B44D7C"/>
    <w:multiLevelType w:val="multilevel"/>
    <w:tmpl w:val="3CC81634"/>
    <w:styleLink w:val="SDMTablesFiguresNoteList"/>
    <w:lvl w:ilvl="0">
      <w:start w:val="1"/>
      <w:numFmt w:val="lowerLetter"/>
      <w:lvlText w:val="(%1)"/>
      <w:lvlJc w:val="left"/>
      <w:pPr>
        <w:ind w:left="142" w:hanging="255"/>
      </w:pPr>
      <w:rPr>
        <w:vertAlign w:val="superscript"/>
      </w:rPr>
    </w:lvl>
    <w:lvl w:ilvl="1">
      <w:start w:val="1"/>
      <w:numFmt w:val="decimal"/>
      <w:lvlText w:val="%2."/>
      <w:lvlJc w:val="left"/>
      <w:pPr>
        <w:ind w:left="454" w:hanging="312"/>
      </w:pPr>
    </w:lvl>
    <w:lvl w:ilvl="2">
      <w:start w:val="1"/>
      <w:numFmt w:val="lowerLetter"/>
      <w:lvlText w:val="(%3)"/>
      <w:lvlJc w:val="left"/>
      <w:pPr>
        <w:ind w:left="851" w:hanging="397"/>
      </w:pPr>
    </w:lvl>
    <w:lvl w:ilvl="3">
      <w:start w:val="1"/>
      <w:numFmt w:val="lowerRoman"/>
      <w:lvlText w:val="(%4)"/>
      <w:lvlJc w:val="left"/>
      <w:pPr>
        <w:ind w:left="1247" w:hanging="396"/>
      </w:pPr>
    </w:lvl>
    <w:lvl w:ilvl="4">
      <w:start w:val="1"/>
      <w:numFmt w:val="lowerLetter"/>
      <w:lvlText w:val="%5."/>
      <w:lvlJc w:val="left"/>
      <w:pPr>
        <w:ind w:left="1588" w:hanging="341"/>
      </w:pPr>
    </w:lvl>
    <w:lvl w:ilvl="5">
      <w:start w:val="1"/>
      <w:numFmt w:val="lowerRoman"/>
      <w:lvlText w:val="%6."/>
      <w:lvlJc w:val="left"/>
      <w:pPr>
        <w:ind w:left="2041" w:hanging="453"/>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13" w15:restartNumberingAfterBreak="0">
    <w:nsid w:val="15EB1E20"/>
    <w:multiLevelType w:val="multilevel"/>
    <w:tmpl w:val="24A2E20A"/>
    <w:styleLink w:val="SDMCovNoteHeadList"/>
    <w:lvl w:ilvl="0">
      <w:start w:val="1"/>
      <w:numFmt w:val="decimal"/>
      <w:pStyle w:val="SDMCovNoteHead1"/>
      <w:lvlText w:val="%1."/>
      <w:lvlJc w:val="left"/>
      <w:pPr>
        <w:tabs>
          <w:tab w:val="num" w:pos="709"/>
        </w:tabs>
        <w:ind w:left="709" w:hanging="709"/>
      </w:pPr>
      <w:rPr>
        <w:rFonts w:hint="default"/>
      </w:rPr>
    </w:lvl>
    <w:lvl w:ilvl="1">
      <w:start w:val="1"/>
      <w:numFmt w:val="decimal"/>
      <w:pStyle w:val="SDMCovNoteHead2"/>
      <w:lvlText w:val="%1.%2."/>
      <w:lvlJc w:val="left"/>
      <w:pPr>
        <w:tabs>
          <w:tab w:val="num" w:pos="709"/>
        </w:tabs>
        <w:ind w:left="794" w:hanging="794"/>
      </w:pPr>
      <w:rPr>
        <w:rFonts w:hint="default"/>
      </w:rPr>
    </w:lvl>
    <w:lvl w:ilvl="2">
      <w:start w:val="1"/>
      <w:numFmt w:val="decimal"/>
      <w:pStyle w:val="SDMCovNoteHead3"/>
      <w:lvlText w:val="%1.%2.%3."/>
      <w:lvlJc w:val="left"/>
      <w:pPr>
        <w:tabs>
          <w:tab w:val="num" w:pos="709"/>
        </w:tabs>
        <w:ind w:left="1191" w:hanging="1191"/>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4" w15:restartNumberingAfterBreak="0">
    <w:nsid w:val="16404ED9"/>
    <w:multiLevelType w:val="multilevel"/>
    <w:tmpl w:val="3CC81634"/>
    <w:styleLink w:val="SDMMethEquationNumberingList"/>
    <w:lvl w:ilvl="0">
      <w:start w:val="1"/>
      <w:numFmt w:val="lowerLetter"/>
      <w:pStyle w:val="SDMTableBoxFigureFootnoteFullPage"/>
      <w:lvlText w:val="(%1)"/>
      <w:lvlJc w:val="left"/>
      <w:pPr>
        <w:ind w:left="142" w:hanging="255"/>
      </w:pPr>
      <w:rPr>
        <w:rFonts w:hint="default"/>
        <w:vertAlign w:val="superscript"/>
      </w:rPr>
    </w:lvl>
    <w:lvl w:ilvl="1">
      <w:start w:val="1"/>
      <w:numFmt w:val="decimal"/>
      <w:pStyle w:val="SDMTableBoxFigureFootnoteSL1FullPage"/>
      <w:lvlText w:val="%2."/>
      <w:lvlJc w:val="left"/>
      <w:pPr>
        <w:ind w:left="454" w:hanging="312"/>
      </w:pPr>
      <w:rPr>
        <w:rFonts w:hint="default"/>
      </w:rPr>
    </w:lvl>
    <w:lvl w:ilvl="2">
      <w:start w:val="1"/>
      <w:numFmt w:val="lowerLetter"/>
      <w:pStyle w:val="SDMTableBoxFigureFootnoteSL2FullPage"/>
      <w:lvlText w:val="(%3)"/>
      <w:lvlJc w:val="left"/>
      <w:pPr>
        <w:ind w:left="851" w:hanging="397"/>
      </w:pPr>
      <w:rPr>
        <w:rFonts w:hint="default"/>
      </w:rPr>
    </w:lvl>
    <w:lvl w:ilvl="3">
      <w:start w:val="1"/>
      <w:numFmt w:val="lowerRoman"/>
      <w:pStyle w:val="SDMTableBoxFigureFootnoteSL3FullPage"/>
      <w:lvlText w:val="(%4)"/>
      <w:lvlJc w:val="left"/>
      <w:pPr>
        <w:ind w:left="1247" w:hanging="396"/>
      </w:pPr>
      <w:rPr>
        <w:rFonts w:hint="default"/>
      </w:rPr>
    </w:lvl>
    <w:lvl w:ilvl="4">
      <w:start w:val="1"/>
      <w:numFmt w:val="lowerLetter"/>
      <w:pStyle w:val="SDMTableBoxFigureFootnoteSL4FullPage"/>
      <w:lvlText w:val="%5."/>
      <w:lvlJc w:val="left"/>
      <w:pPr>
        <w:ind w:left="1588" w:hanging="341"/>
      </w:pPr>
      <w:rPr>
        <w:rFonts w:hint="default"/>
      </w:rPr>
    </w:lvl>
    <w:lvl w:ilvl="5">
      <w:start w:val="1"/>
      <w:numFmt w:val="lowerRoman"/>
      <w:pStyle w:val="SDMTableBoxFigureFootnoteSL5FullPage"/>
      <w:lvlText w:val="%6."/>
      <w:lvlJc w:val="left"/>
      <w:pPr>
        <w:ind w:left="2041" w:hanging="453"/>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5" w15:restartNumberingAfterBreak="0">
    <w:nsid w:val="1728147F"/>
    <w:multiLevelType w:val="multilevel"/>
    <w:tmpl w:val="7B8621E0"/>
    <w:name w:val="Reg9"/>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3.%8"/>
      <w:lvlJc w:val="left"/>
      <w:pPr>
        <w:tabs>
          <w:tab w:val="num" w:pos="720"/>
        </w:tabs>
        <w:ind w:left="720" w:hanging="720"/>
      </w:pPr>
    </w:lvl>
    <w:lvl w:ilvl="8">
      <w:start w:val="1"/>
      <w:numFmt w:val="none"/>
      <w:lvlText w:val="[(%5)%9"/>
      <w:lvlJc w:val="left"/>
      <w:pPr>
        <w:tabs>
          <w:tab w:val="num" w:pos="1440"/>
        </w:tabs>
        <w:ind w:left="1440" w:hanging="720"/>
      </w:pPr>
    </w:lvl>
  </w:abstractNum>
  <w:abstractNum w:abstractNumId="16" w15:restartNumberingAfterBreak="0">
    <w:nsid w:val="18C15861"/>
    <w:multiLevelType w:val="multilevel"/>
    <w:tmpl w:val="5EDE06C6"/>
    <w:styleLink w:val="SDMParaList"/>
    <w:lvl w:ilvl="0">
      <w:start w:val="1"/>
      <w:numFmt w:val="decimal"/>
      <w:pStyle w:val="SDMPara"/>
      <w:lvlText w:val="%1."/>
      <w:lvlJc w:val="left"/>
      <w:pPr>
        <w:tabs>
          <w:tab w:val="num" w:pos="709"/>
        </w:tabs>
        <w:ind w:left="709" w:hanging="709"/>
      </w:pPr>
      <w:rPr>
        <w:rFonts w:hint="default"/>
      </w:rPr>
    </w:lvl>
    <w:lvl w:ilvl="1">
      <w:start w:val="1"/>
      <w:numFmt w:val="lowerLetter"/>
      <w:pStyle w:val="SDMSubPara1"/>
      <w:lvlText w:val="(%2)"/>
      <w:lvlJc w:val="left"/>
      <w:pPr>
        <w:tabs>
          <w:tab w:val="num" w:pos="709"/>
        </w:tabs>
        <w:ind w:left="1418" w:hanging="709"/>
      </w:pPr>
      <w:rPr>
        <w:rFonts w:hint="default"/>
      </w:rPr>
    </w:lvl>
    <w:lvl w:ilvl="2">
      <w:start w:val="1"/>
      <w:numFmt w:val="lowerRoman"/>
      <w:pStyle w:val="SDMSubPara2"/>
      <w:lvlText w:val="(%3)"/>
      <w:lvlJc w:val="left"/>
      <w:pPr>
        <w:tabs>
          <w:tab w:val="num" w:pos="709"/>
        </w:tabs>
        <w:ind w:left="1985" w:hanging="567"/>
      </w:pPr>
      <w:rPr>
        <w:rFonts w:hint="default"/>
      </w:rPr>
    </w:lvl>
    <w:lvl w:ilvl="3">
      <w:start w:val="1"/>
      <w:numFmt w:val="lowerLetter"/>
      <w:pStyle w:val="SDMSubPara3"/>
      <w:lvlText w:val="%4."/>
      <w:lvlJc w:val="left"/>
      <w:pPr>
        <w:tabs>
          <w:tab w:val="num" w:pos="709"/>
        </w:tabs>
        <w:ind w:left="2722" w:hanging="596"/>
      </w:pPr>
      <w:rPr>
        <w:rFonts w:hint="default"/>
      </w:rPr>
    </w:lvl>
    <w:lvl w:ilvl="4">
      <w:start w:val="1"/>
      <w:numFmt w:val="lowerRoman"/>
      <w:lvlText w:val="%5."/>
      <w:lvlJc w:val="left"/>
      <w:pPr>
        <w:tabs>
          <w:tab w:val="num" w:pos="709"/>
        </w:tabs>
        <w:ind w:left="3232" w:hanging="397"/>
      </w:pPr>
      <w:rPr>
        <w:rFonts w:hint="default"/>
      </w:rPr>
    </w:lvl>
    <w:lvl w:ilvl="5">
      <w:start w:val="1"/>
      <w:numFmt w:val="none"/>
      <w:lvlText w:val=""/>
      <w:lvlJc w:val="left"/>
      <w:pPr>
        <w:tabs>
          <w:tab w:val="num" w:pos="0"/>
        </w:tabs>
        <w:ind w:left="0" w:firstLine="0"/>
      </w:pPr>
      <w:rPr>
        <w:rFonts w:hint="default"/>
      </w:rPr>
    </w:lvl>
    <w:lvl w:ilvl="6">
      <w:start w:val="1"/>
      <w:numFmt w:val="none"/>
      <w:lvlText w:val="%7"/>
      <w:lvlJc w:val="left"/>
      <w:pPr>
        <w:tabs>
          <w:tab w:val="num" w:pos="0"/>
        </w:tabs>
        <w:ind w:left="0" w:firstLine="0"/>
      </w:pPr>
      <w:rPr>
        <w:rFonts w:hint="default"/>
      </w:rPr>
    </w:lvl>
    <w:lvl w:ilvl="7">
      <w:start w:val="1"/>
      <w:numFmt w:val="none"/>
      <w:lvlText w:val="%8"/>
      <w:lvlJc w:val="left"/>
      <w:pPr>
        <w:tabs>
          <w:tab w:val="num" w:pos="0"/>
        </w:tabs>
        <w:ind w:left="0" w:firstLine="0"/>
      </w:pPr>
      <w:rPr>
        <w:rFonts w:hint="default"/>
      </w:rPr>
    </w:lvl>
    <w:lvl w:ilvl="8">
      <w:start w:val="1"/>
      <w:numFmt w:val="none"/>
      <w:lvlText w:val="%9"/>
      <w:lvlJc w:val="left"/>
      <w:pPr>
        <w:tabs>
          <w:tab w:val="num" w:pos="0"/>
        </w:tabs>
        <w:ind w:left="0" w:firstLine="0"/>
      </w:pPr>
      <w:rPr>
        <w:rFonts w:hint="default"/>
      </w:rPr>
    </w:lvl>
  </w:abstractNum>
  <w:abstractNum w:abstractNumId="17" w15:restartNumberingAfterBreak="0">
    <w:nsid w:val="19D06D3A"/>
    <w:multiLevelType w:val="hybridMultilevel"/>
    <w:tmpl w:val="F9B8C8A2"/>
    <w:lvl w:ilvl="0" w:tplc="75B07132">
      <w:start w:val="1"/>
      <w:numFmt w:val="bullet"/>
      <w:lvlText w:val=""/>
      <w:lvlJc w:val="left"/>
      <w:pPr>
        <w:ind w:left="360" w:hanging="360"/>
      </w:pPr>
      <w:rPr>
        <w:rFonts w:ascii="Symbol" w:hAnsi="Symbol" w:hint="default"/>
      </w:rPr>
    </w:lvl>
    <w:lvl w:ilvl="1" w:tplc="2AC2A7A2" w:tentative="1">
      <w:start w:val="1"/>
      <w:numFmt w:val="bullet"/>
      <w:lvlText w:val="o"/>
      <w:lvlJc w:val="left"/>
      <w:pPr>
        <w:ind w:left="1080" w:hanging="360"/>
      </w:pPr>
      <w:rPr>
        <w:rFonts w:ascii="Courier New" w:hAnsi="Courier New" w:hint="default"/>
      </w:rPr>
    </w:lvl>
    <w:lvl w:ilvl="2" w:tplc="7BEA25DE" w:tentative="1">
      <w:start w:val="1"/>
      <w:numFmt w:val="bullet"/>
      <w:lvlText w:val=""/>
      <w:lvlJc w:val="left"/>
      <w:pPr>
        <w:ind w:left="1800" w:hanging="360"/>
      </w:pPr>
      <w:rPr>
        <w:rFonts w:ascii="Wingdings" w:hAnsi="Wingdings" w:hint="default"/>
      </w:rPr>
    </w:lvl>
    <w:lvl w:ilvl="3" w:tplc="0038D55C" w:tentative="1">
      <w:start w:val="1"/>
      <w:numFmt w:val="bullet"/>
      <w:lvlText w:val=""/>
      <w:lvlJc w:val="left"/>
      <w:pPr>
        <w:ind w:left="2520" w:hanging="360"/>
      </w:pPr>
      <w:rPr>
        <w:rFonts w:ascii="Symbol" w:hAnsi="Symbol" w:hint="default"/>
      </w:rPr>
    </w:lvl>
    <w:lvl w:ilvl="4" w:tplc="A7D8BE5A" w:tentative="1">
      <w:start w:val="1"/>
      <w:numFmt w:val="bullet"/>
      <w:lvlText w:val="o"/>
      <w:lvlJc w:val="left"/>
      <w:pPr>
        <w:ind w:left="3240" w:hanging="360"/>
      </w:pPr>
      <w:rPr>
        <w:rFonts w:ascii="Courier New" w:hAnsi="Courier New" w:hint="default"/>
      </w:rPr>
    </w:lvl>
    <w:lvl w:ilvl="5" w:tplc="3BA8EC5E" w:tentative="1">
      <w:start w:val="1"/>
      <w:numFmt w:val="bullet"/>
      <w:lvlText w:val=""/>
      <w:lvlJc w:val="left"/>
      <w:pPr>
        <w:ind w:left="3960" w:hanging="360"/>
      </w:pPr>
      <w:rPr>
        <w:rFonts w:ascii="Wingdings" w:hAnsi="Wingdings" w:hint="default"/>
      </w:rPr>
    </w:lvl>
    <w:lvl w:ilvl="6" w:tplc="9640B6D6" w:tentative="1">
      <w:start w:val="1"/>
      <w:numFmt w:val="bullet"/>
      <w:lvlText w:val=""/>
      <w:lvlJc w:val="left"/>
      <w:pPr>
        <w:ind w:left="4680" w:hanging="360"/>
      </w:pPr>
      <w:rPr>
        <w:rFonts w:ascii="Symbol" w:hAnsi="Symbol" w:hint="default"/>
      </w:rPr>
    </w:lvl>
    <w:lvl w:ilvl="7" w:tplc="D93EB74E" w:tentative="1">
      <w:start w:val="1"/>
      <w:numFmt w:val="bullet"/>
      <w:lvlText w:val="o"/>
      <w:lvlJc w:val="left"/>
      <w:pPr>
        <w:ind w:left="5400" w:hanging="360"/>
      </w:pPr>
      <w:rPr>
        <w:rFonts w:ascii="Courier New" w:hAnsi="Courier New" w:hint="default"/>
      </w:rPr>
    </w:lvl>
    <w:lvl w:ilvl="8" w:tplc="A3B02D30" w:tentative="1">
      <w:start w:val="1"/>
      <w:numFmt w:val="bullet"/>
      <w:lvlText w:val=""/>
      <w:lvlJc w:val="left"/>
      <w:pPr>
        <w:ind w:left="6120" w:hanging="360"/>
      </w:pPr>
      <w:rPr>
        <w:rFonts w:ascii="Wingdings" w:hAnsi="Wingdings" w:hint="default"/>
      </w:rPr>
    </w:lvl>
  </w:abstractNum>
  <w:abstractNum w:abstractNumId="18" w15:restartNumberingAfterBreak="0">
    <w:nsid w:val="1AFF55CC"/>
    <w:multiLevelType w:val="multilevel"/>
    <w:tmpl w:val="A22614FA"/>
    <w:name w:val="Reg8"/>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3.%8"/>
      <w:lvlJc w:val="left"/>
      <w:pPr>
        <w:tabs>
          <w:tab w:val="num" w:pos="720"/>
        </w:tabs>
        <w:ind w:left="720" w:hanging="720"/>
      </w:pPr>
    </w:lvl>
    <w:lvl w:ilvl="8">
      <w:start w:val="1"/>
      <w:numFmt w:val="none"/>
      <w:lvlText w:val="[(%5)%9"/>
      <w:lvlJc w:val="left"/>
      <w:pPr>
        <w:tabs>
          <w:tab w:val="num" w:pos="1440"/>
        </w:tabs>
        <w:ind w:left="1440" w:hanging="720"/>
      </w:pPr>
    </w:lvl>
  </w:abstractNum>
  <w:abstractNum w:abstractNumId="19" w15:restartNumberingAfterBreak="0">
    <w:nsid w:val="1B897AAA"/>
    <w:multiLevelType w:val="multilevel"/>
    <w:tmpl w:val="FD2ACF66"/>
    <w:name w:val="Reg24"/>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4.%8"/>
      <w:lvlJc w:val="left"/>
      <w:pPr>
        <w:tabs>
          <w:tab w:val="num" w:pos="720"/>
        </w:tabs>
        <w:ind w:left="0" w:firstLine="0"/>
      </w:pPr>
    </w:lvl>
    <w:lvl w:ilvl="8">
      <w:start w:val="1"/>
      <w:numFmt w:val="none"/>
      <w:lvlText w:val="[(%5)%9"/>
      <w:lvlJc w:val="left"/>
      <w:pPr>
        <w:tabs>
          <w:tab w:val="num" w:pos="1440"/>
        </w:tabs>
        <w:ind w:left="1440" w:hanging="720"/>
      </w:pPr>
    </w:lvl>
  </w:abstractNum>
  <w:abstractNum w:abstractNumId="20" w15:restartNumberingAfterBreak="0">
    <w:nsid w:val="1BB5186F"/>
    <w:multiLevelType w:val="multilevel"/>
    <w:tmpl w:val="C182385A"/>
    <w:styleLink w:val="SDMAppHeadList"/>
    <w:lvl w:ilvl="0">
      <w:start w:val="1"/>
      <w:numFmt w:val="decimal"/>
      <w:pStyle w:val="SDMAppTitle"/>
      <w:lvlText w:val="Appendix %1."/>
      <w:lvlJc w:val="left"/>
      <w:pPr>
        <w:ind w:left="2126" w:hanging="2126"/>
      </w:pPr>
      <w:rPr>
        <w:rFonts w:hint="default"/>
      </w:rPr>
    </w:lvl>
    <w:lvl w:ilvl="1">
      <w:start w:val="1"/>
      <w:numFmt w:val="decimal"/>
      <w:pStyle w:val="SDMApp1"/>
      <w:lvlText w:val="%2."/>
      <w:lvlJc w:val="left"/>
      <w:pPr>
        <w:tabs>
          <w:tab w:val="num" w:pos="709"/>
        </w:tabs>
        <w:ind w:left="680" w:hanging="680"/>
      </w:pPr>
      <w:rPr>
        <w:rFonts w:hint="default"/>
      </w:rPr>
    </w:lvl>
    <w:lvl w:ilvl="2">
      <w:start w:val="1"/>
      <w:numFmt w:val="decimal"/>
      <w:pStyle w:val="SDMApp2"/>
      <w:lvlText w:val="%2.%3."/>
      <w:lvlJc w:val="left"/>
      <w:pPr>
        <w:tabs>
          <w:tab w:val="num" w:pos="709"/>
        </w:tabs>
        <w:ind w:left="851" w:hanging="851"/>
      </w:pPr>
      <w:rPr>
        <w:rFonts w:hint="default"/>
      </w:rPr>
    </w:lvl>
    <w:lvl w:ilvl="3">
      <w:start w:val="1"/>
      <w:numFmt w:val="decimal"/>
      <w:pStyle w:val="SDMApp3"/>
      <w:lvlText w:val="%2.%3.%4."/>
      <w:lvlJc w:val="left"/>
      <w:pPr>
        <w:tabs>
          <w:tab w:val="num" w:pos="709"/>
        </w:tabs>
        <w:ind w:left="1191" w:hanging="1191"/>
      </w:pPr>
      <w:rPr>
        <w:rFonts w:hint="default"/>
      </w:rPr>
    </w:lvl>
    <w:lvl w:ilvl="4">
      <w:start w:val="1"/>
      <w:numFmt w:val="decimal"/>
      <w:pStyle w:val="SDMApp4"/>
      <w:lvlText w:val="%2.%3.%4.%5."/>
      <w:lvlJc w:val="left"/>
      <w:pPr>
        <w:tabs>
          <w:tab w:val="num" w:pos="1418"/>
        </w:tabs>
        <w:ind w:left="1588" w:hanging="1588"/>
      </w:pPr>
      <w:rPr>
        <w:rFonts w:hint="default"/>
      </w:rPr>
    </w:lvl>
    <w:lvl w:ilvl="5">
      <w:start w:val="1"/>
      <w:numFmt w:val="decimal"/>
      <w:pStyle w:val="SDMApp5"/>
      <w:lvlText w:val="%2.%3.%4.%5.%6."/>
      <w:lvlJc w:val="left"/>
      <w:pPr>
        <w:ind w:left="1985" w:hanging="1985"/>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1" w15:restartNumberingAfterBreak="0">
    <w:nsid w:val="1BC515BF"/>
    <w:multiLevelType w:val="multilevel"/>
    <w:tmpl w:val="02D64298"/>
    <w:name w:val="Reg31"/>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4.%8"/>
      <w:lvlJc w:val="left"/>
      <w:pPr>
        <w:tabs>
          <w:tab w:val="num" w:pos="720"/>
        </w:tabs>
        <w:ind w:left="0" w:firstLine="0"/>
      </w:pPr>
    </w:lvl>
    <w:lvl w:ilvl="8">
      <w:start w:val="1"/>
      <w:numFmt w:val="none"/>
      <w:lvlText w:val="[(%5)%9"/>
      <w:lvlJc w:val="left"/>
      <w:pPr>
        <w:tabs>
          <w:tab w:val="num" w:pos="1440"/>
        </w:tabs>
        <w:ind w:left="1440" w:hanging="720"/>
      </w:pPr>
    </w:lvl>
  </w:abstractNum>
  <w:abstractNum w:abstractNumId="22" w15:restartNumberingAfterBreak="0">
    <w:nsid w:val="21364769"/>
    <w:multiLevelType w:val="multilevel"/>
    <w:tmpl w:val="C172A2B4"/>
    <w:name w:val="Reg22"/>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4.%8"/>
      <w:lvlJc w:val="left"/>
      <w:pPr>
        <w:tabs>
          <w:tab w:val="num" w:pos="720"/>
        </w:tabs>
        <w:ind w:left="0" w:firstLine="0"/>
      </w:pPr>
    </w:lvl>
    <w:lvl w:ilvl="8">
      <w:start w:val="1"/>
      <w:numFmt w:val="none"/>
      <w:lvlText w:val="[(%5)%9"/>
      <w:lvlJc w:val="left"/>
      <w:pPr>
        <w:tabs>
          <w:tab w:val="num" w:pos="1440"/>
        </w:tabs>
        <w:ind w:left="1440" w:hanging="720"/>
      </w:pPr>
    </w:lvl>
  </w:abstractNum>
  <w:abstractNum w:abstractNumId="23" w15:restartNumberingAfterBreak="0">
    <w:nsid w:val="26566C45"/>
    <w:multiLevelType w:val="multilevel"/>
    <w:tmpl w:val="F74CD28A"/>
    <w:numStyleLink w:val="SDMTableBoxFigureFootnoteList"/>
  </w:abstractNum>
  <w:abstractNum w:abstractNumId="24" w15:restartNumberingAfterBreak="0">
    <w:nsid w:val="27BA34E2"/>
    <w:multiLevelType w:val="hybridMultilevel"/>
    <w:tmpl w:val="7D8254B8"/>
    <w:lvl w:ilvl="0" w:tplc="828CDD98">
      <w:start w:val="1"/>
      <w:numFmt w:val="lowerLetter"/>
      <w:pStyle w:val="Bulletedtext"/>
      <w:lvlText w:val="(%1)"/>
      <w:lvlJc w:val="left"/>
      <w:pPr>
        <w:tabs>
          <w:tab w:val="num" w:pos="568"/>
        </w:tabs>
        <w:ind w:left="568" w:hanging="284"/>
      </w:pPr>
      <w:rPr>
        <w:rFonts w:ascii="Arial" w:hAnsi="Arial" w:hint="default"/>
      </w:rPr>
    </w:lvl>
    <w:lvl w:ilvl="1" w:tplc="A35EE266">
      <w:start w:val="1"/>
      <w:numFmt w:val="bullet"/>
      <w:lvlText w:val="o"/>
      <w:lvlJc w:val="left"/>
      <w:pPr>
        <w:tabs>
          <w:tab w:val="num" w:pos="1724"/>
        </w:tabs>
        <w:ind w:left="1724" w:hanging="360"/>
      </w:pPr>
      <w:rPr>
        <w:rFonts w:ascii="Courier New" w:hAnsi="Courier New" w:hint="default"/>
      </w:rPr>
    </w:lvl>
    <w:lvl w:ilvl="2" w:tplc="1EE2307C" w:tentative="1">
      <w:start w:val="1"/>
      <w:numFmt w:val="bullet"/>
      <w:lvlText w:val=""/>
      <w:lvlJc w:val="left"/>
      <w:pPr>
        <w:tabs>
          <w:tab w:val="num" w:pos="2444"/>
        </w:tabs>
        <w:ind w:left="2444" w:hanging="360"/>
      </w:pPr>
      <w:rPr>
        <w:rFonts w:ascii="Wingdings" w:hAnsi="Wingdings" w:hint="default"/>
      </w:rPr>
    </w:lvl>
    <w:lvl w:ilvl="3" w:tplc="93CA27C8" w:tentative="1">
      <w:start w:val="1"/>
      <w:numFmt w:val="bullet"/>
      <w:lvlText w:val=""/>
      <w:lvlJc w:val="left"/>
      <w:pPr>
        <w:tabs>
          <w:tab w:val="num" w:pos="3164"/>
        </w:tabs>
        <w:ind w:left="3164" w:hanging="360"/>
      </w:pPr>
      <w:rPr>
        <w:rFonts w:ascii="Symbol" w:hAnsi="Symbol" w:hint="default"/>
      </w:rPr>
    </w:lvl>
    <w:lvl w:ilvl="4" w:tplc="A93C0BB4" w:tentative="1">
      <w:start w:val="1"/>
      <w:numFmt w:val="bullet"/>
      <w:lvlText w:val="o"/>
      <w:lvlJc w:val="left"/>
      <w:pPr>
        <w:tabs>
          <w:tab w:val="num" w:pos="3884"/>
        </w:tabs>
        <w:ind w:left="3884" w:hanging="360"/>
      </w:pPr>
      <w:rPr>
        <w:rFonts w:ascii="Courier New" w:hAnsi="Courier New" w:hint="default"/>
      </w:rPr>
    </w:lvl>
    <w:lvl w:ilvl="5" w:tplc="49B8743C" w:tentative="1">
      <w:start w:val="1"/>
      <w:numFmt w:val="bullet"/>
      <w:lvlText w:val=""/>
      <w:lvlJc w:val="left"/>
      <w:pPr>
        <w:tabs>
          <w:tab w:val="num" w:pos="4604"/>
        </w:tabs>
        <w:ind w:left="4604" w:hanging="360"/>
      </w:pPr>
      <w:rPr>
        <w:rFonts w:ascii="Wingdings" w:hAnsi="Wingdings" w:hint="default"/>
      </w:rPr>
    </w:lvl>
    <w:lvl w:ilvl="6" w:tplc="BA4EC8AE" w:tentative="1">
      <w:start w:val="1"/>
      <w:numFmt w:val="bullet"/>
      <w:lvlText w:val=""/>
      <w:lvlJc w:val="left"/>
      <w:pPr>
        <w:tabs>
          <w:tab w:val="num" w:pos="5324"/>
        </w:tabs>
        <w:ind w:left="5324" w:hanging="360"/>
      </w:pPr>
      <w:rPr>
        <w:rFonts w:ascii="Symbol" w:hAnsi="Symbol" w:hint="default"/>
      </w:rPr>
    </w:lvl>
    <w:lvl w:ilvl="7" w:tplc="67E40546" w:tentative="1">
      <w:start w:val="1"/>
      <w:numFmt w:val="bullet"/>
      <w:lvlText w:val="o"/>
      <w:lvlJc w:val="left"/>
      <w:pPr>
        <w:tabs>
          <w:tab w:val="num" w:pos="6044"/>
        </w:tabs>
        <w:ind w:left="6044" w:hanging="360"/>
      </w:pPr>
      <w:rPr>
        <w:rFonts w:ascii="Courier New" w:hAnsi="Courier New" w:hint="default"/>
      </w:rPr>
    </w:lvl>
    <w:lvl w:ilvl="8" w:tplc="9AD8FDE0" w:tentative="1">
      <w:start w:val="1"/>
      <w:numFmt w:val="bullet"/>
      <w:lvlText w:val=""/>
      <w:lvlJc w:val="left"/>
      <w:pPr>
        <w:tabs>
          <w:tab w:val="num" w:pos="6764"/>
        </w:tabs>
        <w:ind w:left="6764" w:hanging="360"/>
      </w:pPr>
      <w:rPr>
        <w:rFonts w:ascii="Wingdings" w:hAnsi="Wingdings" w:hint="default"/>
      </w:rPr>
    </w:lvl>
  </w:abstractNum>
  <w:abstractNum w:abstractNumId="25" w15:restartNumberingAfterBreak="0">
    <w:nsid w:val="2B2037D9"/>
    <w:multiLevelType w:val="multilevel"/>
    <w:tmpl w:val="C182385A"/>
    <w:numStyleLink w:val="SDMAppHeadList"/>
  </w:abstractNum>
  <w:abstractNum w:abstractNumId="26" w15:restartNumberingAfterBreak="0">
    <w:nsid w:val="2D6E1A00"/>
    <w:multiLevelType w:val="multilevel"/>
    <w:tmpl w:val="568476D8"/>
    <w:name w:val="Reg"/>
    <w:lvl w:ilvl="0">
      <w:start w:val="1"/>
      <w:numFmt w:val="upperRoman"/>
      <w:suff w:val="space"/>
      <w:lvlText w:val="%1. "/>
      <w:lvlJc w:val="right"/>
      <w:pPr>
        <w:ind w:left="0" w:firstLine="0"/>
      </w:pPr>
    </w:lvl>
    <w:lvl w:ilvl="1">
      <w:start w:val="1"/>
      <w:numFmt w:val="upperLetter"/>
      <w:suff w:val="space"/>
      <w:lvlText w:val="%2. "/>
      <w:lvlJc w:val="left"/>
      <w:pPr>
        <w:ind w:left="0" w:firstLine="0"/>
      </w:pPr>
      <w:rPr>
        <w:b/>
        <w:u w:val="none"/>
      </w:rPr>
    </w:lvl>
    <w:lvl w:ilvl="2">
      <w:start w:val="1"/>
      <w:numFmt w:val="decimal"/>
      <w:lvlRestart w:val="0"/>
      <w:lvlText w:val="%3."/>
      <w:lvlJc w:val="left"/>
      <w:pPr>
        <w:tabs>
          <w:tab w:val="num" w:pos="720"/>
        </w:tabs>
        <w:ind w:left="0" w:firstLine="0"/>
      </w:pPr>
      <w:rPr>
        <w:b w:val="0"/>
      </w:rPr>
    </w:lvl>
    <w:lvl w:ilvl="3">
      <w:start w:val="1"/>
      <w:numFmt w:val="lowerLetter"/>
      <w:lvlText w:val="(%4)"/>
      <w:lvlJc w:val="left"/>
      <w:pPr>
        <w:tabs>
          <w:tab w:val="num" w:pos="1440"/>
        </w:tabs>
        <w:ind w:left="0" w:firstLine="720"/>
      </w:pPr>
      <w:rPr>
        <w:b w:val="0"/>
      </w:rPr>
    </w:lvl>
    <w:lvl w:ilvl="4">
      <w:start w:val="1"/>
      <w:numFmt w:val="lowerRoman"/>
      <w:lvlText w:val="(%5)"/>
      <w:lvlJc w:val="right"/>
      <w:pPr>
        <w:tabs>
          <w:tab w:val="num" w:pos="2160"/>
        </w:tabs>
        <w:ind w:left="2160" w:hanging="573"/>
      </w:pPr>
    </w:lvl>
    <w:lvl w:ilvl="5">
      <w:start w:val="1"/>
      <w:numFmt w:val="lowerLetter"/>
      <w:lvlText w:val=""/>
      <w:lvlJc w:val="left"/>
      <w:pPr>
        <w:tabs>
          <w:tab w:val="num" w:pos="2880"/>
        </w:tabs>
        <w:ind w:left="2880" w:hanging="720"/>
      </w:pPr>
      <w:rPr>
        <w:rFonts w:ascii="Symbol" w:hAnsi="Symbol" w:hint="default"/>
      </w:rPr>
    </w:lvl>
    <w:lvl w:ilvl="6">
      <w:start w:val="1"/>
      <w:numFmt w:val="none"/>
      <w:lvlText w:val="[%3.%7"/>
      <w:lvlJc w:val="left"/>
      <w:pPr>
        <w:tabs>
          <w:tab w:val="num" w:pos="720"/>
        </w:tabs>
        <w:ind w:left="0" w:firstLine="0"/>
      </w:pPr>
    </w:lvl>
    <w:lvl w:ilvl="7">
      <w:start w:val="1"/>
      <w:numFmt w:val="none"/>
      <w:lvlText w:val="[(%4)%8"/>
      <w:lvlJc w:val="left"/>
      <w:pPr>
        <w:tabs>
          <w:tab w:val="num" w:pos="1440"/>
        </w:tabs>
        <w:ind w:left="0" w:firstLine="720"/>
      </w:pPr>
    </w:lvl>
    <w:lvl w:ilvl="8">
      <w:start w:val="1"/>
      <w:numFmt w:val="none"/>
      <w:lvlText w:val="[(%5)%9"/>
      <w:lvlJc w:val="right"/>
      <w:pPr>
        <w:tabs>
          <w:tab w:val="num" w:pos="2160"/>
        </w:tabs>
        <w:ind w:left="0" w:firstLine="1587"/>
      </w:pPr>
    </w:lvl>
  </w:abstractNum>
  <w:abstractNum w:abstractNumId="27" w15:restartNumberingAfterBreak="0">
    <w:nsid w:val="2FA03A21"/>
    <w:multiLevelType w:val="multilevel"/>
    <w:tmpl w:val="40EAA4EC"/>
    <w:name w:val="Reg34"/>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4.%8"/>
      <w:lvlJc w:val="left"/>
      <w:pPr>
        <w:tabs>
          <w:tab w:val="num" w:pos="720"/>
        </w:tabs>
        <w:ind w:left="0" w:firstLine="0"/>
      </w:pPr>
    </w:lvl>
    <w:lvl w:ilvl="8">
      <w:start w:val="1"/>
      <w:numFmt w:val="none"/>
      <w:lvlText w:val="[(%5)%9"/>
      <w:lvlJc w:val="left"/>
      <w:pPr>
        <w:tabs>
          <w:tab w:val="num" w:pos="1440"/>
        </w:tabs>
        <w:ind w:left="1440" w:hanging="720"/>
      </w:pPr>
    </w:lvl>
  </w:abstractNum>
  <w:abstractNum w:abstractNumId="28" w15:restartNumberingAfterBreak="0">
    <w:nsid w:val="307B1BD9"/>
    <w:multiLevelType w:val="multilevel"/>
    <w:tmpl w:val="075A6334"/>
    <w:name w:val="Reg2"/>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3.%8"/>
      <w:lvlJc w:val="left"/>
      <w:pPr>
        <w:tabs>
          <w:tab w:val="num" w:pos="720"/>
        </w:tabs>
        <w:ind w:left="720" w:hanging="720"/>
      </w:pPr>
    </w:lvl>
    <w:lvl w:ilvl="8">
      <w:start w:val="1"/>
      <w:numFmt w:val="none"/>
      <w:lvlText w:val="[(%5)%9"/>
      <w:lvlJc w:val="left"/>
      <w:pPr>
        <w:tabs>
          <w:tab w:val="num" w:pos="1440"/>
        </w:tabs>
        <w:ind w:left="1440" w:hanging="720"/>
      </w:pPr>
    </w:lvl>
  </w:abstractNum>
  <w:abstractNum w:abstractNumId="29" w15:restartNumberingAfterBreak="0">
    <w:nsid w:val="318031D1"/>
    <w:multiLevelType w:val="multilevel"/>
    <w:tmpl w:val="E2A427E0"/>
    <w:name w:val="Toc13"/>
    <w:lvl w:ilvl="0">
      <w:start w:val="1"/>
      <w:numFmt w:val="upperRoman"/>
      <w:suff w:val="space"/>
      <w:lvlText w:val="%1. "/>
      <w:lvlJc w:val="center"/>
      <w:pPr>
        <w:ind w:left="0" w:firstLine="0"/>
      </w:pPr>
      <w:rPr>
        <w:sz w:val="22"/>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
      <w:lvlJc w:val="left"/>
      <w:pPr>
        <w:tabs>
          <w:tab w:val="num" w:pos="720"/>
        </w:tabs>
        <w:ind w:left="0" w:firstLine="0"/>
      </w:pPr>
      <w:rPr>
        <w:b w:val="0"/>
        <w:sz w:val="22"/>
      </w:rPr>
    </w:lvl>
    <w:lvl w:ilvl="4">
      <w:start w:val="1"/>
      <w:numFmt w:val="lowerLetter"/>
      <w:lvlText w:val="(%5)"/>
      <w:lvlJc w:val="left"/>
      <w:pPr>
        <w:tabs>
          <w:tab w:val="num" w:pos="1440"/>
        </w:tabs>
        <w:ind w:left="0" w:firstLine="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3.%8"/>
      <w:lvlJc w:val="left"/>
      <w:pPr>
        <w:tabs>
          <w:tab w:val="num" w:pos="720"/>
        </w:tabs>
        <w:ind w:left="0" w:firstLine="0"/>
      </w:pPr>
    </w:lvl>
    <w:lvl w:ilvl="8">
      <w:start w:val="1"/>
      <w:numFmt w:val="none"/>
      <w:lvlText w:val="[(%5)%9"/>
      <w:lvlJc w:val="left"/>
      <w:pPr>
        <w:tabs>
          <w:tab w:val="num" w:pos="1440"/>
        </w:tabs>
        <w:ind w:left="0" w:firstLine="720"/>
      </w:pPr>
    </w:lvl>
  </w:abstractNum>
  <w:abstractNum w:abstractNumId="30" w15:restartNumberingAfterBreak="0">
    <w:nsid w:val="31A3680B"/>
    <w:multiLevelType w:val="multilevel"/>
    <w:tmpl w:val="DEEC8B6A"/>
    <w:name w:val="Reg6"/>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3.%8"/>
      <w:lvlJc w:val="left"/>
      <w:pPr>
        <w:tabs>
          <w:tab w:val="num" w:pos="720"/>
        </w:tabs>
        <w:ind w:left="720" w:hanging="720"/>
      </w:pPr>
    </w:lvl>
    <w:lvl w:ilvl="8">
      <w:start w:val="1"/>
      <w:numFmt w:val="none"/>
      <w:lvlText w:val="[(%5)%9"/>
      <w:lvlJc w:val="left"/>
      <w:pPr>
        <w:tabs>
          <w:tab w:val="num" w:pos="1440"/>
        </w:tabs>
        <w:ind w:left="1440" w:hanging="720"/>
      </w:pPr>
    </w:lvl>
  </w:abstractNum>
  <w:abstractNum w:abstractNumId="31" w15:restartNumberingAfterBreak="0">
    <w:nsid w:val="329F3314"/>
    <w:multiLevelType w:val="hybridMultilevel"/>
    <w:tmpl w:val="E71CA80C"/>
    <w:lvl w:ilvl="0" w:tplc="04090017">
      <w:start w:val="1"/>
      <w:numFmt w:val="lowerLetter"/>
      <w:lvlText w:val="%1)"/>
      <w:lvlJc w:val="left"/>
      <w:pPr>
        <w:ind w:left="360" w:hanging="360"/>
      </w:pPr>
      <w:rPr>
        <w:rFonts w:hint="default"/>
      </w:rPr>
    </w:lvl>
    <w:lvl w:ilvl="1" w:tplc="84D8EEA2" w:tentative="1">
      <w:start w:val="1"/>
      <w:numFmt w:val="bullet"/>
      <w:lvlText w:val="o"/>
      <w:lvlJc w:val="left"/>
      <w:pPr>
        <w:ind w:left="1080" w:hanging="360"/>
      </w:pPr>
      <w:rPr>
        <w:rFonts w:ascii="Courier New" w:hAnsi="Courier New" w:hint="default"/>
      </w:rPr>
    </w:lvl>
    <w:lvl w:ilvl="2" w:tplc="8196DA6A" w:tentative="1">
      <w:start w:val="1"/>
      <w:numFmt w:val="bullet"/>
      <w:lvlText w:val=""/>
      <w:lvlJc w:val="left"/>
      <w:pPr>
        <w:ind w:left="1800" w:hanging="360"/>
      </w:pPr>
      <w:rPr>
        <w:rFonts w:ascii="Wingdings" w:hAnsi="Wingdings" w:hint="default"/>
      </w:rPr>
    </w:lvl>
    <w:lvl w:ilvl="3" w:tplc="98624FAC" w:tentative="1">
      <w:start w:val="1"/>
      <w:numFmt w:val="bullet"/>
      <w:lvlText w:val=""/>
      <w:lvlJc w:val="left"/>
      <w:pPr>
        <w:ind w:left="2520" w:hanging="360"/>
      </w:pPr>
      <w:rPr>
        <w:rFonts w:ascii="Symbol" w:hAnsi="Symbol" w:hint="default"/>
      </w:rPr>
    </w:lvl>
    <w:lvl w:ilvl="4" w:tplc="C8F88114" w:tentative="1">
      <w:start w:val="1"/>
      <w:numFmt w:val="bullet"/>
      <w:lvlText w:val="o"/>
      <w:lvlJc w:val="left"/>
      <w:pPr>
        <w:ind w:left="3240" w:hanging="360"/>
      </w:pPr>
      <w:rPr>
        <w:rFonts w:ascii="Courier New" w:hAnsi="Courier New" w:hint="default"/>
      </w:rPr>
    </w:lvl>
    <w:lvl w:ilvl="5" w:tplc="4CA6EA1C" w:tentative="1">
      <w:start w:val="1"/>
      <w:numFmt w:val="bullet"/>
      <w:lvlText w:val=""/>
      <w:lvlJc w:val="left"/>
      <w:pPr>
        <w:ind w:left="3960" w:hanging="360"/>
      </w:pPr>
      <w:rPr>
        <w:rFonts w:ascii="Wingdings" w:hAnsi="Wingdings" w:hint="default"/>
      </w:rPr>
    </w:lvl>
    <w:lvl w:ilvl="6" w:tplc="F5184DE4" w:tentative="1">
      <w:start w:val="1"/>
      <w:numFmt w:val="bullet"/>
      <w:lvlText w:val=""/>
      <w:lvlJc w:val="left"/>
      <w:pPr>
        <w:ind w:left="4680" w:hanging="360"/>
      </w:pPr>
      <w:rPr>
        <w:rFonts w:ascii="Symbol" w:hAnsi="Symbol" w:hint="default"/>
      </w:rPr>
    </w:lvl>
    <w:lvl w:ilvl="7" w:tplc="8EFCDEE8" w:tentative="1">
      <w:start w:val="1"/>
      <w:numFmt w:val="bullet"/>
      <w:lvlText w:val="o"/>
      <w:lvlJc w:val="left"/>
      <w:pPr>
        <w:ind w:left="5400" w:hanging="360"/>
      </w:pPr>
      <w:rPr>
        <w:rFonts w:ascii="Courier New" w:hAnsi="Courier New" w:hint="default"/>
      </w:rPr>
    </w:lvl>
    <w:lvl w:ilvl="8" w:tplc="F46ED2B0" w:tentative="1">
      <w:start w:val="1"/>
      <w:numFmt w:val="bullet"/>
      <w:lvlText w:val=""/>
      <w:lvlJc w:val="left"/>
      <w:pPr>
        <w:ind w:left="6120" w:hanging="360"/>
      </w:pPr>
      <w:rPr>
        <w:rFonts w:ascii="Wingdings" w:hAnsi="Wingdings" w:hint="default"/>
      </w:rPr>
    </w:lvl>
  </w:abstractNum>
  <w:abstractNum w:abstractNumId="32" w15:restartNumberingAfterBreak="0">
    <w:nsid w:val="361204E8"/>
    <w:multiLevelType w:val="hybridMultilevel"/>
    <w:tmpl w:val="7D8254B8"/>
    <w:styleLink w:val="SDMMethEquationList"/>
    <w:lvl w:ilvl="0" w:tplc="828CDD98">
      <w:start w:val="1"/>
      <w:numFmt w:val="lowerLetter"/>
      <w:lvlText w:val="(%1)"/>
      <w:lvlJc w:val="left"/>
      <w:pPr>
        <w:tabs>
          <w:tab w:val="num" w:pos="568"/>
        </w:tabs>
        <w:ind w:left="568" w:hanging="284"/>
      </w:pPr>
      <w:rPr>
        <w:rFonts w:ascii="Arial" w:hAnsi="Arial" w:hint="default"/>
      </w:rPr>
    </w:lvl>
    <w:lvl w:ilvl="1" w:tplc="A35EE266">
      <w:start w:val="1"/>
      <w:numFmt w:val="bullet"/>
      <w:lvlText w:val="o"/>
      <w:lvlJc w:val="left"/>
      <w:pPr>
        <w:tabs>
          <w:tab w:val="num" w:pos="1724"/>
        </w:tabs>
        <w:ind w:left="1724" w:hanging="360"/>
      </w:pPr>
      <w:rPr>
        <w:rFonts w:ascii="Courier New" w:hAnsi="Courier New" w:hint="default"/>
      </w:rPr>
    </w:lvl>
    <w:lvl w:ilvl="2" w:tplc="1EE2307C" w:tentative="1">
      <w:start w:val="1"/>
      <w:numFmt w:val="bullet"/>
      <w:lvlText w:val=""/>
      <w:lvlJc w:val="left"/>
      <w:pPr>
        <w:tabs>
          <w:tab w:val="num" w:pos="2444"/>
        </w:tabs>
        <w:ind w:left="2444" w:hanging="360"/>
      </w:pPr>
      <w:rPr>
        <w:rFonts w:ascii="Wingdings" w:hAnsi="Wingdings" w:hint="default"/>
      </w:rPr>
    </w:lvl>
    <w:lvl w:ilvl="3" w:tplc="93CA27C8" w:tentative="1">
      <w:start w:val="1"/>
      <w:numFmt w:val="bullet"/>
      <w:lvlText w:val=""/>
      <w:lvlJc w:val="left"/>
      <w:pPr>
        <w:tabs>
          <w:tab w:val="num" w:pos="3164"/>
        </w:tabs>
        <w:ind w:left="3164" w:hanging="360"/>
      </w:pPr>
      <w:rPr>
        <w:rFonts w:ascii="Symbol" w:hAnsi="Symbol" w:hint="default"/>
      </w:rPr>
    </w:lvl>
    <w:lvl w:ilvl="4" w:tplc="A93C0BB4" w:tentative="1">
      <w:start w:val="1"/>
      <w:numFmt w:val="bullet"/>
      <w:lvlText w:val="o"/>
      <w:lvlJc w:val="left"/>
      <w:pPr>
        <w:tabs>
          <w:tab w:val="num" w:pos="3884"/>
        </w:tabs>
        <w:ind w:left="3884" w:hanging="360"/>
      </w:pPr>
      <w:rPr>
        <w:rFonts w:ascii="Courier New" w:hAnsi="Courier New" w:hint="default"/>
      </w:rPr>
    </w:lvl>
    <w:lvl w:ilvl="5" w:tplc="49B8743C" w:tentative="1">
      <w:start w:val="1"/>
      <w:numFmt w:val="bullet"/>
      <w:lvlText w:val=""/>
      <w:lvlJc w:val="left"/>
      <w:pPr>
        <w:tabs>
          <w:tab w:val="num" w:pos="4604"/>
        </w:tabs>
        <w:ind w:left="4604" w:hanging="360"/>
      </w:pPr>
      <w:rPr>
        <w:rFonts w:ascii="Wingdings" w:hAnsi="Wingdings" w:hint="default"/>
      </w:rPr>
    </w:lvl>
    <w:lvl w:ilvl="6" w:tplc="BA4EC8AE" w:tentative="1">
      <w:start w:val="1"/>
      <w:numFmt w:val="bullet"/>
      <w:lvlText w:val=""/>
      <w:lvlJc w:val="left"/>
      <w:pPr>
        <w:tabs>
          <w:tab w:val="num" w:pos="5324"/>
        </w:tabs>
        <w:ind w:left="5324" w:hanging="360"/>
      </w:pPr>
      <w:rPr>
        <w:rFonts w:ascii="Symbol" w:hAnsi="Symbol" w:hint="default"/>
      </w:rPr>
    </w:lvl>
    <w:lvl w:ilvl="7" w:tplc="67E40546" w:tentative="1">
      <w:start w:val="1"/>
      <w:numFmt w:val="bullet"/>
      <w:lvlText w:val="o"/>
      <w:lvlJc w:val="left"/>
      <w:pPr>
        <w:tabs>
          <w:tab w:val="num" w:pos="6044"/>
        </w:tabs>
        <w:ind w:left="6044" w:hanging="360"/>
      </w:pPr>
      <w:rPr>
        <w:rFonts w:ascii="Courier New" w:hAnsi="Courier New" w:hint="default"/>
      </w:rPr>
    </w:lvl>
    <w:lvl w:ilvl="8" w:tplc="9AD8FDE0" w:tentative="1">
      <w:start w:val="1"/>
      <w:numFmt w:val="bullet"/>
      <w:lvlText w:val=""/>
      <w:lvlJc w:val="left"/>
      <w:pPr>
        <w:tabs>
          <w:tab w:val="num" w:pos="6764"/>
        </w:tabs>
        <w:ind w:left="6764" w:hanging="360"/>
      </w:pPr>
      <w:rPr>
        <w:rFonts w:ascii="Wingdings" w:hAnsi="Wingdings" w:hint="default"/>
      </w:rPr>
    </w:lvl>
  </w:abstractNum>
  <w:abstractNum w:abstractNumId="33" w15:restartNumberingAfterBreak="0">
    <w:nsid w:val="36854508"/>
    <w:multiLevelType w:val="multilevel"/>
    <w:tmpl w:val="C18A5072"/>
    <w:styleLink w:val="SDMDocInfoTextBullets"/>
    <w:lvl w:ilvl="0">
      <w:start w:val="1"/>
      <w:numFmt w:val="none"/>
      <w:pStyle w:val="SDMDocInfoText"/>
      <w:suff w:val="nothing"/>
      <w:lvlText w:val=""/>
      <w:lvlJc w:val="left"/>
      <w:pPr>
        <w:ind w:left="0" w:firstLine="0"/>
      </w:pPr>
      <w:rPr>
        <w:rFonts w:hint="default"/>
      </w:rPr>
    </w:lvl>
    <w:lvl w:ilvl="1">
      <w:start w:val="1"/>
      <w:numFmt w:val="bullet"/>
      <w:lvlText w:val=""/>
      <w:lvlJc w:val="left"/>
      <w:pPr>
        <w:ind w:left="397" w:hanging="227"/>
      </w:pPr>
      <w:rPr>
        <w:rFonts w:ascii="Symbol" w:hAnsi="Symbol" w:hint="default"/>
      </w:rPr>
    </w:lvl>
    <w:lvl w:ilvl="2">
      <w:start w:val="1"/>
      <w:numFmt w:val="lowerLetter"/>
      <w:lvlText w:val="(%3)"/>
      <w:lvlJc w:val="left"/>
      <w:pPr>
        <w:ind w:left="737" w:hanging="340"/>
      </w:pPr>
      <w:rPr>
        <w:rFonts w:hint="default"/>
      </w:rPr>
    </w:lvl>
    <w:lvl w:ilvl="3">
      <w:start w:val="1"/>
      <w:numFmt w:val="lowerRoman"/>
      <w:lvlText w:val="(%4)"/>
      <w:lvlJc w:val="left"/>
      <w:pPr>
        <w:tabs>
          <w:tab w:val="num" w:pos="737"/>
        </w:tabs>
        <w:ind w:left="1049" w:hanging="312"/>
      </w:pPr>
      <w:rPr>
        <w:rFonts w:hint="default"/>
      </w:rPr>
    </w:lvl>
    <w:lvl w:ilvl="4">
      <w:start w:val="1"/>
      <w:numFmt w:val="lowerLetter"/>
      <w:lvlText w:val="%5."/>
      <w:lvlJc w:val="left"/>
      <w:pPr>
        <w:tabs>
          <w:tab w:val="num" w:pos="1077"/>
        </w:tabs>
        <w:ind w:left="1332" w:hanging="283"/>
      </w:pPr>
      <w:rPr>
        <w:rFonts w:hint="default"/>
      </w:rPr>
    </w:lvl>
    <w:lvl w:ilvl="5">
      <w:start w:val="1"/>
      <w:numFmt w:val="lowerRoman"/>
      <w:lvlText w:val="%6."/>
      <w:lvlJc w:val="left"/>
      <w:pPr>
        <w:tabs>
          <w:tab w:val="num" w:pos="1361"/>
        </w:tabs>
        <w:ind w:left="1559" w:hanging="227"/>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4" w15:restartNumberingAfterBreak="0">
    <w:nsid w:val="36924865"/>
    <w:multiLevelType w:val="multilevel"/>
    <w:tmpl w:val="AE6881FE"/>
    <w:name w:val="Reg21"/>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4.%8"/>
      <w:lvlJc w:val="left"/>
      <w:pPr>
        <w:tabs>
          <w:tab w:val="num" w:pos="720"/>
        </w:tabs>
        <w:ind w:left="0" w:firstLine="0"/>
      </w:pPr>
    </w:lvl>
    <w:lvl w:ilvl="8">
      <w:start w:val="1"/>
      <w:numFmt w:val="none"/>
      <w:lvlText w:val="[(%5)%9"/>
      <w:lvlJc w:val="left"/>
      <w:pPr>
        <w:tabs>
          <w:tab w:val="num" w:pos="1440"/>
        </w:tabs>
        <w:ind w:left="1440" w:hanging="720"/>
      </w:pPr>
    </w:lvl>
  </w:abstractNum>
  <w:abstractNum w:abstractNumId="35" w15:restartNumberingAfterBreak="0">
    <w:nsid w:val="3C792321"/>
    <w:multiLevelType w:val="multilevel"/>
    <w:tmpl w:val="54D600CE"/>
    <w:name w:val="Reg20"/>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4.%8"/>
      <w:lvlJc w:val="left"/>
      <w:pPr>
        <w:tabs>
          <w:tab w:val="num" w:pos="720"/>
        </w:tabs>
        <w:ind w:left="0" w:firstLine="0"/>
      </w:pPr>
    </w:lvl>
    <w:lvl w:ilvl="8">
      <w:start w:val="1"/>
      <w:numFmt w:val="none"/>
      <w:lvlText w:val="[(%5)%9"/>
      <w:lvlJc w:val="left"/>
      <w:pPr>
        <w:tabs>
          <w:tab w:val="num" w:pos="1440"/>
        </w:tabs>
        <w:ind w:left="1440" w:hanging="720"/>
      </w:pPr>
    </w:lvl>
  </w:abstractNum>
  <w:abstractNum w:abstractNumId="36" w15:restartNumberingAfterBreak="0">
    <w:nsid w:val="3CFD042E"/>
    <w:multiLevelType w:val="multilevel"/>
    <w:tmpl w:val="C694A2DA"/>
    <w:name w:val="Reg15"/>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4.%8"/>
      <w:lvlJc w:val="left"/>
      <w:pPr>
        <w:tabs>
          <w:tab w:val="num" w:pos="720"/>
        </w:tabs>
        <w:ind w:left="0" w:firstLine="0"/>
      </w:pPr>
    </w:lvl>
    <w:lvl w:ilvl="8">
      <w:start w:val="1"/>
      <w:numFmt w:val="none"/>
      <w:lvlText w:val="[(%5)%9"/>
      <w:lvlJc w:val="left"/>
      <w:pPr>
        <w:tabs>
          <w:tab w:val="num" w:pos="1440"/>
        </w:tabs>
        <w:ind w:left="1440" w:hanging="720"/>
      </w:pPr>
    </w:lvl>
  </w:abstractNum>
  <w:abstractNum w:abstractNumId="37" w15:restartNumberingAfterBreak="0">
    <w:nsid w:val="3DC16119"/>
    <w:multiLevelType w:val="multilevel"/>
    <w:tmpl w:val="BCBAC81C"/>
    <w:name w:val="Reg112"/>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4.%8"/>
      <w:lvlJc w:val="left"/>
      <w:pPr>
        <w:tabs>
          <w:tab w:val="num" w:pos="720"/>
        </w:tabs>
        <w:ind w:left="0" w:firstLine="0"/>
      </w:pPr>
    </w:lvl>
    <w:lvl w:ilvl="8">
      <w:start w:val="1"/>
      <w:numFmt w:val="none"/>
      <w:lvlText w:val="[(%5)%9"/>
      <w:lvlJc w:val="left"/>
      <w:pPr>
        <w:tabs>
          <w:tab w:val="num" w:pos="1440"/>
        </w:tabs>
        <w:ind w:left="1440" w:hanging="720"/>
      </w:pPr>
    </w:lvl>
  </w:abstractNum>
  <w:abstractNum w:abstractNumId="38" w15:restartNumberingAfterBreak="0">
    <w:nsid w:val="3FDA42F1"/>
    <w:multiLevelType w:val="multilevel"/>
    <w:tmpl w:val="AE709A9A"/>
    <w:name w:val="Reg13"/>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4.%8"/>
      <w:lvlJc w:val="left"/>
      <w:pPr>
        <w:tabs>
          <w:tab w:val="num" w:pos="720"/>
        </w:tabs>
        <w:ind w:left="0" w:firstLine="0"/>
      </w:pPr>
    </w:lvl>
    <w:lvl w:ilvl="8">
      <w:start w:val="1"/>
      <w:numFmt w:val="none"/>
      <w:lvlText w:val="[(%5)%9"/>
      <w:lvlJc w:val="left"/>
      <w:pPr>
        <w:tabs>
          <w:tab w:val="num" w:pos="1440"/>
        </w:tabs>
        <w:ind w:left="1440" w:hanging="720"/>
      </w:pPr>
    </w:lvl>
  </w:abstractNum>
  <w:abstractNum w:abstractNumId="39" w15:restartNumberingAfterBreak="0">
    <w:nsid w:val="428120B6"/>
    <w:multiLevelType w:val="multilevel"/>
    <w:tmpl w:val="23DC3AAA"/>
    <w:name w:val="Reg32"/>
    <w:lvl w:ilvl="0">
      <w:start w:val="1"/>
      <w:numFmt w:val="upperRoman"/>
      <w:suff w:val="space"/>
      <w:lvlText w:val="%1. "/>
      <w:lvlJc w:val="right"/>
      <w:pPr>
        <w:ind w:left="0" w:firstLine="244"/>
      </w:pPr>
      <w:rPr>
        <w:sz w:val="28"/>
      </w:rPr>
    </w:lvl>
    <w:lvl w:ilvl="1">
      <w:start w:val="1"/>
      <w:numFmt w:val="decimal"/>
      <w:suff w:val="space"/>
      <w:lvlText w:val="%2. "/>
      <w:lvlJc w:val="left"/>
      <w:pPr>
        <w:ind w:left="0" w:firstLine="0"/>
      </w:pPr>
      <w:rPr>
        <w:b/>
        <w:sz w:val="22"/>
        <w:u w:val="none"/>
      </w:rPr>
    </w:lvl>
    <w:lvl w:ilvl="2">
      <w:start w:val="1"/>
      <w:numFmt w:val="lowerLetter"/>
      <w:lvlText w:val="(%3)"/>
      <w:lvlJc w:val="left"/>
      <w:pPr>
        <w:tabs>
          <w:tab w:val="num" w:pos="720"/>
        </w:tabs>
        <w:ind w:left="720" w:hanging="720"/>
      </w:pPr>
      <w:rPr>
        <w:b w:val="0"/>
        <w:sz w:val="22"/>
        <w:u w:val="none"/>
      </w:rPr>
    </w:lvl>
    <w:lvl w:ilvl="3">
      <w:start w:val="1"/>
      <w:numFmt w:val="lowerRoman"/>
      <w:lvlText w:val="(%4)"/>
      <w:lvlJc w:val="right"/>
      <w:pPr>
        <w:tabs>
          <w:tab w:val="num" w:pos="1440"/>
        </w:tabs>
        <w:ind w:left="1440" w:hanging="533"/>
      </w:pPr>
      <w:rPr>
        <w:rFonts w:ascii="Times New Roman" w:hAnsi="Times New Roman"/>
        <w:b w:val="0"/>
        <w:sz w:val="22"/>
        <w:u w:val="none"/>
      </w:rPr>
    </w:lvl>
    <w:lvl w:ilvl="4">
      <w:start w:val="1"/>
      <w:numFmt w:val="decimal"/>
      <w:lvlText w:val="%5."/>
      <w:lvlJc w:val="left"/>
      <w:pPr>
        <w:tabs>
          <w:tab w:val="num" w:pos="720"/>
        </w:tabs>
        <w:ind w:left="720" w:hanging="720"/>
      </w:pPr>
      <w:rPr>
        <w:rFonts w:ascii="Times New Roman" w:hAnsi="Times New Roman"/>
        <w:b w:val="0"/>
        <w:sz w:val="22"/>
        <w:u w:val="none"/>
      </w:rPr>
    </w:lvl>
    <w:lvl w:ilvl="5">
      <w:start w:val="1"/>
      <w:numFmt w:val="lowerLetter"/>
      <w:lvlText w:val="(%6)"/>
      <w:lvlJc w:val="left"/>
      <w:pPr>
        <w:tabs>
          <w:tab w:val="num" w:pos="1440"/>
        </w:tabs>
        <w:ind w:left="1440" w:hanging="720"/>
      </w:pPr>
      <w:rPr>
        <w:sz w:val="22"/>
        <w:u w:val="none"/>
      </w:rPr>
    </w:lvl>
    <w:lvl w:ilvl="6">
      <w:start w:val="1"/>
      <w:numFmt w:val="decimal"/>
      <w:lvlText w:val="%7."/>
      <w:lvlJc w:val="left"/>
      <w:pPr>
        <w:tabs>
          <w:tab w:val="num" w:pos="1440"/>
        </w:tabs>
        <w:ind w:left="1440" w:hanging="720"/>
      </w:pPr>
      <w:rPr>
        <w:rFonts w:ascii="Symbol" w:hAnsi="Symbol" w:hint="default"/>
        <w:sz w:val="22"/>
        <w:u w:val="none"/>
      </w:rPr>
    </w:lvl>
    <w:lvl w:ilvl="7">
      <w:start w:val="1"/>
      <w:numFmt w:val="lowerLetter"/>
      <w:lvlText w:val="(%8)"/>
      <w:lvlJc w:val="left"/>
      <w:pPr>
        <w:tabs>
          <w:tab w:val="num" w:pos="2160"/>
        </w:tabs>
        <w:ind w:left="2160" w:hanging="720"/>
      </w:pPr>
      <w:rPr>
        <w:sz w:val="22"/>
        <w:u w:val="none"/>
      </w:rPr>
    </w:lvl>
    <w:lvl w:ilvl="8">
      <w:start w:val="1"/>
      <w:numFmt w:val="lowerLetter"/>
      <w:lvlText w:val=""/>
      <w:lvlJc w:val="left"/>
      <w:pPr>
        <w:tabs>
          <w:tab w:val="num" w:pos="2880"/>
        </w:tabs>
        <w:ind w:left="2880" w:hanging="720"/>
      </w:pPr>
      <w:rPr>
        <w:rFonts w:ascii="Symbol" w:hAnsi="Symbol" w:hint="default"/>
        <w:u w:val="none"/>
      </w:rPr>
    </w:lvl>
  </w:abstractNum>
  <w:abstractNum w:abstractNumId="40" w15:restartNumberingAfterBreak="0">
    <w:nsid w:val="45E052B9"/>
    <w:multiLevelType w:val="multilevel"/>
    <w:tmpl w:val="BAB8CCD8"/>
    <w:name w:val="Dec"/>
    <w:lvl w:ilvl="0">
      <w:start w:val="1"/>
      <w:numFmt w:val="upperRoman"/>
      <w:suff w:val="space"/>
      <w:lvlText w:val="%1. "/>
      <w:lvlJc w:val="right"/>
      <w:pPr>
        <w:ind w:left="0" w:firstLine="0"/>
      </w:pPr>
      <w:rPr>
        <w:rFonts w:hint="default"/>
        <w:sz w:val="24"/>
        <w:szCs w:val="24"/>
      </w:rPr>
    </w:lvl>
    <w:lvl w:ilvl="1">
      <w:start w:val="1"/>
      <w:numFmt w:val="decimal"/>
      <w:suff w:val="space"/>
      <w:lvlText w:val="%2. "/>
      <w:lvlJc w:val="left"/>
      <w:pPr>
        <w:ind w:left="0" w:firstLine="0"/>
      </w:pPr>
      <w:rPr>
        <w:rFonts w:hint="default"/>
        <w:u w:val="none"/>
      </w:rPr>
    </w:lvl>
    <w:lvl w:ilvl="2">
      <w:start w:val="1"/>
      <w:numFmt w:val="lowerLetter"/>
      <w:lvlText w:val="(%3)"/>
      <w:lvlJc w:val="left"/>
      <w:pPr>
        <w:tabs>
          <w:tab w:val="num" w:pos="360"/>
        </w:tabs>
        <w:ind w:left="0" w:firstLine="0"/>
      </w:pPr>
      <w:rPr>
        <w:rFonts w:hint="default"/>
        <w:b w:val="0"/>
        <w:i w:val="0"/>
        <w:u w:val="none"/>
      </w:rPr>
    </w:lvl>
    <w:lvl w:ilvl="3">
      <w:start w:val="1"/>
      <w:numFmt w:val="lowerRoman"/>
      <w:lvlText w:val="(%4)"/>
      <w:lvlJc w:val="right"/>
      <w:pPr>
        <w:tabs>
          <w:tab w:val="num" w:pos="1440"/>
        </w:tabs>
        <w:ind w:left="1440" w:hanging="533"/>
      </w:pPr>
      <w:rPr>
        <w:rFonts w:ascii="Times New Roman" w:hAnsi="Times New Roman" w:hint="default"/>
        <w:b w:val="0"/>
      </w:rPr>
    </w:lvl>
    <w:lvl w:ilvl="4">
      <w:start w:val="1"/>
      <w:numFmt w:val="decimal"/>
      <w:lvlRestart w:val="0"/>
      <w:lvlText w:val="%5."/>
      <w:lvlJc w:val="left"/>
      <w:pPr>
        <w:tabs>
          <w:tab w:val="num" w:pos="720"/>
        </w:tabs>
        <w:ind w:left="0" w:firstLine="0"/>
      </w:pPr>
      <w:rPr>
        <w:rFonts w:ascii="Times New Roman" w:hAnsi="Times New Roman" w:hint="default"/>
      </w:rPr>
    </w:lvl>
    <w:lvl w:ilvl="5">
      <w:start w:val="1"/>
      <w:numFmt w:val="lowerLetter"/>
      <w:lvlText w:val="(%6)"/>
      <w:lvlJc w:val="left"/>
      <w:pPr>
        <w:tabs>
          <w:tab w:val="num" w:pos="1440"/>
        </w:tabs>
        <w:ind w:left="0" w:firstLine="720"/>
      </w:pPr>
      <w:rPr>
        <w:rFonts w:hint="default"/>
      </w:rPr>
    </w:lvl>
    <w:lvl w:ilvl="6">
      <w:start w:val="1"/>
      <w:numFmt w:val="decimal"/>
      <w:lvlText w:val="%7."/>
      <w:lvlJc w:val="left"/>
      <w:pPr>
        <w:tabs>
          <w:tab w:val="num" w:pos="1440"/>
        </w:tabs>
        <w:ind w:left="1440" w:hanging="720"/>
      </w:pPr>
      <w:rPr>
        <w:rFonts w:hint="default"/>
      </w:rPr>
    </w:lvl>
    <w:lvl w:ilvl="7">
      <w:start w:val="1"/>
      <w:numFmt w:val="lowerLetter"/>
      <w:lvlText w:val="(%8)"/>
      <w:lvlJc w:val="left"/>
      <w:pPr>
        <w:tabs>
          <w:tab w:val="num" w:pos="2160"/>
        </w:tabs>
        <w:ind w:left="2160" w:hanging="720"/>
      </w:pPr>
      <w:rPr>
        <w:rFonts w:hint="default"/>
      </w:rPr>
    </w:lvl>
    <w:lvl w:ilvl="8">
      <w:start w:val="1"/>
      <w:numFmt w:val="lowerLetter"/>
      <w:lvlText w:val=""/>
      <w:lvlJc w:val="left"/>
      <w:pPr>
        <w:tabs>
          <w:tab w:val="num" w:pos="2880"/>
        </w:tabs>
        <w:ind w:left="2880" w:hanging="720"/>
      </w:pPr>
      <w:rPr>
        <w:rFonts w:ascii="Symbol" w:hAnsi="Symbol" w:hint="default"/>
      </w:rPr>
    </w:lvl>
  </w:abstractNum>
  <w:abstractNum w:abstractNumId="41" w15:restartNumberingAfterBreak="0">
    <w:nsid w:val="476B292B"/>
    <w:multiLevelType w:val="multilevel"/>
    <w:tmpl w:val="F74CD28A"/>
    <w:styleLink w:val="SDMTableBoxFigureFootnoteList"/>
    <w:lvl w:ilvl="0">
      <w:start w:val="1"/>
      <w:numFmt w:val="lowerLetter"/>
      <w:pStyle w:val="SDMTableBoxFigureFootnote"/>
      <w:lvlText w:val="(%1)"/>
      <w:lvlJc w:val="left"/>
      <w:pPr>
        <w:ind w:left="964" w:hanging="255"/>
      </w:pPr>
      <w:rPr>
        <w:rFonts w:hint="default"/>
        <w:b w:val="0"/>
        <w:i w:val="0"/>
        <w:vertAlign w:val="superscript"/>
      </w:rPr>
    </w:lvl>
    <w:lvl w:ilvl="1">
      <w:start w:val="1"/>
      <w:numFmt w:val="decimal"/>
      <w:pStyle w:val="SDMTableBoxFigureFootnoteSL1"/>
      <w:lvlText w:val="%2."/>
      <w:lvlJc w:val="left"/>
      <w:pPr>
        <w:ind w:left="1276" w:hanging="312"/>
      </w:pPr>
      <w:rPr>
        <w:rFonts w:hint="default"/>
      </w:rPr>
    </w:lvl>
    <w:lvl w:ilvl="2">
      <w:start w:val="1"/>
      <w:numFmt w:val="lowerLetter"/>
      <w:pStyle w:val="SDMTableBoxFigureFootnoteSL2"/>
      <w:lvlText w:val="(%3)"/>
      <w:lvlJc w:val="left"/>
      <w:pPr>
        <w:ind w:left="1673" w:hanging="397"/>
      </w:pPr>
      <w:rPr>
        <w:rFonts w:hint="default"/>
      </w:rPr>
    </w:lvl>
    <w:lvl w:ilvl="3">
      <w:start w:val="1"/>
      <w:numFmt w:val="lowerRoman"/>
      <w:pStyle w:val="SDMTableBoxFigureFootnoteSL3"/>
      <w:lvlText w:val="(%4)"/>
      <w:lvlJc w:val="left"/>
      <w:pPr>
        <w:ind w:left="2070" w:hanging="397"/>
      </w:pPr>
      <w:rPr>
        <w:rFonts w:hint="default"/>
      </w:rPr>
    </w:lvl>
    <w:lvl w:ilvl="4">
      <w:start w:val="1"/>
      <w:numFmt w:val="lowerLetter"/>
      <w:pStyle w:val="SDMTableBoxFigureFootnoteSL4"/>
      <w:lvlText w:val="%5."/>
      <w:lvlJc w:val="left"/>
      <w:pPr>
        <w:ind w:left="2410" w:hanging="340"/>
      </w:pPr>
      <w:rPr>
        <w:rFonts w:hint="default"/>
      </w:rPr>
    </w:lvl>
    <w:lvl w:ilvl="5">
      <w:start w:val="1"/>
      <w:numFmt w:val="lowerRoman"/>
      <w:pStyle w:val="SDMTableBoxFigureFootnoteSL5"/>
      <w:lvlText w:val="%6."/>
      <w:lvlJc w:val="left"/>
      <w:pPr>
        <w:ind w:left="2750" w:hanging="34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42" w15:restartNumberingAfterBreak="0">
    <w:nsid w:val="4AC52DB2"/>
    <w:multiLevelType w:val="multilevel"/>
    <w:tmpl w:val="C694A2DA"/>
    <w:name w:val="Reg17"/>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3.%8"/>
      <w:lvlJc w:val="left"/>
      <w:pPr>
        <w:tabs>
          <w:tab w:val="num" w:pos="720"/>
        </w:tabs>
        <w:ind w:left="720" w:hanging="720"/>
      </w:pPr>
    </w:lvl>
    <w:lvl w:ilvl="8">
      <w:start w:val="1"/>
      <w:numFmt w:val="none"/>
      <w:lvlText w:val="[(%5)%9"/>
      <w:lvlJc w:val="left"/>
      <w:pPr>
        <w:tabs>
          <w:tab w:val="num" w:pos="1440"/>
        </w:tabs>
        <w:ind w:left="1440" w:hanging="720"/>
      </w:pPr>
    </w:lvl>
  </w:abstractNum>
  <w:abstractNum w:abstractNumId="43" w15:restartNumberingAfterBreak="0">
    <w:nsid w:val="4B55483B"/>
    <w:multiLevelType w:val="multilevel"/>
    <w:tmpl w:val="BBA2A6C6"/>
    <w:name w:val="Reg10"/>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4.%8"/>
      <w:lvlJc w:val="left"/>
      <w:pPr>
        <w:tabs>
          <w:tab w:val="num" w:pos="720"/>
        </w:tabs>
        <w:ind w:left="0" w:firstLine="0"/>
      </w:pPr>
    </w:lvl>
    <w:lvl w:ilvl="8">
      <w:start w:val="1"/>
      <w:numFmt w:val="none"/>
      <w:lvlText w:val="[(%5)%9"/>
      <w:lvlJc w:val="left"/>
      <w:pPr>
        <w:tabs>
          <w:tab w:val="num" w:pos="1440"/>
        </w:tabs>
        <w:ind w:left="1440" w:hanging="720"/>
      </w:pPr>
    </w:lvl>
  </w:abstractNum>
  <w:abstractNum w:abstractNumId="44" w15:restartNumberingAfterBreak="0">
    <w:nsid w:val="4DF0353F"/>
    <w:multiLevelType w:val="multilevel"/>
    <w:tmpl w:val="7C72A55E"/>
    <w:name w:val="Reg16"/>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4.%8"/>
      <w:lvlJc w:val="left"/>
      <w:pPr>
        <w:tabs>
          <w:tab w:val="num" w:pos="720"/>
        </w:tabs>
        <w:ind w:left="0" w:firstLine="0"/>
      </w:pPr>
    </w:lvl>
    <w:lvl w:ilvl="8">
      <w:start w:val="1"/>
      <w:numFmt w:val="none"/>
      <w:lvlText w:val="[(%5)%9"/>
      <w:lvlJc w:val="left"/>
      <w:pPr>
        <w:tabs>
          <w:tab w:val="num" w:pos="1440"/>
        </w:tabs>
        <w:ind w:left="1440" w:hanging="720"/>
      </w:pPr>
    </w:lvl>
  </w:abstractNum>
  <w:abstractNum w:abstractNumId="45" w15:restartNumberingAfterBreak="0">
    <w:nsid w:val="524561C4"/>
    <w:multiLevelType w:val="multilevel"/>
    <w:tmpl w:val="A26A24AE"/>
    <w:name w:val="Reg18"/>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4.%8"/>
      <w:lvlJc w:val="left"/>
      <w:pPr>
        <w:tabs>
          <w:tab w:val="num" w:pos="720"/>
        </w:tabs>
        <w:ind w:left="0" w:firstLine="0"/>
      </w:pPr>
    </w:lvl>
    <w:lvl w:ilvl="8">
      <w:start w:val="1"/>
      <w:numFmt w:val="none"/>
      <w:lvlText w:val="[(%5)%9"/>
      <w:lvlJc w:val="left"/>
      <w:pPr>
        <w:tabs>
          <w:tab w:val="num" w:pos="1440"/>
        </w:tabs>
        <w:ind w:left="1440" w:hanging="720"/>
      </w:pPr>
    </w:lvl>
  </w:abstractNum>
  <w:abstractNum w:abstractNumId="46" w15:restartNumberingAfterBreak="0">
    <w:nsid w:val="59DF782D"/>
    <w:multiLevelType w:val="hybridMultilevel"/>
    <w:tmpl w:val="BF220D26"/>
    <w:lvl w:ilvl="0" w:tplc="FBE8AB02">
      <w:start w:val="1"/>
      <w:numFmt w:val="bullet"/>
      <w:lvlText w:val=""/>
      <w:lvlJc w:val="left"/>
      <w:pPr>
        <w:ind w:left="360" w:hanging="360"/>
      </w:pPr>
      <w:rPr>
        <w:rFonts w:ascii="Symbol" w:hAnsi="Symbol" w:hint="default"/>
      </w:rPr>
    </w:lvl>
    <w:lvl w:ilvl="1" w:tplc="FBF45EF2" w:tentative="1">
      <w:start w:val="1"/>
      <w:numFmt w:val="bullet"/>
      <w:lvlText w:val="o"/>
      <w:lvlJc w:val="left"/>
      <w:pPr>
        <w:ind w:left="1080" w:hanging="360"/>
      </w:pPr>
      <w:rPr>
        <w:rFonts w:ascii="Courier New" w:hAnsi="Courier New" w:hint="default"/>
      </w:rPr>
    </w:lvl>
    <w:lvl w:ilvl="2" w:tplc="F9548C84" w:tentative="1">
      <w:start w:val="1"/>
      <w:numFmt w:val="bullet"/>
      <w:lvlText w:val=""/>
      <w:lvlJc w:val="left"/>
      <w:pPr>
        <w:ind w:left="1800" w:hanging="360"/>
      </w:pPr>
      <w:rPr>
        <w:rFonts w:ascii="Wingdings" w:hAnsi="Wingdings" w:hint="default"/>
      </w:rPr>
    </w:lvl>
    <w:lvl w:ilvl="3" w:tplc="1B3AC214" w:tentative="1">
      <w:start w:val="1"/>
      <w:numFmt w:val="bullet"/>
      <w:lvlText w:val=""/>
      <w:lvlJc w:val="left"/>
      <w:pPr>
        <w:ind w:left="2520" w:hanging="360"/>
      </w:pPr>
      <w:rPr>
        <w:rFonts w:ascii="Symbol" w:hAnsi="Symbol" w:hint="default"/>
      </w:rPr>
    </w:lvl>
    <w:lvl w:ilvl="4" w:tplc="0324FA02" w:tentative="1">
      <w:start w:val="1"/>
      <w:numFmt w:val="bullet"/>
      <w:lvlText w:val="o"/>
      <w:lvlJc w:val="left"/>
      <w:pPr>
        <w:ind w:left="3240" w:hanging="360"/>
      </w:pPr>
      <w:rPr>
        <w:rFonts w:ascii="Courier New" w:hAnsi="Courier New" w:hint="default"/>
      </w:rPr>
    </w:lvl>
    <w:lvl w:ilvl="5" w:tplc="E6861E8C" w:tentative="1">
      <w:start w:val="1"/>
      <w:numFmt w:val="bullet"/>
      <w:lvlText w:val=""/>
      <w:lvlJc w:val="left"/>
      <w:pPr>
        <w:ind w:left="3960" w:hanging="360"/>
      </w:pPr>
      <w:rPr>
        <w:rFonts w:ascii="Wingdings" w:hAnsi="Wingdings" w:hint="default"/>
      </w:rPr>
    </w:lvl>
    <w:lvl w:ilvl="6" w:tplc="3D7C0FA4" w:tentative="1">
      <w:start w:val="1"/>
      <w:numFmt w:val="bullet"/>
      <w:lvlText w:val=""/>
      <w:lvlJc w:val="left"/>
      <w:pPr>
        <w:ind w:left="4680" w:hanging="360"/>
      </w:pPr>
      <w:rPr>
        <w:rFonts w:ascii="Symbol" w:hAnsi="Symbol" w:hint="default"/>
      </w:rPr>
    </w:lvl>
    <w:lvl w:ilvl="7" w:tplc="5868173E" w:tentative="1">
      <w:start w:val="1"/>
      <w:numFmt w:val="bullet"/>
      <w:lvlText w:val="o"/>
      <w:lvlJc w:val="left"/>
      <w:pPr>
        <w:ind w:left="5400" w:hanging="360"/>
      </w:pPr>
      <w:rPr>
        <w:rFonts w:ascii="Courier New" w:hAnsi="Courier New" w:hint="default"/>
      </w:rPr>
    </w:lvl>
    <w:lvl w:ilvl="8" w:tplc="E97267F2" w:tentative="1">
      <w:start w:val="1"/>
      <w:numFmt w:val="bullet"/>
      <w:lvlText w:val=""/>
      <w:lvlJc w:val="left"/>
      <w:pPr>
        <w:ind w:left="6120" w:hanging="360"/>
      </w:pPr>
      <w:rPr>
        <w:rFonts w:ascii="Wingdings" w:hAnsi="Wingdings" w:hint="default"/>
      </w:rPr>
    </w:lvl>
  </w:abstractNum>
  <w:abstractNum w:abstractNumId="47" w15:restartNumberingAfterBreak="0">
    <w:nsid w:val="5AB17E88"/>
    <w:multiLevelType w:val="multilevel"/>
    <w:tmpl w:val="A28EC812"/>
    <w:styleLink w:val="SDMTableBoxParaList"/>
    <w:lvl w:ilvl="0">
      <w:start w:val="1"/>
      <w:numFmt w:val="decimal"/>
      <w:suff w:val="nothing"/>
      <w:lvlText w:val="Equation (%1)"/>
      <w:lvlJc w:val="left"/>
      <w:pPr>
        <w:ind w:left="0" w:firstLine="0"/>
      </w:pPr>
    </w:lvl>
    <w:lvl w:ilvl="1">
      <w:start w:val="1"/>
      <w:numFmt w:val="decimal"/>
      <w:suff w:val="nothing"/>
      <w:lvlText w:val=""/>
      <w:lvlJc w:val="left"/>
      <w:pPr>
        <w:ind w:left="0" w:firstLine="0"/>
      </w:pPr>
    </w:lvl>
    <w:lvl w:ilvl="2">
      <w:start w:val="1"/>
      <w:numFmt w:val="decimal"/>
      <w:suff w:val="nothing"/>
      <w:lvlText w:val=""/>
      <w:lvlJc w:val="left"/>
      <w:pPr>
        <w:ind w:left="0" w:firstLine="0"/>
      </w:pPr>
    </w:lvl>
    <w:lvl w:ilvl="3">
      <w:start w:val="1"/>
      <w:numFmt w:val="decimal"/>
      <w:suff w:val="nothing"/>
      <w:lvlText w:val=""/>
      <w:lvlJc w:val="left"/>
      <w:pPr>
        <w:ind w:left="0" w:firstLine="0"/>
      </w:pPr>
    </w:lvl>
    <w:lvl w:ilvl="4">
      <w:start w:val="1"/>
      <w:numFmt w:val="decimal"/>
      <w:suff w:val="nothing"/>
      <w:lvlText w:val=""/>
      <w:lvlJc w:val="left"/>
      <w:pPr>
        <w:ind w:left="0" w:firstLine="0"/>
      </w:pPr>
    </w:lvl>
    <w:lvl w:ilvl="5">
      <w:start w:val="1"/>
      <w:numFmt w:val="decimal"/>
      <w:suff w:val="nothing"/>
      <w:lvlText w:val=""/>
      <w:lvlJc w:val="left"/>
      <w:pPr>
        <w:ind w:left="0" w:firstLine="0"/>
      </w:pPr>
    </w:lvl>
    <w:lvl w:ilvl="6">
      <w:start w:val="1"/>
      <w:numFmt w:val="decimal"/>
      <w:suff w:val="nothing"/>
      <w:lvlText w:val=""/>
      <w:lvlJc w:val="left"/>
      <w:pPr>
        <w:ind w:left="0" w:firstLine="0"/>
      </w:pPr>
    </w:lvl>
    <w:lvl w:ilvl="7">
      <w:start w:val="1"/>
      <w:numFmt w:val="decimal"/>
      <w:suff w:val="nothing"/>
      <w:lvlText w:val=""/>
      <w:lvlJc w:val="left"/>
      <w:pPr>
        <w:ind w:left="0" w:firstLine="0"/>
      </w:pPr>
    </w:lvl>
    <w:lvl w:ilvl="8">
      <w:start w:val="1"/>
      <w:numFmt w:val="decimal"/>
      <w:suff w:val="nothing"/>
      <w:lvlText w:val=""/>
      <w:lvlJc w:val="left"/>
      <w:pPr>
        <w:ind w:left="0" w:firstLine="0"/>
      </w:pPr>
    </w:lvl>
  </w:abstractNum>
  <w:abstractNum w:abstractNumId="48" w15:restartNumberingAfterBreak="0">
    <w:nsid w:val="5E65057A"/>
    <w:multiLevelType w:val="multilevel"/>
    <w:tmpl w:val="50041812"/>
    <w:name w:val="Reg14"/>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4.%8"/>
      <w:lvlJc w:val="left"/>
      <w:pPr>
        <w:tabs>
          <w:tab w:val="num" w:pos="720"/>
        </w:tabs>
        <w:ind w:left="0" w:firstLine="0"/>
      </w:pPr>
    </w:lvl>
    <w:lvl w:ilvl="8">
      <w:start w:val="1"/>
      <w:numFmt w:val="none"/>
      <w:lvlText w:val="[(%5)%9"/>
      <w:lvlJc w:val="left"/>
      <w:pPr>
        <w:tabs>
          <w:tab w:val="num" w:pos="1440"/>
        </w:tabs>
        <w:ind w:left="1440" w:hanging="720"/>
      </w:pPr>
    </w:lvl>
  </w:abstractNum>
  <w:abstractNum w:abstractNumId="49" w15:restartNumberingAfterBreak="0">
    <w:nsid w:val="639E5E02"/>
    <w:multiLevelType w:val="multilevel"/>
    <w:tmpl w:val="E9BEC3F6"/>
    <w:name w:val="Reg12"/>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3.%8"/>
      <w:lvlJc w:val="left"/>
      <w:pPr>
        <w:tabs>
          <w:tab w:val="num" w:pos="720"/>
        </w:tabs>
        <w:ind w:left="720" w:hanging="720"/>
      </w:pPr>
    </w:lvl>
    <w:lvl w:ilvl="8">
      <w:start w:val="1"/>
      <w:numFmt w:val="none"/>
      <w:lvlText w:val="[(%5)%9"/>
      <w:lvlJc w:val="left"/>
      <w:pPr>
        <w:tabs>
          <w:tab w:val="num" w:pos="1440"/>
        </w:tabs>
        <w:ind w:left="1440" w:hanging="720"/>
      </w:pPr>
    </w:lvl>
  </w:abstractNum>
  <w:abstractNum w:abstractNumId="50" w15:restartNumberingAfterBreak="0">
    <w:nsid w:val="64D345AC"/>
    <w:multiLevelType w:val="multilevel"/>
    <w:tmpl w:val="12C0BDFA"/>
    <w:name w:val="Reg4"/>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4.%8"/>
      <w:lvlJc w:val="left"/>
      <w:pPr>
        <w:tabs>
          <w:tab w:val="num" w:pos="720"/>
        </w:tabs>
        <w:ind w:left="0" w:firstLine="0"/>
      </w:pPr>
    </w:lvl>
    <w:lvl w:ilvl="8">
      <w:start w:val="1"/>
      <w:numFmt w:val="none"/>
      <w:lvlText w:val="[(%5)%9"/>
      <w:lvlJc w:val="left"/>
      <w:pPr>
        <w:tabs>
          <w:tab w:val="num" w:pos="1440"/>
        </w:tabs>
        <w:ind w:left="1440" w:hanging="720"/>
      </w:pPr>
    </w:lvl>
  </w:abstractNum>
  <w:abstractNum w:abstractNumId="51" w15:restartNumberingAfterBreak="0">
    <w:nsid w:val="6B392DA7"/>
    <w:multiLevelType w:val="multilevel"/>
    <w:tmpl w:val="5EDE06C6"/>
    <w:numStyleLink w:val="SDMParaList"/>
  </w:abstractNum>
  <w:abstractNum w:abstractNumId="52" w15:restartNumberingAfterBreak="0">
    <w:nsid w:val="6BAA183E"/>
    <w:multiLevelType w:val="multilevel"/>
    <w:tmpl w:val="AE40536C"/>
    <w:name w:val="Reg35"/>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4.%8"/>
      <w:lvlJc w:val="left"/>
      <w:pPr>
        <w:tabs>
          <w:tab w:val="num" w:pos="720"/>
        </w:tabs>
        <w:ind w:left="0" w:firstLine="0"/>
      </w:pPr>
    </w:lvl>
    <w:lvl w:ilvl="8">
      <w:start w:val="1"/>
      <w:numFmt w:val="none"/>
      <w:lvlText w:val="[(%5)%9"/>
      <w:lvlJc w:val="left"/>
      <w:pPr>
        <w:tabs>
          <w:tab w:val="num" w:pos="1440"/>
        </w:tabs>
        <w:ind w:left="1440" w:hanging="720"/>
      </w:pPr>
    </w:lvl>
  </w:abstractNum>
  <w:abstractNum w:abstractNumId="53" w15:restartNumberingAfterBreak="0">
    <w:nsid w:val="6C331F90"/>
    <w:multiLevelType w:val="multilevel"/>
    <w:tmpl w:val="08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54" w15:restartNumberingAfterBreak="0">
    <w:nsid w:val="6C7F0F7C"/>
    <w:multiLevelType w:val="hybridMultilevel"/>
    <w:tmpl w:val="B09CD4E8"/>
    <w:lvl w:ilvl="0" w:tplc="FFFFFFFF">
      <w:start w:val="1"/>
      <w:numFmt w:val="lowerLetter"/>
      <w:lvlText w:val="%1)"/>
      <w:lvlJc w:val="left"/>
      <w:pPr>
        <w:ind w:left="360" w:hanging="360"/>
      </w:pPr>
      <w:rPr>
        <w:rFonts w:hint="default"/>
      </w:rPr>
    </w:lvl>
    <w:lvl w:ilvl="1" w:tplc="04090017">
      <w:start w:val="1"/>
      <w:numFmt w:val="lowerLetter"/>
      <w:lvlText w:val="%2)"/>
      <w:lvlJc w:val="left"/>
      <w:pPr>
        <w:ind w:left="360" w:hanging="360"/>
      </w:pPr>
    </w:lvl>
    <w:lvl w:ilvl="2" w:tplc="0409001B">
      <w:start w:val="1"/>
      <w:numFmt w:val="lowerRoman"/>
      <w:lvlText w:val="%3."/>
      <w:lvlJc w:val="right"/>
      <w:pPr>
        <w:ind w:left="643" w:hanging="360"/>
      </w:p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5" w15:restartNumberingAfterBreak="0">
    <w:nsid w:val="6E1606BE"/>
    <w:multiLevelType w:val="multilevel"/>
    <w:tmpl w:val="CC264296"/>
    <w:name w:val="Reg29"/>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4.%8"/>
      <w:lvlJc w:val="left"/>
      <w:pPr>
        <w:tabs>
          <w:tab w:val="num" w:pos="720"/>
        </w:tabs>
        <w:ind w:left="0" w:firstLine="0"/>
      </w:pPr>
    </w:lvl>
    <w:lvl w:ilvl="8">
      <w:start w:val="1"/>
      <w:numFmt w:val="none"/>
      <w:lvlText w:val="[(%5)%9"/>
      <w:lvlJc w:val="left"/>
      <w:pPr>
        <w:tabs>
          <w:tab w:val="num" w:pos="1440"/>
        </w:tabs>
        <w:ind w:left="1440" w:hanging="720"/>
      </w:pPr>
    </w:lvl>
  </w:abstractNum>
  <w:abstractNum w:abstractNumId="56" w15:restartNumberingAfterBreak="0">
    <w:nsid w:val="6F060572"/>
    <w:multiLevelType w:val="multilevel"/>
    <w:tmpl w:val="5B66B3FC"/>
    <w:name w:val="Reg33"/>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4.%8"/>
      <w:lvlJc w:val="left"/>
      <w:pPr>
        <w:tabs>
          <w:tab w:val="num" w:pos="720"/>
        </w:tabs>
        <w:ind w:left="0" w:firstLine="0"/>
      </w:pPr>
    </w:lvl>
    <w:lvl w:ilvl="8">
      <w:start w:val="1"/>
      <w:numFmt w:val="none"/>
      <w:lvlText w:val="[(%5)%9"/>
      <w:lvlJc w:val="left"/>
      <w:pPr>
        <w:tabs>
          <w:tab w:val="num" w:pos="1440"/>
        </w:tabs>
        <w:ind w:left="1440" w:hanging="720"/>
      </w:pPr>
    </w:lvl>
  </w:abstractNum>
  <w:abstractNum w:abstractNumId="57" w15:restartNumberingAfterBreak="0">
    <w:nsid w:val="6FF560E4"/>
    <w:multiLevelType w:val="multilevel"/>
    <w:tmpl w:val="0E4A9DFC"/>
    <w:name w:val="Reg27"/>
    <w:lvl w:ilvl="0">
      <w:start w:val="1"/>
      <w:numFmt w:val="upperRoman"/>
      <w:suff w:val="space"/>
      <w:lvlText w:val="%1."/>
      <w:lvlJc w:val="left"/>
      <w:pPr>
        <w:ind w:left="720" w:hanging="720"/>
      </w:pPr>
      <w:rPr>
        <w:rFonts w:hint="default"/>
        <w:b/>
        <w:i w:val="0"/>
        <w:sz w:val="20"/>
      </w:rPr>
    </w:lvl>
    <w:lvl w:ilvl="1">
      <w:start w:val="1"/>
      <w:numFmt w:val="upperLetter"/>
      <w:suff w:val="space"/>
      <w:lvlText w:val="%2. "/>
      <w:lvlJc w:val="left"/>
      <w:pPr>
        <w:ind w:left="0" w:firstLine="0"/>
      </w:pPr>
      <w:rPr>
        <w:rFonts w:hint="default"/>
        <w:b w:val="0"/>
        <w:i w:val="0"/>
        <w:sz w:val="22"/>
        <w:u w:val="none"/>
      </w:rPr>
    </w:lvl>
    <w:lvl w:ilvl="2">
      <w:start w:val="1"/>
      <w:numFmt w:val="decimal"/>
      <w:lvlText w:val="%3."/>
      <w:lvlJc w:val="left"/>
      <w:pPr>
        <w:tabs>
          <w:tab w:val="num" w:pos="2160"/>
        </w:tabs>
        <w:ind w:left="2160" w:hanging="720"/>
      </w:pPr>
      <w:rPr>
        <w:rFonts w:hint="default"/>
        <w:b w:val="0"/>
        <w:i w:val="0"/>
        <w:sz w:val="22"/>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8" w15:restartNumberingAfterBreak="0">
    <w:nsid w:val="75906882"/>
    <w:multiLevelType w:val="hybridMultilevel"/>
    <w:tmpl w:val="028C0C32"/>
    <w:name w:val="Reg28"/>
    <w:lvl w:ilvl="0" w:tplc="03DEC4E8">
      <w:start w:val="1"/>
      <w:numFmt w:val="bullet"/>
      <w:lvlText w:val=""/>
      <w:lvlJc w:val="left"/>
      <w:pPr>
        <w:tabs>
          <w:tab w:val="num" w:pos="720"/>
        </w:tabs>
        <w:ind w:left="720" w:hanging="360"/>
      </w:pPr>
      <w:rPr>
        <w:rFonts w:ascii="Symbol" w:hAnsi="Symbol" w:hint="default"/>
      </w:rPr>
    </w:lvl>
    <w:lvl w:ilvl="1" w:tplc="8AA43FB0" w:tentative="1">
      <w:start w:val="1"/>
      <w:numFmt w:val="bullet"/>
      <w:lvlText w:val="o"/>
      <w:lvlJc w:val="left"/>
      <w:pPr>
        <w:tabs>
          <w:tab w:val="num" w:pos="1440"/>
        </w:tabs>
        <w:ind w:left="1440" w:hanging="360"/>
      </w:pPr>
      <w:rPr>
        <w:rFonts w:ascii="Courier New" w:hAnsi="Courier New" w:hint="default"/>
      </w:rPr>
    </w:lvl>
    <w:lvl w:ilvl="2" w:tplc="C86089E4" w:tentative="1">
      <w:start w:val="1"/>
      <w:numFmt w:val="bullet"/>
      <w:lvlText w:val=""/>
      <w:lvlJc w:val="left"/>
      <w:pPr>
        <w:tabs>
          <w:tab w:val="num" w:pos="2160"/>
        </w:tabs>
        <w:ind w:left="2160" w:hanging="360"/>
      </w:pPr>
      <w:rPr>
        <w:rFonts w:ascii="Wingdings" w:hAnsi="Wingdings" w:hint="default"/>
      </w:rPr>
    </w:lvl>
    <w:lvl w:ilvl="3" w:tplc="684CA72E" w:tentative="1">
      <w:start w:val="1"/>
      <w:numFmt w:val="bullet"/>
      <w:lvlText w:val=""/>
      <w:lvlJc w:val="left"/>
      <w:pPr>
        <w:tabs>
          <w:tab w:val="num" w:pos="2880"/>
        </w:tabs>
        <w:ind w:left="2880" w:hanging="360"/>
      </w:pPr>
      <w:rPr>
        <w:rFonts w:ascii="Symbol" w:hAnsi="Symbol" w:hint="default"/>
      </w:rPr>
    </w:lvl>
    <w:lvl w:ilvl="4" w:tplc="06A09FC6">
      <w:start w:val="1"/>
      <w:numFmt w:val="bullet"/>
      <w:lvlText w:val="o"/>
      <w:lvlJc w:val="left"/>
      <w:pPr>
        <w:tabs>
          <w:tab w:val="num" w:pos="3600"/>
        </w:tabs>
        <w:ind w:left="3600" w:hanging="360"/>
      </w:pPr>
      <w:rPr>
        <w:rFonts w:ascii="Courier New" w:hAnsi="Courier New" w:hint="default"/>
      </w:rPr>
    </w:lvl>
    <w:lvl w:ilvl="5" w:tplc="FDB82654" w:tentative="1">
      <w:start w:val="1"/>
      <w:numFmt w:val="bullet"/>
      <w:lvlText w:val=""/>
      <w:lvlJc w:val="left"/>
      <w:pPr>
        <w:tabs>
          <w:tab w:val="num" w:pos="4320"/>
        </w:tabs>
        <w:ind w:left="4320" w:hanging="360"/>
      </w:pPr>
      <w:rPr>
        <w:rFonts w:ascii="Wingdings" w:hAnsi="Wingdings" w:hint="default"/>
      </w:rPr>
    </w:lvl>
    <w:lvl w:ilvl="6" w:tplc="AAC861AE" w:tentative="1">
      <w:start w:val="1"/>
      <w:numFmt w:val="bullet"/>
      <w:lvlText w:val=""/>
      <w:lvlJc w:val="left"/>
      <w:pPr>
        <w:tabs>
          <w:tab w:val="num" w:pos="5040"/>
        </w:tabs>
        <w:ind w:left="5040" w:hanging="360"/>
      </w:pPr>
      <w:rPr>
        <w:rFonts w:ascii="Symbol" w:hAnsi="Symbol" w:hint="default"/>
      </w:rPr>
    </w:lvl>
    <w:lvl w:ilvl="7" w:tplc="ABC41C8E" w:tentative="1">
      <w:start w:val="1"/>
      <w:numFmt w:val="bullet"/>
      <w:lvlText w:val="o"/>
      <w:lvlJc w:val="left"/>
      <w:pPr>
        <w:tabs>
          <w:tab w:val="num" w:pos="5760"/>
        </w:tabs>
        <w:ind w:left="5760" w:hanging="360"/>
      </w:pPr>
      <w:rPr>
        <w:rFonts w:ascii="Courier New" w:hAnsi="Courier New" w:hint="default"/>
      </w:rPr>
    </w:lvl>
    <w:lvl w:ilvl="8" w:tplc="FDC41136"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77BF3D54"/>
    <w:multiLevelType w:val="multilevel"/>
    <w:tmpl w:val="81E46A44"/>
    <w:styleLink w:val="SDMHeadList"/>
    <w:lvl w:ilvl="0">
      <w:start w:val="1"/>
      <w:numFmt w:val="decimal"/>
      <w:pStyle w:val="SDMHead1"/>
      <w:lvlText w:val="%1."/>
      <w:lvlJc w:val="left"/>
      <w:pPr>
        <w:tabs>
          <w:tab w:val="num" w:pos="709"/>
        </w:tabs>
        <w:ind w:left="709" w:hanging="709"/>
      </w:pPr>
      <w:rPr>
        <w:rFonts w:hint="default"/>
      </w:rPr>
    </w:lvl>
    <w:lvl w:ilvl="1">
      <w:start w:val="1"/>
      <w:numFmt w:val="decimal"/>
      <w:pStyle w:val="SDMHead2"/>
      <w:lvlText w:val="%1.%2."/>
      <w:lvlJc w:val="left"/>
      <w:pPr>
        <w:tabs>
          <w:tab w:val="num" w:pos="709"/>
        </w:tabs>
        <w:ind w:left="709" w:hanging="709"/>
      </w:pPr>
      <w:rPr>
        <w:rFonts w:hint="default"/>
      </w:rPr>
    </w:lvl>
    <w:lvl w:ilvl="2">
      <w:start w:val="1"/>
      <w:numFmt w:val="decimal"/>
      <w:pStyle w:val="SDMHead3"/>
      <w:lvlText w:val="%1.%2.%3."/>
      <w:lvlJc w:val="left"/>
      <w:pPr>
        <w:tabs>
          <w:tab w:val="num" w:pos="709"/>
        </w:tabs>
        <w:ind w:left="709" w:hanging="709"/>
      </w:pPr>
      <w:rPr>
        <w:rFonts w:hint="default"/>
      </w:rPr>
    </w:lvl>
    <w:lvl w:ilvl="3">
      <w:start w:val="1"/>
      <w:numFmt w:val="decimal"/>
      <w:pStyle w:val="SDMHead4"/>
      <w:lvlText w:val="%1.%2.%3.%4."/>
      <w:lvlJc w:val="left"/>
      <w:pPr>
        <w:tabs>
          <w:tab w:val="num" w:pos="1418"/>
        </w:tabs>
        <w:ind w:left="1418" w:hanging="1418"/>
      </w:pPr>
      <w:rPr>
        <w:rFonts w:hint="default"/>
      </w:rPr>
    </w:lvl>
    <w:lvl w:ilvl="4">
      <w:start w:val="1"/>
      <w:numFmt w:val="decimal"/>
      <w:pStyle w:val="SDMHead5"/>
      <w:lvlText w:val="%1.%2.%3.%4.%5."/>
      <w:lvlJc w:val="left"/>
      <w:pPr>
        <w:tabs>
          <w:tab w:val="num" w:pos="1418"/>
        </w:tabs>
        <w:ind w:left="1418" w:hanging="1418"/>
      </w:pPr>
      <w:rPr>
        <w:rFonts w:hint="default"/>
        <w:b/>
        <w:i w:val="0"/>
      </w:rPr>
    </w:lvl>
    <w:lvl w:ilvl="5">
      <w:start w:val="1"/>
      <w:numFmt w:val="none"/>
      <w:suff w:val="nothing"/>
      <w:lvlText w:val=""/>
      <w:lvlJc w:val="left"/>
      <w:pPr>
        <w:ind w:left="-32767" w:firstLine="0"/>
      </w:pPr>
      <w:rPr>
        <w:rFonts w:hint="default"/>
      </w:rPr>
    </w:lvl>
    <w:lvl w:ilvl="6">
      <w:start w:val="1"/>
      <w:numFmt w:val="none"/>
      <w:suff w:val="nothing"/>
      <w:lvlText w:val=""/>
      <w:lvlJc w:val="left"/>
      <w:pPr>
        <w:ind w:left="-32767" w:firstLine="0"/>
      </w:pPr>
      <w:rPr>
        <w:rFonts w:hint="default"/>
      </w:rPr>
    </w:lvl>
    <w:lvl w:ilvl="7">
      <w:start w:val="1"/>
      <w:numFmt w:val="none"/>
      <w:suff w:val="nothing"/>
      <w:lvlText w:val=""/>
      <w:lvlJc w:val="left"/>
      <w:pPr>
        <w:ind w:left="-32767" w:firstLine="0"/>
      </w:pPr>
      <w:rPr>
        <w:rFonts w:hint="default"/>
      </w:rPr>
    </w:lvl>
    <w:lvl w:ilvl="8">
      <w:start w:val="1"/>
      <w:numFmt w:val="none"/>
      <w:suff w:val="nothing"/>
      <w:lvlText w:val=""/>
      <w:lvlJc w:val="left"/>
      <w:pPr>
        <w:ind w:left="-32767" w:firstLine="0"/>
      </w:pPr>
      <w:rPr>
        <w:rFonts w:hint="default"/>
      </w:rPr>
    </w:lvl>
  </w:abstractNum>
  <w:abstractNum w:abstractNumId="60" w15:restartNumberingAfterBreak="0">
    <w:nsid w:val="7CBA47F7"/>
    <w:multiLevelType w:val="hybridMultilevel"/>
    <w:tmpl w:val="0A4A371A"/>
    <w:name w:val="Reg36"/>
    <w:lvl w:ilvl="0" w:tplc="FFFFFFFF">
      <w:start w:val="1"/>
      <w:numFmt w:val="lowerRoman"/>
      <w:lvlText w:val="(%1)"/>
      <w:lvlJc w:val="left"/>
      <w:pPr>
        <w:tabs>
          <w:tab w:val="num" w:pos="1440"/>
        </w:tabs>
        <w:ind w:left="887" w:hanging="167"/>
      </w:pPr>
      <w:rPr>
        <w:rFont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40054148">
    <w:abstractNumId w:val="14"/>
  </w:num>
  <w:num w:numId="2" w16cid:durableId="1399400583">
    <w:abstractNumId w:val="12"/>
  </w:num>
  <w:num w:numId="3" w16cid:durableId="263806986">
    <w:abstractNumId w:val="47"/>
  </w:num>
  <w:num w:numId="4" w16cid:durableId="470099762">
    <w:abstractNumId w:val="24"/>
  </w:num>
  <w:num w:numId="5" w16cid:durableId="1196500987">
    <w:abstractNumId w:val="32"/>
  </w:num>
  <w:num w:numId="6" w16cid:durableId="2127499039">
    <w:abstractNumId w:val="4"/>
    <w:lvlOverride w:ilvl="0">
      <w:lvl w:ilvl="0">
        <w:start w:val="1"/>
        <w:numFmt w:val="decimal"/>
        <w:suff w:val="nothing"/>
        <w:lvlText w:val="Equation (%1)"/>
        <w:lvlJc w:val="left"/>
        <w:pPr>
          <w:ind w:left="0" w:firstLine="0"/>
        </w:pPr>
        <w:rPr>
          <w:rFonts w:hint="default"/>
        </w:rPr>
      </w:lvl>
    </w:lvlOverride>
    <w:lvlOverride w:ilvl="1">
      <w:lvl w:ilvl="1">
        <w:start w:val="1"/>
        <w:numFmt w:val="none"/>
        <w:suff w:val="nothing"/>
        <w:lvlText w:val=""/>
        <w:lvlJc w:val="left"/>
        <w:pPr>
          <w:ind w:left="0" w:firstLine="0"/>
        </w:pPr>
        <w:rPr>
          <w:rFonts w:hint="default"/>
        </w:rPr>
      </w:lvl>
    </w:lvlOverride>
    <w:lvlOverride w:ilvl="2">
      <w:lvl w:ilvl="2">
        <w:start w:val="1"/>
        <w:numFmt w:val="none"/>
        <w:suff w:val="nothing"/>
        <w:lvlText w:val=""/>
        <w:lvlJc w:val="left"/>
        <w:pPr>
          <w:ind w:left="0" w:firstLine="0"/>
        </w:pPr>
        <w:rPr>
          <w:rFonts w:hint="default"/>
        </w:rPr>
      </w:lvl>
    </w:lvlOverride>
    <w:lvlOverride w:ilvl="3">
      <w:lvl w:ilvl="3">
        <w:start w:val="1"/>
        <w:numFmt w:val="none"/>
        <w:suff w:val="nothing"/>
        <w:lvlText w:val=""/>
        <w:lvlJc w:val="left"/>
        <w:pPr>
          <w:ind w:left="0" w:firstLine="0"/>
        </w:pPr>
        <w:rPr>
          <w:rFonts w:hint="default"/>
        </w:rPr>
      </w:lvl>
    </w:lvlOverride>
    <w:lvlOverride w:ilvl="4">
      <w:lvl w:ilvl="4">
        <w:start w:val="1"/>
        <w:numFmt w:val="none"/>
        <w:suff w:val="nothing"/>
        <w:lvlText w:val=""/>
        <w:lvlJc w:val="left"/>
        <w:pPr>
          <w:ind w:left="0" w:firstLine="0"/>
        </w:pPr>
        <w:rPr>
          <w:rFonts w:hint="default"/>
        </w:rPr>
      </w:lvl>
    </w:lvlOverride>
    <w:lvlOverride w:ilvl="5">
      <w:lvl w:ilvl="5">
        <w:start w:val="1"/>
        <w:numFmt w:val="none"/>
        <w:suff w:val="nothing"/>
        <w:lvlText w:val=""/>
        <w:lvlJc w:val="left"/>
        <w:pPr>
          <w:ind w:left="0" w:firstLine="0"/>
        </w:pPr>
        <w:rPr>
          <w:rFonts w:hint="default"/>
        </w:rPr>
      </w:lvl>
    </w:lvlOverride>
    <w:lvlOverride w:ilvl="6">
      <w:lvl w:ilvl="6">
        <w:start w:val="1"/>
        <w:numFmt w:val="none"/>
        <w:suff w:val="nothing"/>
        <w:lvlText w:val=""/>
        <w:lvlJc w:val="left"/>
        <w:pPr>
          <w:ind w:left="0" w:firstLine="0"/>
        </w:pPr>
        <w:rPr>
          <w:rFonts w:hint="default"/>
        </w:rPr>
      </w:lvl>
    </w:lvlOverride>
    <w:lvlOverride w:ilvl="7">
      <w:lvl w:ilvl="7">
        <w:start w:val="1"/>
        <w:numFmt w:val="none"/>
        <w:suff w:val="nothing"/>
        <w:lvlText w:val=""/>
        <w:lvlJc w:val="left"/>
        <w:pPr>
          <w:ind w:left="0" w:firstLine="0"/>
        </w:pPr>
        <w:rPr>
          <w:rFonts w:hint="default"/>
        </w:rPr>
      </w:lvl>
    </w:lvlOverride>
    <w:lvlOverride w:ilvl="8">
      <w:lvl w:ilvl="8">
        <w:start w:val="1"/>
        <w:numFmt w:val="none"/>
        <w:suff w:val="nothing"/>
        <w:lvlText w:val=""/>
        <w:lvlJc w:val="left"/>
        <w:pPr>
          <w:ind w:left="0" w:firstLine="0"/>
        </w:pPr>
        <w:rPr>
          <w:rFonts w:hint="default"/>
        </w:rPr>
      </w:lvl>
    </w:lvlOverride>
  </w:num>
  <w:num w:numId="7" w16cid:durableId="1816409087">
    <w:abstractNumId w:val="31"/>
  </w:num>
  <w:num w:numId="8" w16cid:durableId="2126127">
    <w:abstractNumId w:val="4"/>
    <w:lvlOverride w:ilvl="0">
      <w:lvl w:ilvl="0">
        <w:start w:val="1"/>
        <w:numFmt w:val="decimal"/>
        <w:suff w:val="nothing"/>
        <w:lvlText w:val="Equation (%1)"/>
        <w:lvlJc w:val="left"/>
        <w:pPr>
          <w:ind w:left="0" w:firstLine="0"/>
        </w:pPr>
        <w:rPr>
          <w:rFonts w:hint="default"/>
        </w:rPr>
      </w:lvl>
    </w:lvlOverride>
  </w:num>
  <w:num w:numId="9" w16cid:durableId="1319462453">
    <w:abstractNumId w:val="46"/>
  </w:num>
  <w:num w:numId="10" w16cid:durableId="1095709930">
    <w:abstractNumId w:val="17"/>
  </w:num>
  <w:num w:numId="11" w16cid:durableId="977417987">
    <w:abstractNumId w:val="54"/>
  </w:num>
  <w:num w:numId="12" w16cid:durableId="251620452">
    <w:abstractNumId w:val="53"/>
  </w:num>
  <w:num w:numId="13" w16cid:durableId="1060517197">
    <w:abstractNumId w:val="20"/>
  </w:num>
  <w:num w:numId="14" w16cid:durableId="1531263537">
    <w:abstractNumId w:val="25"/>
  </w:num>
  <w:num w:numId="15" w16cid:durableId="566570024">
    <w:abstractNumId w:val="13"/>
  </w:num>
  <w:num w:numId="16" w16cid:durableId="1338995507">
    <w:abstractNumId w:val="33"/>
  </w:num>
  <w:num w:numId="17" w16cid:durableId="803625198">
    <w:abstractNumId w:val="5"/>
  </w:num>
  <w:num w:numId="18" w16cid:durableId="1579515406">
    <w:abstractNumId w:val="59"/>
    <w:lvlOverride w:ilvl="4">
      <w:lvl w:ilvl="4">
        <w:start w:val="1"/>
        <w:numFmt w:val="decimal"/>
        <w:pStyle w:val="SDMHead5"/>
        <w:lvlText w:val="%1.%2.%3.%4.%5."/>
        <w:lvlJc w:val="left"/>
        <w:pPr>
          <w:tabs>
            <w:tab w:val="num" w:pos="1418"/>
          </w:tabs>
          <w:ind w:left="1418" w:hanging="1418"/>
        </w:pPr>
        <w:rPr>
          <w:rFonts w:hint="default"/>
          <w:b/>
          <w:i w:val="0"/>
        </w:rPr>
      </w:lvl>
    </w:lvlOverride>
  </w:num>
  <w:num w:numId="19" w16cid:durableId="1345400483">
    <w:abstractNumId w:val="6"/>
  </w:num>
  <w:num w:numId="20" w16cid:durableId="1716158378">
    <w:abstractNumId w:val="16"/>
  </w:num>
  <w:num w:numId="21" w16cid:durableId="1337532458">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22" w16cid:durableId="152991872">
    <w:abstractNumId w:val="2"/>
  </w:num>
  <w:num w:numId="23" w16cid:durableId="683091093">
    <w:abstractNumId w:val="9"/>
  </w:num>
  <w:num w:numId="24" w16cid:durableId="1012996935">
    <w:abstractNumId w:val="41"/>
  </w:num>
  <w:num w:numId="25" w16cid:durableId="1362584350">
    <w:abstractNumId w:val="23"/>
  </w:num>
  <w:num w:numId="26" w16cid:durableId="1310675882">
    <w:abstractNumId w:val="14"/>
  </w:num>
  <w:num w:numId="27" w16cid:durableId="957418398">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8172622">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628785019">
    <w:abstractNumId w:val="59"/>
  </w:num>
  <w:num w:numId="30" w16cid:durableId="994452032">
    <w:abstractNumId w:val="51"/>
    <w:lvlOverride w:ilvl="0">
      <w:lvl w:ilvl="0">
        <w:start w:val="1"/>
        <w:numFmt w:val="decimal"/>
        <w:pStyle w:val="SDMPara"/>
        <w:lvlText w:val="%1."/>
        <w:lvlJc w:val="left"/>
        <w:pPr>
          <w:tabs>
            <w:tab w:val="num" w:pos="709"/>
          </w:tabs>
          <w:ind w:left="709" w:hanging="709"/>
        </w:pPr>
        <w:rPr>
          <w:rFonts w:hint="default"/>
        </w:rPr>
      </w:lvl>
    </w:lvlOverride>
  </w:num>
  <w:num w:numId="31" w16cid:durableId="214853145">
    <w:abstractNumId w:val="51"/>
    <w:lvlOverride w:ilvl="0">
      <w:lvl w:ilvl="0">
        <w:start w:val="1"/>
        <w:numFmt w:val="decimal"/>
        <w:pStyle w:val="SDMPara"/>
        <w:lvlText w:val="%1."/>
        <w:lvlJc w:val="left"/>
        <w:pPr>
          <w:tabs>
            <w:tab w:val="num" w:pos="709"/>
          </w:tabs>
          <w:ind w:left="709" w:hanging="709"/>
        </w:pPr>
        <w:rPr>
          <w:rFonts w:hint="default"/>
        </w:rPr>
      </w:lvl>
    </w:lvlOverride>
  </w:num>
  <w:num w:numId="32" w16cid:durableId="449982037">
    <w:abstractNumId w:val="51"/>
    <w:lvlOverride w:ilvl="0">
      <w:lvl w:ilvl="0">
        <w:start w:val="1"/>
        <w:numFmt w:val="decimal"/>
        <w:pStyle w:val="SDMPara"/>
        <w:lvlText w:val="%1."/>
        <w:lvlJc w:val="left"/>
        <w:pPr>
          <w:tabs>
            <w:tab w:val="num" w:pos="709"/>
          </w:tabs>
          <w:ind w:left="709" w:hanging="709"/>
        </w:pPr>
        <w:rPr>
          <w:rFonts w:hint="default"/>
        </w:rPr>
      </w:lvl>
    </w:lvlOverride>
  </w:num>
  <w:num w:numId="33" w16cid:durableId="293022750">
    <w:abstractNumId w:val="51"/>
    <w:lvlOverride w:ilvl="0">
      <w:lvl w:ilvl="0">
        <w:start w:val="1"/>
        <w:numFmt w:val="decimal"/>
        <w:pStyle w:val="SDMPara"/>
        <w:lvlText w:val="%1."/>
        <w:lvlJc w:val="left"/>
        <w:pPr>
          <w:tabs>
            <w:tab w:val="num" w:pos="709"/>
          </w:tabs>
          <w:ind w:left="709" w:hanging="709"/>
        </w:pPr>
        <w:rPr>
          <w:rFonts w:hint="default"/>
        </w:rPr>
      </w:lvl>
    </w:lvlOverride>
  </w:num>
  <w:num w:numId="34" w16cid:durableId="1704093564">
    <w:abstractNumId w:val="51"/>
    <w:lvlOverride w:ilvl="0">
      <w:lvl w:ilvl="0">
        <w:start w:val="1"/>
        <w:numFmt w:val="decimal"/>
        <w:pStyle w:val="SDMPara"/>
        <w:lvlText w:val="%1."/>
        <w:lvlJc w:val="left"/>
        <w:pPr>
          <w:tabs>
            <w:tab w:val="num" w:pos="709"/>
          </w:tabs>
          <w:ind w:left="709" w:hanging="709"/>
        </w:pPr>
        <w:rPr>
          <w:rFonts w:hint="default"/>
        </w:rPr>
      </w:lvl>
    </w:lvlOverride>
  </w:num>
  <w:num w:numId="35" w16cid:durableId="1701079077">
    <w:abstractNumId w:val="51"/>
    <w:lvlOverride w:ilvl="0">
      <w:lvl w:ilvl="0">
        <w:start w:val="1"/>
        <w:numFmt w:val="decimal"/>
        <w:pStyle w:val="SDMPara"/>
        <w:lvlText w:val="%1."/>
        <w:lvlJc w:val="left"/>
        <w:pPr>
          <w:tabs>
            <w:tab w:val="num" w:pos="709"/>
          </w:tabs>
          <w:ind w:left="709" w:hanging="709"/>
        </w:pPr>
        <w:rPr>
          <w:rFonts w:hint="default"/>
        </w:rPr>
      </w:lvl>
    </w:lvlOverride>
  </w:num>
  <w:num w:numId="36" w16cid:durableId="1218280408">
    <w:abstractNumId w:val="51"/>
    <w:lvlOverride w:ilvl="0">
      <w:lvl w:ilvl="0">
        <w:start w:val="1"/>
        <w:numFmt w:val="decimal"/>
        <w:pStyle w:val="SDMPara"/>
        <w:lvlText w:val="%1."/>
        <w:lvlJc w:val="left"/>
        <w:pPr>
          <w:tabs>
            <w:tab w:val="num" w:pos="709"/>
          </w:tabs>
          <w:ind w:left="709" w:hanging="709"/>
        </w:pPr>
        <w:rPr>
          <w:rFonts w:hint="default"/>
        </w:rPr>
      </w:lvl>
    </w:lvlOverride>
  </w:num>
  <w:num w:numId="37" w16cid:durableId="1420521832">
    <w:abstractNumId w:val="51"/>
    <w:lvlOverride w:ilvl="0">
      <w:lvl w:ilvl="0">
        <w:start w:val="1"/>
        <w:numFmt w:val="decimal"/>
        <w:pStyle w:val="SDMPara"/>
        <w:lvlText w:val="%1."/>
        <w:lvlJc w:val="left"/>
        <w:pPr>
          <w:tabs>
            <w:tab w:val="num" w:pos="709"/>
          </w:tabs>
          <w:ind w:left="709" w:hanging="709"/>
        </w:pPr>
        <w:rPr>
          <w:rFonts w:hint="default"/>
        </w:rPr>
      </w:lvl>
    </w:lvlOverride>
  </w:num>
  <w:num w:numId="38" w16cid:durableId="755592806">
    <w:abstractNumId w:val="51"/>
    <w:lvlOverride w:ilvl="0">
      <w:lvl w:ilvl="0">
        <w:start w:val="1"/>
        <w:numFmt w:val="decimal"/>
        <w:pStyle w:val="SDMPara"/>
        <w:lvlText w:val="%1."/>
        <w:lvlJc w:val="left"/>
        <w:pPr>
          <w:tabs>
            <w:tab w:val="num" w:pos="709"/>
          </w:tabs>
          <w:ind w:left="709" w:hanging="709"/>
        </w:pPr>
        <w:rPr>
          <w:rFonts w:hint="default"/>
        </w:rPr>
      </w:lvl>
    </w:lvlOverride>
  </w:num>
  <w:num w:numId="39" w16cid:durableId="58749629">
    <w:abstractNumId w:val="51"/>
    <w:lvlOverride w:ilvl="0">
      <w:lvl w:ilvl="0">
        <w:start w:val="1"/>
        <w:numFmt w:val="decimal"/>
        <w:pStyle w:val="SDMPara"/>
        <w:lvlText w:val="%1."/>
        <w:lvlJc w:val="left"/>
        <w:pPr>
          <w:tabs>
            <w:tab w:val="num" w:pos="709"/>
          </w:tabs>
          <w:ind w:left="709" w:hanging="709"/>
        </w:pPr>
        <w:rPr>
          <w:rFonts w:hint="default"/>
        </w:rPr>
      </w:lvl>
    </w:lvlOverride>
  </w:num>
  <w:num w:numId="40" w16cid:durableId="2089183868">
    <w:abstractNumId w:val="51"/>
    <w:lvlOverride w:ilvl="0">
      <w:lvl w:ilvl="0">
        <w:start w:val="1"/>
        <w:numFmt w:val="decimal"/>
        <w:pStyle w:val="SDMPara"/>
        <w:lvlText w:val="%1."/>
        <w:lvlJc w:val="left"/>
        <w:pPr>
          <w:tabs>
            <w:tab w:val="num" w:pos="709"/>
          </w:tabs>
          <w:ind w:left="709" w:hanging="709"/>
        </w:pPr>
        <w:rPr>
          <w:rFonts w:hint="default"/>
        </w:rPr>
      </w:lvl>
    </w:lvlOverride>
  </w:num>
  <w:num w:numId="41" w16cid:durableId="1388183574">
    <w:abstractNumId w:val="51"/>
    <w:lvlOverride w:ilvl="0">
      <w:lvl w:ilvl="0">
        <w:start w:val="1"/>
        <w:numFmt w:val="decimal"/>
        <w:pStyle w:val="SDMPara"/>
        <w:lvlText w:val="%1."/>
        <w:lvlJc w:val="left"/>
        <w:pPr>
          <w:tabs>
            <w:tab w:val="num" w:pos="709"/>
          </w:tabs>
          <w:ind w:left="709" w:hanging="709"/>
        </w:pPr>
        <w:rPr>
          <w:rFonts w:hint="default"/>
        </w:rPr>
      </w:lvl>
    </w:lvlOverride>
  </w:num>
  <w:num w:numId="42" w16cid:durableId="1401827467">
    <w:abstractNumId w:val="51"/>
    <w:lvlOverride w:ilvl="0">
      <w:lvl w:ilvl="0">
        <w:start w:val="1"/>
        <w:numFmt w:val="decimal"/>
        <w:pStyle w:val="SDMPara"/>
        <w:lvlText w:val="%1."/>
        <w:lvlJc w:val="left"/>
        <w:pPr>
          <w:tabs>
            <w:tab w:val="num" w:pos="709"/>
          </w:tabs>
          <w:ind w:left="709" w:hanging="709"/>
        </w:pPr>
        <w:rPr>
          <w:rFonts w:hint="default"/>
        </w:rPr>
      </w:lvl>
    </w:lvlOverride>
  </w:num>
  <w:num w:numId="43" w16cid:durableId="180701956">
    <w:abstractNumId w:val="51"/>
    <w:lvlOverride w:ilvl="0">
      <w:lvl w:ilvl="0">
        <w:start w:val="1"/>
        <w:numFmt w:val="decimal"/>
        <w:pStyle w:val="SDMPara"/>
        <w:lvlText w:val="%1."/>
        <w:lvlJc w:val="left"/>
        <w:pPr>
          <w:tabs>
            <w:tab w:val="num" w:pos="709"/>
          </w:tabs>
          <w:ind w:left="709" w:hanging="709"/>
        </w:pPr>
        <w:rPr>
          <w:rFonts w:hint="default"/>
        </w:rPr>
      </w:lvl>
    </w:lvlOverride>
  </w:num>
  <w:num w:numId="44" w16cid:durableId="704914790">
    <w:abstractNumId w:val="51"/>
    <w:lvlOverride w:ilvl="0">
      <w:lvl w:ilvl="0">
        <w:start w:val="1"/>
        <w:numFmt w:val="decimal"/>
        <w:pStyle w:val="SDMPara"/>
        <w:lvlText w:val="%1."/>
        <w:lvlJc w:val="left"/>
        <w:pPr>
          <w:tabs>
            <w:tab w:val="num" w:pos="709"/>
          </w:tabs>
          <w:ind w:left="709" w:hanging="709"/>
        </w:pPr>
        <w:rPr>
          <w:rFonts w:hint="default"/>
        </w:rPr>
      </w:lvl>
    </w:lvlOverride>
  </w:num>
  <w:num w:numId="45" w16cid:durableId="1848444671">
    <w:abstractNumId w:val="51"/>
    <w:lvlOverride w:ilvl="0">
      <w:lvl w:ilvl="0">
        <w:start w:val="1"/>
        <w:numFmt w:val="decimal"/>
        <w:pStyle w:val="SDMPara"/>
        <w:lvlText w:val="%1."/>
        <w:lvlJc w:val="left"/>
        <w:pPr>
          <w:tabs>
            <w:tab w:val="num" w:pos="709"/>
          </w:tabs>
          <w:ind w:left="709" w:hanging="709"/>
        </w:pPr>
        <w:rPr>
          <w:rFonts w:hint="default"/>
        </w:rPr>
      </w:lvl>
    </w:lvlOverride>
  </w:num>
  <w:num w:numId="46" w16cid:durableId="35350864">
    <w:abstractNumId w:val="51"/>
    <w:lvlOverride w:ilvl="0">
      <w:lvl w:ilvl="0">
        <w:start w:val="1"/>
        <w:numFmt w:val="decimal"/>
        <w:pStyle w:val="SDMPara"/>
        <w:lvlText w:val="%1."/>
        <w:lvlJc w:val="left"/>
        <w:pPr>
          <w:tabs>
            <w:tab w:val="num" w:pos="709"/>
          </w:tabs>
          <w:ind w:left="709" w:hanging="709"/>
        </w:pPr>
        <w:rPr>
          <w:rFonts w:hint="default"/>
        </w:rPr>
      </w:lvl>
    </w:lvlOverride>
  </w:num>
  <w:num w:numId="47" w16cid:durableId="20979901">
    <w:abstractNumId w:val="51"/>
    <w:lvlOverride w:ilvl="0">
      <w:lvl w:ilvl="0">
        <w:start w:val="1"/>
        <w:numFmt w:val="decimal"/>
        <w:pStyle w:val="SDMPara"/>
        <w:lvlText w:val="%1."/>
        <w:lvlJc w:val="left"/>
        <w:pPr>
          <w:tabs>
            <w:tab w:val="num" w:pos="709"/>
          </w:tabs>
          <w:ind w:left="709" w:hanging="709"/>
        </w:pPr>
        <w:rPr>
          <w:rFonts w:hint="default"/>
        </w:rPr>
      </w:lvl>
    </w:lvlOverride>
  </w:num>
  <w:num w:numId="48" w16cid:durableId="1003901366">
    <w:abstractNumId w:val="51"/>
    <w:lvlOverride w:ilvl="0">
      <w:lvl w:ilvl="0">
        <w:start w:val="1"/>
        <w:numFmt w:val="decimal"/>
        <w:pStyle w:val="SDMPara"/>
        <w:lvlText w:val="%1."/>
        <w:lvlJc w:val="left"/>
        <w:pPr>
          <w:tabs>
            <w:tab w:val="num" w:pos="709"/>
          </w:tabs>
          <w:ind w:left="709" w:hanging="709"/>
        </w:pPr>
        <w:rPr>
          <w:rFonts w:hint="default"/>
        </w:rPr>
      </w:lvl>
    </w:lvlOverride>
  </w:num>
  <w:num w:numId="49" w16cid:durableId="592276799">
    <w:abstractNumId w:val="51"/>
    <w:lvlOverride w:ilvl="0">
      <w:lvl w:ilvl="0">
        <w:start w:val="1"/>
        <w:numFmt w:val="decimal"/>
        <w:pStyle w:val="SDMPara"/>
        <w:lvlText w:val="%1."/>
        <w:lvlJc w:val="left"/>
        <w:pPr>
          <w:tabs>
            <w:tab w:val="num" w:pos="709"/>
          </w:tabs>
          <w:ind w:left="709" w:hanging="709"/>
        </w:pPr>
        <w:rPr>
          <w:rFonts w:hint="default"/>
        </w:rPr>
      </w:lvl>
    </w:lvlOverride>
  </w:num>
  <w:num w:numId="50" w16cid:durableId="883641586">
    <w:abstractNumId w:val="51"/>
    <w:lvlOverride w:ilvl="0">
      <w:lvl w:ilvl="0">
        <w:start w:val="1"/>
        <w:numFmt w:val="decimal"/>
        <w:pStyle w:val="SDMPara"/>
        <w:lvlText w:val="%1."/>
        <w:lvlJc w:val="left"/>
        <w:pPr>
          <w:tabs>
            <w:tab w:val="num" w:pos="709"/>
          </w:tabs>
          <w:ind w:left="709" w:hanging="709"/>
        </w:pPr>
        <w:rPr>
          <w:rFonts w:hint="default"/>
        </w:rPr>
      </w:lvl>
    </w:lvlOverride>
  </w:num>
  <w:num w:numId="51" w16cid:durableId="184489232">
    <w:abstractNumId w:val="51"/>
    <w:lvlOverride w:ilvl="0">
      <w:lvl w:ilvl="0">
        <w:start w:val="1"/>
        <w:numFmt w:val="decimal"/>
        <w:pStyle w:val="SDMPara"/>
        <w:lvlText w:val="%1."/>
        <w:lvlJc w:val="left"/>
        <w:pPr>
          <w:tabs>
            <w:tab w:val="num" w:pos="709"/>
          </w:tabs>
          <w:ind w:left="709" w:hanging="709"/>
        </w:pPr>
        <w:rPr>
          <w:rFonts w:hint="default"/>
        </w:rPr>
      </w:lvl>
    </w:lvlOverride>
  </w:num>
  <w:num w:numId="52" w16cid:durableId="489640086">
    <w:abstractNumId w:val="51"/>
    <w:lvlOverride w:ilvl="0">
      <w:lvl w:ilvl="0">
        <w:start w:val="1"/>
        <w:numFmt w:val="decimal"/>
        <w:pStyle w:val="SDMPara"/>
        <w:lvlText w:val="%1."/>
        <w:lvlJc w:val="left"/>
        <w:pPr>
          <w:tabs>
            <w:tab w:val="num" w:pos="709"/>
          </w:tabs>
          <w:ind w:left="709" w:hanging="709"/>
        </w:pPr>
        <w:rPr>
          <w:rFonts w:hint="default"/>
        </w:rPr>
      </w:lvl>
    </w:lvlOverride>
  </w:num>
  <w:num w:numId="53" w16cid:durableId="1757897587">
    <w:abstractNumId w:val="51"/>
    <w:lvlOverride w:ilvl="0">
      <w:lvl w:ilvl="0">
        <w:start w:val="1"/>
        <w:numFmt w:val="decimal"/>
        <w:pStyle w:val="SDMPara"/>
        <w:lvlText w:val="%1."/>
        <w:lvlJc w:val="left"/>
        <w:pPr>
          <w:tabs>
            <w:tab w:val="num" w:pos="709"/>
          </w:tabs>
          <w:ind w:left="709" w:hanging="709"/>
        </w:pPr>
        <w:rPr>
          <w:rFonts w:hint="default"/>
        </w:rPr>
      </w:lvl>
    </w:lvlOverride>
  </w:num>
  <w:num w:numId="54" w16cid:durableId="1600064719">
    <w:abstractNumId w:val="51"/>
    <w:lvlOverride w:ilvl="0">
      <w:lvl w:ilvl="0">
        <w:start w:val="1"/>
        <w:numFmt w:val="decimal"/>
        <w:pStyle w:val="SDMPara"/>
        <w:lvlText w:val="%1."/>
        <w:lvlJc w:val="left"/>
        <w:pPr>
          <w:tabs>
            <w:tab w:val="num" w:pos="709"/>
          </w:tabs>
          <w:ind w:left="709" w:hanging="709"/>
        </w:pPr>
        <w:rPr>
          <w:rFonts w:hint="default"/>
        </w:rPr>
      </w:lvl>
    </w:lvlOverride>
  </w:num>
  <w:num w:numId="55" w16cid:durableId="1232738889">
    <w:abstractNumId w:val="51"/>
    <w:lvlOverride w:ilvl="0">
      <w:lvl w:ilvl="0">
        <w:start w:val="1"/>
        <w:numFmt w:val="decimal"/>
        <w:pStyle w:val="SDMPara"/>
        <w:lvlText w:val="%1."/>
        <w:lvlJc w:val="left"/>
        <w:pPr>
          <w:tabs>
            <w:tab w:val="num" w:pos="709"/>
          </w:tabs>
          <w:ind w:left="709" w:hanging="709"/>
        </w:pPr>
        <w:rPr>
          <w:rFonts w:hint="default"/>
        </w:rPr>
      </w:lvl>
    </w:lvlOverride>
  </w:num>
  <w:num w:numId="56" w16cid:durableId="1272668556">
    <w:abstractNumId w:val="51"/>
    <w:lvlOverride w:ilvl="0">
      <w:lvl w:ilvl="0">
        <w:start w:val="1"/>
        <w:numFmt w:val="decimal"/>
        <w:pStyle w:val="SDMPara"/>
        <w:lvlText w:val="%1."/>
        <w:lvlJc w:val="left"/>
        <w:pPr>
          <w:tabs>
            <w:tab w:val="num" w:pos="709"/>
          </w:tabs>
          <w:ind w:left="709" w:hanging="709"/>
        </w:pPr>
        <w:rPr>
          <w:rFonts w:hint="default"/>
        </w:rPr>
      </w:lvl>
    </w:lvlOverride>
  </w:num>
  <w:num w:numId="57" w16cid:durableId="699403059">
    <w:abstractNumId w:val="51"/>
    <w:lvlOverride w:ilvl="0">
      <w:lvl w:ilvl="0">
        <w:start w:val="1"/>
        <w:numFmt w:val="decimal"/>
        <w:pStyle w:val="SDMPara"/>
        <w:lvlText w:val="%1."/>
        <w:lvlJc w:val="left"/>
        <w:pPr>
          <w:tabs>
            <w:tab w:val="num" w:pos="709"/>
          </w:tabs>
          <w:ind w:left="709" w:hanging="709"/>
        </w:pPr>
        <w:rPr>
          <w:rFonts w:hint="default"/>
        </w:rPr>
      </w:lvl>
    </w:lvlOverride>
  </w:num>
  <w:num w:numId="58" w16cid:durableId="547492916">
    <w:abstractNumId w:val="51"/>
    <w:lvlOverride w:ilvl="0">
      <w:lvl w:ilvl="0">
        <w:start w:val="1"/>
        <w:numFmt w:val="decimal"/>
        <w:pStyle w:val="SDMPara"/>
        <w:lvlText w:val="%1."/>
        <w:lvlJc w:val="left"/>
        <w:pPr>
          <w:tabs>
            <w:tab w:val="num" w:pos="709"/>
          </w:tabs>
          <w:ind w:left="709" w:hanging="709"/>
        </w:pPr>
        <w:rPr>
          <w:rFonts w:hint="default"/>
        </w:rPr>
      </w:lvl>
    </w:lvlOverride>
  </w:num>
  <w:num w:numId="59" w16cid:durableId="725835694">
    <w:abstractNumId w:val="51"/>
    <w:lvlOverride w:ilvl="0">
      <w:lvl w:ilvl="0">
        <w:start w:val="1"/>
        <w:numFmt w:val="decimal"/>
        <w:pStyle w:val="SDMPara"/>
        <w:lvlText w:val="%1."/>
        <w:lvlJc w:val="left"/>
        <w:pPr>
          <w:tabs>
            <w:tab w:val="num" w:pos="709"/>
          </w:tabs>
          <w:ind w:left="709" w:hanging="709"/>
        </w:pPr>
        <w:rPr>
          <w:rFonts w:hint="default"/>
        </w:rPr>
      </w:lvl>
    </w:lvlOverride>
  </w:num>
  <w:num w:numId="60" w16cid:durableId="998381982">
    <w:abstractNumId w:val="51"/>
    <w:lvlOverride w:ilvl="0">
      <w:lvl w:ilvl="0">
        <w:start w:val="1"/>
        <w:numFmt w:val="decimal"/>
        <w:pStyle w:val="SDMPara"/>
        <w:lvlText w:val="%1."/>
        <w:lvlJc w:val="left"/>
        <w:pPr>
          <w:tabs>
            <w:tab w:val="num" w:pos="709"/>
          </w:tabs>
          <w:ind w:left="709" w:hanging="709"/>
        </w:pPr>
        <w:rPr>
          <w:rFonts w:hint="default"/>
        </w:rPr>
      </w:lvl>
    </w:lvlOverride>
  </w:num>
  <w:num w:numId="61" w16cid:durableId="1286502544">
    <w:abstractNumId w:val="51"/>
    <w:lvlOverride w:ilvl="0">
      <w:lvl w:ilvl="0">
        <w:start w:val="1"/>
        <w:numFmt w:val="decimal"/>
        <w:pStyle w:val="SDMPara"/>
        <w:lvlText w:val="%1."/>
        <w:lvlJc w:val="left"/>
        <w:pPr>
          <w:tabs>
            <w:tab w:val="num" w:pos="709"/>
          </w:tabs>
          <w:ind w:left="709" w:hanging="709"/>
        </w:pPr>
        <w:rPr>
          <w:rFonts w:hint="default"/>
        </w:rPr>
      </w:lvl>
    </w:lvlOverride>
  </w:num>
  <w:num w:numId="62" w16cid:durableId="716010455">
    <w:abstractNumId w:val="51"/>
    <w:lvlOverride w:ilvl="0">
      <w:lvl w:ilvl="0">
        <w:start w:val="1"/>
        <w:numFmt w:val="decimal"/>
        <w:pStyle w:val="SDMPara"/>
        <w:lvlText w:val="%1."/>
        <w:lvlJc w:val="left"/>
        <w:pPr>
          <w:tabs>
            <w:tab w:val="num" w:pos="709"/>
          </w:tabs>
          <w:ind w:left="709" w:hanging="709"/>
        </w:pPr>
        <w:rPr>
          <w:rFonts w:hint="default"/>
        </w:rPr>
      </w:lvl>
    </w:lvlOverride>
  </w:num>
  <w:num w:numId="63" w16cid:durableId="1681619038">
    <w:abstractNumId w:val="51"/>
    <w:lvlOverride w:ilvl="0">
      <w:lvl w:ilvl="0">
        <w:start w:val="1"/>
        <w:numFmt w:val="decimal"/>
        <w:pStyle w:val="SDMPara"/>
        <w:lvlText w:val="%1."/>
        <w:lvlJc w:val="left"/>
        <w:pPr>
          <w:tabs>
            <w:tab w:val="num" w:pos="709"/>
          </w:tabs>
          <w:ind w:left="709" w:hanging="709"/>
        </w:pPr>
        <w:rPr>
          <w:rFonts w:hint="default"/>
        </w:rPr>
      </w:lvl>
    </w:lvlOverride>
  </w:num>
  <w:num w:numId="64" w16cid:durableId="1971126344">
    <w:abstractNumId w:val="51"/>
    <w:lvlOverride w:ilvl="0">
      <w:lvl w:ilvl="0">
        <w:start w:val="1"/>
        <w:numFmt w:val="decimal"/>
        <w:pStyle w:val="SDMPara"/>
        <w:lvlText w:val="%1."/>
        <w:lvlJc w:val="left"/>
        <w:pPr>
          <w:tabs>
            <w:tab w:val="num" w:pos="709"/>
          </w:tabs>
          <w:ind w:left="709" w:hanging="709"/>
        </w:pPr>
        <w:rPr>
          <w:rFonts w:hint="default"/>
        </w:rPr>
      </w:lvl>
    </w:lvlOverride>
  </w:num>
  <w:num w:numId="65" w16cid:durableId="1225221621">
    <w:abstractNumId w:val="51"/>
    <w:lvlOverride w:ilvl="0">
      <w:lvl w:ilvl="0">
        <w:start w:val="1"/>
        <w:numFmt w:val="decimal"/>
        <w:pStyle w:val="SDMPara"/>
        <w:lvlText w:val="%1."/>
        <w:lvlJc w:val="left"/>
        <w:pPr>
          <w:tabs>
            <w:tab w:val="num" w:pos="709"/>
          </w:tabs>
          <w:ind w:left="709" w:hanging="709"/>
        </w:pPr>
        <w:rPr>
          <w:rFonts w:hint="default"/>
        </w:rPr>
      </w:lvl>
    </w:lvlOverride>
  </w:num>
  <w:num w:numId="66" w16cid:durableId="1962027233">
    <w:abstractNumId w:val="51"/>
    <w:lvlOverride w:ilvl="0">
      <w:lvl w:ilvl="0">
        <w:start w:val="1"/>
        <w:numFmt w:val="decimal"/>
        <w:pStyle w:val="SDMPara"/>
        <w:lvlText w:val="%1."/>
        <w:lvlJc w:val="left"/>
        <w:pPr>
          <w:tabs>
            <w:tab w:val="num" w:pos="709"/>
          </w:tabs>
          <w:ind w:left="709" w:hanging="709"/>
        </w:pPr>
        <w:rPr>
          <w:rFonts w:hint="default"/>
        </w:rPr>
      </w:lvl>
    </w:lvlOverride>
  </w:num>
  <w:num w:numId="67" w16cid:durableId="500438275">
    <w:abstractNumId w:val="51"/>
    <w:lvlOverride w:ilvl="0">
      <w:lvl w:ilvl="0">
        <w:start w:val="1"/>
        <w:numFmt w:val="decimal"/>
        <w:pStyle w:val="SDMPara"/>
        <w:lvlText w:val="%1."/>
        <w:lvlJc w:val="left"/>
        <w:pPr>
          <w:tabs>
            <w:tab w:val="num" w:pos="709"/>
          </w:tabs>
          <w:ind w:left="709" w:hanging="709"/>
        </w:pPr>
        <w:rPr>
          <w:rFonts w:hint="default"/>
        </w:rPr>
      </w:lvl>
    </w:lvlOverride>
  </w:num>
  <w:num w:numId="68" w16cid:durableId="371148060">
    <w:abstractNumId w:val="51"/>
    <w:lvlOverride w:ilvl="0">
      <w:lvl w:ilvl="0">
        <w:start w:val="1"/>
        <w:numFmt w:val="decimal"/>
        <w:pStyle w:val="SDMPara"/>
        <w:lvlText w:val="%1."/>
        <w:lvlJc w:val="left"/>
        <w:pPr>
          <w:tabs>
            <w:tab w:val="num" w:pos="709"/>
          </w:tabs>
          <w:ind w:left="709" w:hanging="709"/>
        </w:pPr>
        <w:rPr>
          <w:rFonts w:hint="default"/>
        </w:rPr>
      </w:lvl>
    </w:lvlOverride>
  </w:num>
  <w:num w:numId="69" w16cid:durableId="518467377">
    <w:abstractNumId w:val="51"/>
    <w:lvlOverride w:ilvl="0">
      <w:lvl w:ilvl="0">
        <w:start w:val="1"/>
        <w:numFmt w:val="decimal"/>
        <w:pStyle w:val="SDMPara"/>
        <w:lvlText w:val="%1."/>
        <w:lvlJc w:val="left"/>
        <w:pPr>
          <w:tabs>
            <w:tab w:val="num" w:pos="709"/>
          </w:tabs>
          <w:ind w:left="709" w:hanging="709"/>
        </w:pPr>
        <w:rPr>
          <w:rFonts w:hint="default"/>
        </w:rPr>
      </w:lvl>
    </w:lvlOverride>
  </w:num>
  <w:num w:numId="70" w16cid:durableId="1579167192">
    <w:abstractNumId w:val="51"/>
    <w:lvlOverride w:ilvl="0">
      <w:lvl w:ilvl="0">
        <w:start w:val="1"/>
        <w:numFmt w:val="decimal"/>
        <w:pStyle w:val="SDMPara"/>
        <w:lvlText w:val="%1."/>
        <w:lvlJc w:val="left"/>
        <w:pPr>
          <w:tabs>
            <w:tab w:val="num" w:pos="709"/>
          </w:tabs>
          <w:ind w:left="709" w:hanging="709"/>
        </w:pPr>
        <w:rPr>
          <w:rFonts w:hint="default"/>
        </w:rPr>
      </w:lvl>
    </w:lvlOverride>
  </w:num>
  <w:num w:numId="71" w16cid:durableId="781799530">
    <w:abstractNumId w:val="51"/>
    <w:lvlOverride w:ilvl="0">
      <w:lvl w:ilvl="0">
        <w:start w:val="1"/>
        <w:numFmt w:val="decimal"/>
        <w:pStyle w:val="SDMPara"/>
        <w:lvlText w:val="%1."/>
        <w:lvlJc w:val="left"/>
        <w:pPr>
          <w:tabs>
            <w:tab w:val="num" w:pos="709"/>
          </w:tabs>
          <w:ind w:left="709" w:hanging="709"/>
        </w:pPr>
        <w:rPr>
          <w:rFonts w:hint="default"/>
        </w:rPr>
      </w:lvl>
    </w:lvlOverride>
  </w:num>
  <w:num w:numId="72" w16cid:durableId="1077899754">
    <w:abstractNumId w:val="51"/>
    <w:lvlOverride w:ilvl="0">
      <w:lvl w:ilvl="0">
        <w:start w:val="1"/>
        <w:numFmt w:val="decimal"/>
        <w:pStyle w:val="SDMPara"/>
        <w:lvlText w:val="%1."/>
        <w:lvlJc w:val="left"/>
        <w:pPr>
          <w:tabs>
            <w:tab w:val="num" w:pos="709"/>
          </w:tabs>
          <w:ind w:left="709" w:hanging="709"/>
        </w:pPr>
        <w:rPr>
          <w:rFonts w:hint="default"/>
        </w:rPr>
      </w:lvl>
    </w:lvlOverride>
  </w:num>
  <w:num w:numId="73" w16cid:durableId="1368261553">
    <w:abstractNumId w:val="51"/>
    <w:lvlOverride w:ilvl="0">
      <w:lvl w:ilvl="0">
        <w:start w:val="1"/>
        <w:numFmt w:val="decimal"/>
        <w:pStyle w:val="SDMPara"/>
        <w:lvlText w:val="%1."/>
        <w:lvlJc w:val="left"/>
        <w:pPr>
          <w:tabs>
            <w:tab w:val="num" w:pos="709"/>
          </w:tabs>
          <w:ind w:left="709" w:hanging="709"/>
        </w:pPr>
        <w:rPr>
          <w:rFonts w:hint="default"/>
        </w:rPr>
      </w:lvl>
    </w:lvlOverride>
  </w:num>
  <w:num w:numId="74" w16cid:durableId="1850675252">
    <w:abstractNumId w:val="51"/>
    <w:lvlOverride w:ilvl="0">
      <w:lvl w:ilvl="0">
        <w:start w:val="1"/>
        <w:numFmt w:val="decimal"/>
        <w:pStyle w:val="SDMPara"/>
        <w:lvlText w:val="%1."/>
        <w:lvlJc w:val="left"/>
        <w:pPr>
          <w:tabs>
            <w:tab w:val="num" w:pos="709"/>
          </w:tabs>
          <w:ind w:left="709" w:hanging="709"/>
        </w:pPr>
        <w:rPr>
          <w:rFonts w:hint="default"/>
        </w:rPr>
      </w:lvl>
    </w:lvlOverride>
  </w:num>
  <w:num w:numId="75" w16cid:durableId="1768186297">
    <w:abstractNumId w:val="51"/>
    <w:lvlOverride w:ilvl="0">
      <w:lvl w:ilvl="0">
        <w:start w:val="1"/>
        <w:numFmt w:val="decimal"/>
        <w:pStyle w:val="SDMPara"/>
        <w:lvlText w:val="%1."/>
        <w:lvlJc w:val="left"/>
        <w:pPr>
          <w:tabs>
            <w:tab w:val="num" w:pos="709"/>
          </w:tabs>
          <w:ind w:left="709" w:hanging="709"/>
        </w:pPr>
        <w:rPr>
          <w:rFonts w:hint="default"/>
        </w:rPr>
      </w:lvl>
    </w:lvlOverride>
  </w:num>
  <w:num w:numId="76" w16cid:durableId="2031956234">
    <w:abstractNumId w:val="51"/>
    <w:lvlOverride w:ilvl="0">
      <w:lvl w:ilvl="0">
        <w:start w:val="1"/>
        <w:numFmt w:val="decimal"/>
        <w:pStyle w:val="SDMPara"/>
        <w:lvlText w:val="%1."/>
        <w:lvlJc w:val="left"/>
        <w:pPr>
          <w:tabs>
            <w:tab w:val="num" w:pos="709"/>
          </w:tabs>
          <w:ind w:left="709" w:hanging="709"/>
        </w:pPr>
        <w:rPr>
          <w:rFonts w:hint="default"/>
        </w:rPr>
      </w:lvl>
    </w:lvlOverride>
  </w:num>
  <w:num w:numId="77" w16cid:durableId="1621108995">
    <w:abstractNumId w:val="51"/>
    <w:lvlOverride w:ilvl="0">
      <w:lvl w:ilvl="0">
        <w:start w:val="1"/>
        <w:numFmt w:val="decimal"/>
        <w:pStyle w:val="SDMPara"/>
        <w:lvlText w:val="%1."/>
        <w:lvlJc w:val="left"/>
        <w:pPr>
          <w:tabs>
            <w:tab w:val="num" w:pos="709"/>
          </w:tabs>
          <w:ind w:left="709" w:hanging="709"/>
        </w:pPr>
        <w:rPr>
          <w:rFonts w:hint="default"/>
        </w:rPr>
      </w:lvl>
    </w:lvlOverride>
  </w:num>
  <w:num w:numId="78" w16cid:durableId="1219778286">
    <w:abstractNumId w:val="51"/>
    <w:lvlOverride w:ilvl="0">
      <w:lvl w:ilvl="0">
        <w:start w:val="1"/>
        <w:numFmt w:val="decimal"/>
        <w:pStyle w:val="SDMPara"/>
        <w:lvlText w:val="%1."/>
        <w:lvlJc w:val="left"/>
        <w:pPr>
          <w:tabs>
            <w:tab w:val="num" w:pos="709"/>
          </w:tabs>
          <w:ind w:left="709" w:hanging="709"/>
        </w:pPr>
        <w:rPr>
          <w:rFonts w:hint="default"/>
        </w:rPr>
      </w:lvl>
    </w:lvlOverride>
  </w:num>
  <w:num w:numId="79" w16cid:durableId="86389479">
    <w:abstractNumId w:val="51"/>
    <w:lvlOverride w:ilvl="0">
      <w:lvl w:ilvl="0">
        <w:start w:val="1"/>
        <w:numFmt w:val="decimal"/>
        <w:pStyle w:val="SDMPara"/>
        <w:lvlText w:val="%1."/>
        <w:lvlJc w:val="left"/>
        <w:pPr>
          <w:tabs>
            <w:tab w:val="num" w:pos="709"/>
          </w:tabs>
          <w:ind w:left="709" w:hanging="709"/>
        </w:pPr>
        <w:rPr>
          <w:rFonts w:hint="default"/>
        </w:rPr>
      </w:lvl>
    </w:lvlOverride>
  </w:num>
  <w:num w:numId="80" w16cid:durableId="709650300">
    <w:abstractNumId w:val="51"/>
    <w:lvlOverride w:ilvl="0">
      <w:lvl w:ilvl="0">
        <w:start w:val="1"/>
        <w:numFmt w:val="decimal"/>
        <w:pStyle w:val="SDMPara"/>
        <w:lvlText w:val="%1."/>
        <w:lvlJc w:val="left"/>
        <w:pPr>
          <w:tabs>
            <w:tab w:val="num" w:pos="709"/>
          </w:tabs>
          <w:ind w:left="709" w:hanging="709"/>
        </w:pPr>
        <w:rPr>
          <w:rFonts w:hint="default"/>
        </w:rPr>
      </w:lvl>
    </w:lvlOverride>
  </w:num>
  <w:num w:numId="81" w16cid:durableId="249386078">
    <w:abstractNumId w:val="51"/>
    <w:lvlOverride w:ilvl="0">
      <w:lvl w:ilvl="0">
        <w:start w:val="1"/>
        <w:numFmt w:val="decimal"/>
        <w:pStyle w:val="SDMPara"/>
        <w:lvlText w:val="%1."/>
        <w:lvlJc w:val="left"/>
        <w:pPr>
          <w:tabs>
            <w:tab w:val="num" w:pos="709"/>
          </w:tabs>
          <w:ind w:left="709" w:hanging="709"/>
        </w:pPr>
        <w:rPr>
          <w:rFonts w:hint="default"/>
        </w:rPr>
      </w:lvl>
    </w:lvlOverride>
  </w:num>
  <w:num w:numId="82" w16cid:durableId="1344942196">
    <w:abstractNumId w:val="51"/>
    <w:lvlOverride w:ilvl="0">
      <w:lvl w:ilvl="0">
        <w:start w:val="1"/>
        <w:numFmt w:val="decimal"/>
        <w:pStyle w:val="SDMPara"/>
        <w:lvlText w:val="%1."/>
        <w:lvlJc w:val="left"/>
        <w:pPr>
          <w:tabs>
            <w:tab w:val="num" w:pos="709"/>
          </w:tabs>
          <w:ind w:left="709" w:hanging="709"/>
        </w:pPr>
        <w:rPr>
          <w:rFonts w:hint="default"/>
        </w:rPr>
      </w:lvl>
    </w:lvlOverride>
  </w:num>
  <w:num w:numId="83" w16cid:durableId="218590712">
    <w:abstractNumId w:val="51"/>
    <w:lvlOverride w:ilvl="0">
      <w:lvl w:ilvl="0">
        <w:start w:val="1"/>
        <w:numFmt w:val="decimal"/>
        <w:pStyle w:val="SDMPara"/>
        <w:lvlText w:val="%1."/>
        <w:lvlJc w:val="left"/>
        <w:pPr>
          <w:tabs>
            <w:tab w:val="num" w:pos="709"/>
          </w:tabs>
          <w:ind w:left="709" w:hanging="709"/>
        </w:pPr>
        <w:rPr>
          <w:rFonts w:hint="default"/>
        </w:rPr>
      </w:lvl>
    </w:lvlOverride>
  </w:num>
  <w:num w:numId="84" w16cid:durableId="1318000031">
    <w:abstractNumId w:val="51"/>
    <w:lvlOverride w:ilvl="0">
      <w:lvl w:ilvl="0">
        <w:start w:val="1"/>
        <w:numFmt w:val="decimal"/>
        <w:pStyle w:val="SDMPara"/>
        <w:lvlText w:val="%1."/>
        <w:lvlJc w:val="left"/>
        <w:pPr>
          <w:tabs>
            <w:tab w:val="num" w:pos="709"/>
          </w:tabs>
          <w:ind w:left="709" w:hanging="709"/>
        </w:pPr>
        <w:rPr>
          <w:rFonts w:hint="default"/>
        </w:rPr>
      </w:lvl>
    </w:lvlOverride>
  </w:num>
  <w:num w:numId="85" w16cid:durableId="1009604704">
    <w:abstractNumId w:val="51"/>
    <w:lvlOverride w:ilvl="0">
      <w:lvl w:ilvl="0">
        <w:start w:val="1"/>
        <w:numFmt w:val="decimal"/>
        <w:pStyle w:val="SDMPara"/>
        <w:lvlText w:val="%1."/>
        <w:lvlJc w:val="left"/>
        <w:pPr>
          <w:tabs>
            <w:tab w:val="num" w:pos="709"/>
          </w:tabs>
          <w:ind w:left="709" w:hanging="709"/>
        </w:pPr>
        <w:rPr>
          <w:rFonts w:hint="default"/>
        </w:rPr>
      </w:lvl>
    </w:lvlOverride>
  </w:num>
  <w:num w:numId="86" w16cid:durableId="1766338980">
    <w:abstractNumId w:val="51"/>
    <w:lvlOverride w:ilvl="0">
      <w:lvl w:ilvl="0">
        <w:start w:val="1"/>
        <w:numFmt w:val="decimal"/>
        <w:pStyle w:val="SDMPara"/>
        <w:lvlText w:val="%1."/>
        <w:lvlJc w:val="left"/>
        <w:pPr>
          <w:tabs>
            <w:tab w:val="num" w:pos="709"/>
          </w:tabs>
          <w:ind w:left="709" w:hanging="709"/>
        </w:pPr>
        <w:rPr>
          <w:rFonts w:hint="default"/>
        </w:rPr>
      </w:lvl>
    </w:lvlOverride>
  </w:num>
  <w:num w:numId="87" w16cid:durableId="1452438782">
    <w:abstractNumId w:val="51"/>
    <w:lvlOverride w:ilvl="0">
      <w:lvl w:ilvl="0">
        <w:start w:val="1"/>
        <w:numFmt w:val="decimal"/>
        <w:pStyle w:val="SDMPara"/>
        <w:lvlText w:val="%1."/>
        <w:lvlJc w:val="left"/>
        <w:pPr>
          <w:tabs>
            <w:tab w:val="num" w:pos="709"/>
          </w:tabs>
          <w:ind w:left="709" w:hanging="709"/>
        </w:pPr>
        <w:rPr>
          <w:rFonts w:hint="default"/>
        </w:rPr>
      </w:lvl>
    </w:lvlOverride>
  </w:num>
  <w:num w:numId="88" w16cid:durableId="1041055465">
    <w:abstractNumId w:val="51"/>
    <w:lvlOverride w:ilvl="0">
      <w:lvl w:ilvl="0">
        <w:start w:val="1"/>
        <w:numFmt w:val="decimal"/>
        <w:pStyle w:val="SDMPara"/>
        <w:lvlText w:val="%1."/>
        <w:lvlJc w:val="left"/>
        <w:pPr>
          <w:tabs>
            <w:tab w:val="num" w:pos="709"/>
          </w:tabs>
          <w:ind w:left="709" w:hanging="709"/>
        </w:pPr>
        <w:rPr>
          <w:rFonts w:hint="default"/>
        </w:rPr>
      </w:lvl>
    </w:lvlOverride>
  </w:num>
  <w:num w:numId="89" w16cid:durableId="2045472469">
    <w:abstractNumId w:val="51"/>
    <w:lvlOverride w:ilvl="0">
      <w:lvl w:ilvl="0">
        <w:start w:val="1"/>
        <w:numFmt w:val="decimal"/>
        <w:pStyle w:val="SDMPara"/>
        <w:lvlText w:val="%1."/>
        <w:lvlJc w:val="left"/>
        <w:pPr>
          <w:tabs>
            <w:tab w:val="num" w:pos="709"/>
          </w:tabs>
          <w:ind w:left="709" w:hanging="709"/>
        </w:pPr>
        <w:rPr>
          <w:rFonts w:hint="default"/>
        </w:rPr>
      </w:lvl>
    </w:lvlOverride>
  </w:num>
  <w:num w:numId="90" w16cid:durableId="1879274208">
    <w:abstractNumId w:val="51"/>
    <w:lvlOverride w:ilvl="0">
      <w:lvl w:ilvl="0">
        <w:start w:val="1"/>
        <w:numFmt w:val="decimal"/>
        <w:pStyle w:val="SDMPara"/>
        <w:lvlText w:val="%1."/>
        <w:lvlJc w:val="left"/>
        <w:pPr>
          <w:tabs>
            <w:tab w:val="num" w:pos="709"/>
          </w:tabs>
          <w:ind w:left="709" w:hanging="709"/>
        </w:pPr>
        <w:rPr>
          <w:rFonts w:hint="default"/>
        </w:rPr>
      </w:lvl>
    </w:lvlOverride>
  </w:num>
  <w:num w:numId="91" w16cid:durableId="773868099">
    <w:abstractNumId w:val="51"/>
    <w:lvlOverride w:ilvl="0">
      <w:lvl w:ilvl="0">
        <w:start w:val="1"/>
        <w:numFmt w:val="decimal"/>
        <w:pStyle w:val="SDMPara"/>
        <w:lvlText w:val="%1."/>
        <w:lvlJc w:val="left"/>
        <w:pPr>
          <w:tabs>
            <w:tab w:val="num" w:pos="709"/>
          </w:tabs>
          <w:ind w:left="709" w:hanging="709"/>
        </w:pPr>
        <w:rPr>
          <w:rFonts w:hint="default"/>
        </w:rPr>
      </w:lvl>
    </w:lvlOverride>
  </w:num>
  <w:num w:numId="92" w16cid:durableId="1824420323">
    <w:abstractNumId w:val="51"/>
    <w:lvlOverride w:ilvl="0">
      <w:lvl w:ilvl="0">
        <w:start w:val="1"/>
        <w:numFmt w:val="decimal"/>
        <w:pStyle w:val="SDMPara"/>
        <w:lvlText w:val="%1."/>
        <w:lvlJc w:val="left"/>
        <w:pPr>
          <w:tabs>
            <w:tab w:val="num" w:pos="709"/>
          </w:tabs>
          <w:ind w:left="709" w:hanging="709"/>
        </w:pPr>
        <w:rPr>
          <w:rFonts w:hint="default"/>
        </w:rPr>
      </w:lvl>
    </w:lvlOverride>
  </w:num>
  <w:num w:numId="93" w16cid:durableId="150755857">
    <w:abstractNumId w:val="51"/>
    <w:lvlOverride w:ilvl="0">
      <w:lvl w:ilvl="0">
        <w:start w:val="1"/>
        <w:numFmt w:val="decimal"/>
        <w:pStyle w:val="SDMPara"/>
        <w:lvlText w:val="%1."/>
        <w:lvlJc w:val="left"/>
        <w:pPr>
          <w:tabs>
            <w:tab w:val="num" w:pos="709"/>
          </w:tabs>
          <w:ind w:left="709" w:hanging="709"/>
        </w:pPr>
        <w:rPr>
          <w:rFonts w:hint="default"/>
        </w:rPr>
      </w:lvl>
    </w:lvlOverride>
  </w:num>
  <w:num w:numId="94" w16cid:durableId="1285038236">
    <w:abstractNumId w:val="51"/>
    <w:lvlOverride w:ilvl="0">
      <w:lvl w:ilvl="0">
        <w:start w:val="1"/>
        <w:numFmt w:val="decimal"/>
        <w:pStyle w:val="SDMPara"/>
        <w:lvlText w:val="%1."/>
        <w:lvlJc w:val="left"/>
        <w:pPr>
          <w:tabs>
            <w:tab w:val="num" w:pos="709"/>
          </w:tabs>
          <w:ind w:left="709" w:hanging="709"/>
        </w:pPr>
        <w:rPr>
          <w:rFonts w:hint="default"/>
        </w:rPr>
      </w:lvl>
    </w:lvlOverride>
  </w:num>
  <w:num w:numId="95" w16cid:durableId="1623923425">
    <w:abstractNumId w:val="51"/>
    <w:lvlOverride w:ilvl="0">
      <w:lvl w:ilvl="0">
        <w:start w:val="1"/>
        <w:numFmt w:val="decimal"/>
        <w:pStyle w:val="SDMPara"/>
        <w:lvlText w:val="%1."/>
        <w:lvlJc w:val="left"/>
        <w:pPr>
          <w:tabs>
            <w:tab w:val="num" w:pos="709"/>
          </w:tabs>
          <w:ind w:left="709" w:hanging="709"/>
        </w:pPr>
        <w:rPr>
          <w:rFonts w:hint="default"/>
        </w:rPr>
      </w:lvl>
    </w:lvlOverride>
  </w:num>
  <w:num w:numId="96" w16cid:durableId="1958173725">
    <w:abstractNumId w:val="51"/>
    <w:lvlOverride w:ilvl="0">
      <w:lvl w:ilvl="0">
        <w:start w:val="1"/>
        <w:numFmt w:val="decimal"/>
        <w:pStyle w:val="SDMPara"/>
        <w:lvlText w:val="%1."/>
        <w:lvlJc w:val="left"/>
        <w:pPr>
          <w:tabs>
            <w:tab w:val="num" w:pos="709"/>
          </w:tabs>
          <w:ind w:left="709" w:hanging="709"/>
        </w:pPr>
        <w:rPr>
          <w:rFonts w:hint="default"/>
        </w:rPr>
      </w:lvl>
    </w:lvlOverride>
  </w:num>
  <w:num w:numId="97" w16cid:durableId="1739473177">
    <w:abstractNumId w:val="51"/>
    <w:lvlOverride w:ilvl="0">
      <w:lvl w:ilvl="0">
        <w:start w:val="1"/>
        <w:numFmt w:val="decimal"/>
        <w:pStyle w:val="SDMPara"/>
        <w:lvlText w:val="%1."/>
        <w:lvlJc w:val="left"/>
        <w:pPr>
          <w:tabs>
            <w:tab w:val="num" w:pos="709"/>
          </w:tabs>
          <w:ind w:left="709" w:hanging="709"/>
        </w:pPr>
        <w:rPr>
          <w:rFonts w:hint="default"/>
        </w:rPr>
      </w:lvl>
    </w:lvlOverride>
  </w:num>
  <w:num w:numId="98" w16cid:durableId="654651706">
    <w:abstractNumId w:val="51"/>
    <w:lvlOverride w:ilvl="0">
      <w:lvl w:ilvl="0">
        <w:start w:val="1"/>
        <w:numFmt w:val="decimal"/>
        <w:pStyle w:val="SDMPara"/>
        <w:lvlText w:val="%1."/>
        <w:lvlJc w:val="left"/>
        <w:pPr>
          <w:tabs>
            <w:tab w:val="num" w:pos="709"/>
          </w:tabs>
          <w:ind w:left="709" w:hanging="709"/>
        </w:pPr>
        <w:rPr>
          <w:rFonts w:hint="default"/>
        </w:rPr>
      </w:lvl>
    </w:lvlOverride>
  </w:num>
  <w:num w:numId="99" w16cid:durableId="718432041">
    <w:abstractNumId w:val="51"/>
    <w:lvlOverride w:ilvl="0">
      <w:lvl w:ilvl="0">
        <w:start w:val="1"/>
        <w:numFmt w:val="decimal"/>
        <w:pStyle w:val="SDMPara"/>
        <w:lvlText w:val="%1."/>
        <w:lvlJc w:val="left"/>
        <w:pPr>
          <w:tabs>
            <w:tab w:val="num" w:pos="709"/>
          </w:tabs>
          <w:ind w:left="709" w:hanging="709"/>
        </w:pPr>
        <w:rPr>
          <w:rFonts w:hint="default"/>
        </w:rPr>
      </w:lvl>
    </w:lvlOverride>
  </w:num>
  <w:num w:numId="100" w16cid:durableId="1700812852">
    <w:abstractNumId w:val="51"/>
    <w:lvlOverride w:ilvl="0">
      <w:lvl w:ilvl="0">
        <w:start w:val="1"/>
        <w:numFmt w:val="decimal"/>
        <w:pStyle w:val="SDMPara"/>
        <w:lvlText w:val="%1."/>
        <w:lvlJc w:val="left"/>
        <w:pPr>
          <w:tabs>
            <w:tab w:val="num" w:pos="709"/>
          </w:tabs>
          <w:ind w:left="709" w:hanging="709"/>
        </w:pPr>
        <w:rPr>
          <w:rFonts w:hint="default"/>
        </w:rPr>
      </w:lvl>
    </w:lvlOverride>
  </w:num>
  <w:num w:numId="101" w16cid:durableId="1112552647">
    <w:abstractNumId w:val="51"/>
    <w:lvlOverride w:ilvl="0">
      <w:lvl w:ilvl="0">
        <w:start w:val="1"/>
        <w:numFmt w:val="decimal"/>
        <w:pStyle w:val="SDMPara"/>
        <w:lvlText w:val="%1."/>
        <w:lvlJc w:val="left"/>
        <w:pPr>
          <w:tabs>
            <w:tab w:val="num" w:pos="709"/>
          </w:tabs>
          <w:ind w:left="709" w:hanging="709"/>
        </w:pPr>
        <w:rPr>
          <w:rFonts w:hint="default"/>
        </w:rPr>
      </w:lvl>
    </w:lvlOverride>
  </w:num>
  <w:num w:numId="102" w16cid:durableId="1712917667">
    <w:abstractNumId w:val="51"/>
    <w:lvlOverride w:ilvl="0">
      <w:lvl w:ilvl="0">
        <w:start w:val="1"/>
        <w:numFmt w:val="decimal"/>
        <w:pStyle w:val="SDMPara"/>
        <w:lvlText w:val="%1."/>
        <w:lvlJc w:val="left"/>
        <w:pPr>
          <w:tabs>
            <w:tab w:val="num" w:pos="709"/>
          </w:tabs>
          <w:ind w:left="709" w:hanging="709"/>
        </w:pPr>
        <w:rPr>
          <w:rFonts w:hint="default"/>
        </w:rPr>
      </w:lvl>
    </w:lvlOverride>
  </w:num>
  <w:num w:numId="103" w16cid:durableId="202450212">
    <w:abstractNumId w:val="51"/>
    <w:lvlOverride w:ilvl="0">
      <w:lvl w:ilvl="0">
        <w:start w:val="1"/>
        <w:numFmt w:val="decimal"/>
        <w:pStyle w:val="SDMPara"/>
        <w:lvlText w:val="%1."/>
        <w:lvlJc w:val="left"/>
        <w:pPr>
          <w:tabs>
            <w:tab w:val="num" w:pos="709"/>
          </w:tabs>
          <w:ind w:left="709" w:hanging="709"/>
        </w:pPr>
        <w:rPr>
          <w:rFonts w:hint="default"/>
        </w:rPr>
      </w:lvl>
    </w:lvlOverride>
  </w:num>
  <w:num w:numId="104" w16cid:durableId="1287616007">
    <w:abstractNumId w:val="51"/>
    <w:lvlOverride w:ilvl="0">
      <w:lvl w:ilvl="0">
        <w:start w:val="1"/>
        <w:numFmt w:val="decimal"/>
        <w:pStyle w:val="SDMPara"/>
        <w:lvlText w:val="%1."/>
        <w:lvlJc w:val="left"/>
        <w:pPr>
          <w:tabs>
            <w:tab w:val="num" w:pos="709"/>
          </w:tabs>
          <w:ind w:left="709" w:hanging="709"/>
        </w:pPr>
        <w:rPr>
          <w:rFonts w:hint="default"/>
        </w:rPr>
      </w:lvl>
    </w:lvlOverride>
  </w:num>
  <w:num w:numId="105" w16cid:durableId="1690175418">
    <w:abstractNumId w:val="51"/>
    <w:lvlOverride w:ilvl="0">
      <w:lvl w:ilvl="0">
        <w:start w:val="1"/>
        <w:numFmt w:val="decimal"/>
        <w:pStyle w:val="SDMPara"/>
        <w:lvlText w:val="%1."/>
        <w:lvlJc w:val="left"/>
        <w:pPr>
          <w:tabs>
            <w:tab w:val="num" w:pos="709"/>
          </w:tabs>
          <w:ind w:left="709" w:hanging="709"/>
        </w:pPr>
        <w:rPr>
          <w:rFonts w:hint="default"/>
        </w:rPr>
      </w:lvl>
    </w:lvlOverride>
  </w:num>
  <w:num w:numId="106" w16cid:durableId="232813905">
    <w:abstractNumId w:val="51"/>
    <w:lvlOverride w:ilvl="0">
      <w:lvl w:ilvl="0">
        <w:start w:val="1"/>
        <w:numFmt w:val="decimal"/>
        <w:pStyle w:val="SDMPara"/>
        <w:lvlText w:val="%1."/>
        <w:lvlJc w:val="left"/>
        <w:pPr>
          <w:tabs>
            <w:tab w:val="num" w:pos="709"/>
          </w:tabs>
          <w:ind w:left="709" w:hanging="709"/>
        </w:pPr>
        <w:rPr>
          <w:rFonts w:hint="default"/>
        </w:rPr>
      </w:lvl>
    </w:lvlOverride>
  </w:num>
  <w:num w:numId="107" w16cid:durableId="75709425">
    <w:abstractNumId w:val="51"/>
    <w:lvlOverride w:ilvl="0">
      <w:lvl w:ilvl="0">
        <w:start w:val="1"/>
        <w:numFmt w:val="decimal"/>
        <w:pStyle w:val="SDMPara"/>
        <w:lvlText w:val="%1."/>
        <w:lvlJc w:val="left"/>
        <w:pPr>
          <w:tabs>
            <w:tab w:val="num" w:pos="709"/>
          </w:tabs>
          <w:ind w:left="709" w:hanging="709"/>
        </w:pPr>
        <w:rPr>
          <w:rFonts w:hint="default"/>
        </w:rPr>
      </w:lvl>
    </w:lvlOverride>
  </w:num>
  <w:num w:numId="108" w16cid:durableId="1038121105">
    <w:abstractNumId w:val="51"/>
    <w:lvlOverride w:ilvl="0">
      <w:lvl w:ilvl="0">
        <w:start w:val="1"/>
        <w:numFmt w:val="decimal"/>
        <w:pStyle w:val="SDMPara"/>
        <w:lvlText w:val="%1."/>
        <w:lvlJc w:val="left"/>
        <w:pPr>
          <w:tabs>
            <w:tab w:val="num" w:pos="709"/>
          </w:tabs>
          <w:ind w:left="709" w:hanging="709"/>
        </w:pPr>
        <w:rPr>
          <w:rFonts w:hint="default"/>
        </w:rPr>
      </w:lvl>
    </w:lvlOverride>
  </w:num>
  <w:num w:numId="109" w16cid:durableId="582908645">
    <w:abstractNumId w:val="51"/>
    <w:lvlOverride w:ilvl="0">
      <w:lvl w:ilvl="0">
        <w:start w:val="1"/>
        <w:numFmt w:val="decimal"/>
        <w:pStyle w:val="SDMPara"/>
        <w:lvlText w:val="%1."/>
        <w:lvlJc w:val="left"/>
        <w:pPr>
          <w:tabs>
            <w:tab w:val="num" w:pos="709"/>
          </w:tabs>
          <w:ind w:left="709" w:hanging="709"/>
        </w:pPr>
        <w:rPr>
          <w:rFonts w:hint="default"/>
        </w:rPr>
      </w:lvl>
    </w:lvlOverride>
  </w:num>
  <w:num w:numId="110" w16cid:durableId="1138689221">
    <w:abstractNumId w:val="51"/>
    <w:lvlOverride w:ilvl="0">
      <w:lvl w:ilvl="0">
        <w:start w:val="1"/>
        <w:numFmt w:val="decimal"/>
        <w:pStyle w:val="SDMPara"/>
        <w:lvlText w:val="%1."/>
        <w:lvlJc w:val="left"/>
        <w:pPr>
          <w:tabs>
            <w:tab w:val="num" w:pos="709"/>
          </w:tabs>
          <w:ind w:left="709" w:hanging="709"/>
        </w:pPr>
        <w:rPr>
          <w:rFonts w:hint="default"/>
        </w:rPr>
      </w:lvl>
    </w:lvlOverride>
  </w:num>
  <w:num w:numId="111" w16cid:durableId="974991987">
    <w:abstractNumId w:val="51"/>
    <w:lvlOverride w:ilvl="0">
      <w:lvl w:ilvl="0">
        <w:start w:val="1"/>
        <w:numFmt w:val="decimal"/>
        <w:pStyle w:val="SDMPara"/>
        <w:lvlText w:val="%1."/>
        <w:lvlJc w:val="left"/>
        <w:pPr>
          <w:tabs>
            <w:tab w:val="num" w:pos="709"/>
          </w:tabs>
          <w:ind w:left="709" w:hanging="709"/>
        </w:pPr>
        <w:rPr>
          <w:rFonts w:hint="default"/>
        </w:rPr>
      </w:lvl>
    </w:lvlOverride>
  </w:num>
  <w:num w:numId="112" w16cid:durableId="1353991126">
    <w:abstractNumId w:val="51"/>
    <w:lvlOverride w:ilvl="0">
      <w:lvl w:ilvl="0">
        <w:start w:val="1"/>
        <w:numFmt w:val="decimal"/>
        <w:pStyle w:val="SDMPara"/>
        <w:lvlText w:val="%1."/>
        <w:lvlJc w:val="left"/>
        <w:pPr>
          <w:tabs>
            <w:tab w:val="num" w:pos="709"/>
          </w:tabs>
          <w:ind w:left="709" w:hanging="709"/>
        </w:pPr>
        <w:rPr>
          <w:rFonts w:hint="default"/>
        </w:rPr>
      </w:lvl>
    </w:lvlOverride>
  </w:num>
  <w:num w:numId="113" w16cid:durableId="1222642502">
    <w:abstractNumId w:val="51"/>
    <w:lvlOverride w:ilvl="0">
      <w:lvl w:ilvl="0">
        <w:start w:val="1"/>
        <w:numFmt w:val="decimal"/>
        <w:pStyle w:val="SDMPara"/>
        <w:lvlText w:val="%1."/>
        <w:lvlJc w:val="left"/>
        <w:pPr>
          <w:tabs>
            <w:tab w:val="num" w:pos="709"/>
          </w:tabs>
          <w:ind w:left="709" w:hanging="709"/>
        </w:pPr>
        <w:rPr>
          <w:rFonts w:hint="default"/>
        </w:rPr>
      </w:lvl>
    </w:lvlOverride>
  </w:num>
  <w:num w:numId="114" w16cid:durableId="1605259277">
    <w:abstractNumId w:val="51"/>
    <w:lvlOverride w:ilvl="0">
      <w:lvl w:ilvl="0">
        <w:start w:val="1"/>
        <w:numFmt w:val="decimal"/>
        <w:pStyle w:val="SDMPara"/>
        <w:lvlText w:val="%1."/>
        <w:lvlJc w:val="left"/>
        <w:pPr>
          <w:tabs>
            <w:tab w:val="num" w:pos="709"/>
          </w:tabs>
          <w:ind w:left="709" w:hanging="709"/>
        </w:pPr>
        <w:rPr>
          <w:rFonts w:hint="default"/>
        </w:rPr>
      </w:lvl>
    </w:lvlOverride>
  </w:num>
  <w:num w:numId="115" w16cid:durableId="162016121">
    <w:abstractNumId w:val="51"/>
    <w:lvlOverride w:ilvl="0">
      <w:lvl w:ilvl="0">
        <w:start w:val="1"/>
        <w:numFmt w:val="decimal"/>
        <w:pStyle w:val="SDMPara"/>
        <w:lvlText w:val="%1."/>
        <w:lvlJc w:val="left"/>
        <w:pPr>
          <w:tabs>
            <w:tab w:val="num" w:pos="709"/>
          </w:tabs>
          <w:ind w:left="709" w:hanging="709"/>
        </w:pPr>
        <w:rPr>
          <w:rFonts w:hint="default"/>
        </w:rPr>
      </w:lvl>
    </w:lvlOverride>
  </w:num>
  <w:num w:numId="116" w16cid:durableId="2144881181">
    <w:abstractNumId w:val="51"/>
    <w:lvlOverride w:ilvl="0">
      <w:lvl w:ilvl="0">
        <w:start w:val="1"/>
        <w:numFmt w:val="decimal"/>
        <w:pStyle w:val="SDMPara"/>
        <w:lvlText w:val="%1."/>
        <w:lvlJc w:val="left"/>
        <w:pPr>
          <w:tabs>
            <w:tab w:val="num" w:pos="709"/>
          </w:tabs>
          <w:ind w:left="709" w:hanging="709"/>
        </w:pPr>
        <w:rPr>
          <w:rFonts w:hint="default"/>
        </w:rPr>
      </w:lvl>
    </w:lvlOverride>
  </w:num>
  <w:num w:numId="117" w16cid:durableId="1145123436">
    <w:abstractNumId w:val="51"/>
    <w:lvlOverride w:ilvl="0">
      <w:lvl w:ilvl="0">
        <w:start w:val="1"/>
        <w:numFmt w:val="decimal"/>
        <w:pStyle w:val="SDMPara"/>
        <w:lvlText w:val="%1."/>
        <w:lvlJc w:val="left"/>
        <w:pPr>
          <w:tabs>
            <w:tab w:val="num" w:pos="709"/>
          </w:tabs>
          <w:ind w:left="709" w:hanging="709"/>
        </w:pPr>
        <w:rPr>
          <w:rFonts w:hint="default"/>
        </w:rPr>
      </w:lvl>
    </w:lvlOverride>
  </w:num>
  <w:num w:numId="118" w16cid:durableId="1199004504">
    <w:abstractNumId w:val="51"/>
    <w:lvlOverride w:ilvl="0">
      <w:lvl w:ilvl="0">
        <w:start w:val="1"/>
        <w:numFmt w:val="decimal"/>
        <w:pStyle w:val="SDMPara"/>
        <w:lvlText w:val="%1."/>
        <w:lvlJc w:val="left"/>
        <w:pPr>
          <w:tabs>
            <w:tab w:val="num" w:pos="709"/>
          </w:tabs>
          <w:ind w:left="709" w:hanging="709"/>
        </w:pPr>
        <w:rPr>
          <w:rFonts w:hint="default"/>
        </w:rPr>
      </w:lvl>
    </w:lvlOverride>
  </w:num>
  <w:num w:numId="119" w16cid:durableId="986085871">
    <w:abstractNumId w:val="51"/>
    <w:lvlOverride w:ilvl="0">
      <w:lvl w:ilvl="0">
        <w:start w:val="1"/>
        <w:numFmt w:val="decimal"/>
        <w:pStyle w:val="SDMPara"/>
        <w:lvlText w:val="%1."/>
        <w:lvlJc w:val="left"/>
        <w:pPr>
          <w:tabs>
            <w:tab w:val="num" w:pos="709"/>
          </w:tabs>
          <w:ind w:left="709" w:hanging="709"/>
        </w:pPr>
        <w:rPr>
          <w:rFonts w:hint="default"/>
        </w:rPr>
      </w:lvl>
    </w:lvlOverride>
  </w:num>
  <w:num w:numId="120" w16cid:durableId="2115595172">
    <w:abstractNumId w:val="51"/>
    <w:lvlOverride w:ilvl="0">
      <w:lvl w:ilvl="0">
        <w:start w:val="1"/>
        <w:numFmt w:val="decimal"/>
        <w:pStyle w:val="SDMPara"/>
        <w:lvlText w:val="%1."/>
        <w:lvlJc w:val="left"/>
        <w:pPr>
          <w:tabs>
            <w:tab w:val="num" w:pos="709"/>
          </w:tabs>
          <w:ind w:left="709" w:hanging="709"/>
        </w:pPr>
        <w:rPr>
          <w:rFonts w:hint="default"/>
        </w:rPr>
      </w:lvl>
    </w:lvlOverride>
  </w:num>
  <w:num w:numId="121" w16cid:durableId="707680094">
    <w:abstractNumId w:val="51"/>
    <w:lvlOverride w:ilvl="0">
      <w:lvl w:ilvl="0">
        <w:start w:val="1"/>
        <w:numFmt w:val="decimal"/>
        <w:pStyle w:val="SDMPara"/>
        <w:lvlText w:val="%1."/>
        <w:lvlJc w:val="left"/>
        <w:pPr>
          <w:tabs>
            <w:tab w:val="num" w:pos="709"/>
          </w:tabs>
          <w:ind w:left="709" w:hanging="709"/>
        </w:pPr>
        <w:rPr>
          <w:rFonts w:hint="default"/>
        </w:rPr>
      </w:lvl>
    </w:lvlOverride>
  </w:num>
  <w:num w:numId="122" w16cid:durableId="473447325">
    <w:abstractNumId w:val="51"/>
    <w:lvlOverride w:ilvl="0">
      <w:lvl w:ilvl="0">
        <w:start w:val="1"/>
        <w:numFmt w:val="decimal"/>
        <w:pStyle w:val="SDMPara"/>
        <w:lvlText w:val="%1."/>
        <w:lvlJc w:val="left"/>
        <w:pPr>
          <w:tabs>
            <w:tab w:val="num" w:pos="709"/>
          </w:tabs>
          <w:ind w:left="709" w:hanging="709"/>
        </w:pPr>
        <w:rPr>
          <w:rFonts w:hint="default"/>
        </w:rPr>
      </w:lvl>
    </w:lvlOverride>
  </w:num>
  <w:num w:numId="123" w16cid:durableId="1965650850">
    <w:abstractNumId w:val="51"/>
    <w:lvlOverride w:ilvl="0">
      <w:lvl w:ilvl="0">
        <w:start w:val="1"/>
        <w:numFmt w:val="decimal"/>
        <w:pStyle w:val="SDMPara"/>
        <w:lvlText w:val="%1."/>
        <w:lvlJc w:val="left"/>
        <w:pPr>
          <w:tabs>
            <w:tab w:val="num" w:pos="709"/>
          </w:tabs>
          <w:ind w:left="709" w:hanging="709"/>
        </w:pPr>
        <w:rPr>
          <w:rFonts w:hint="default"/>
        </w:rPr>
      </w:lvl>
    </w:lvlOverride>
  </w:num>
  <w:num w:numId="124" w16cid:durableId="54820163">
    <w:abstractNumId w:val="51"/>
    <w:lvlOverride w:ilvl="0">
      <w:lvl w:ilvl="0">
        <w:start w:val="1"/>
        <w:numFmt w:val="decimal"/>
        <w:pStyle w:val="SDMPara"/>
        <w:lvlText w:val="%1."/>
        <w:lvlJc w:val="left"/>
        <w:pPr>
          <w:tabs>
            <w:tab w:val="num" w:pos="709"/>
          </w:tabs>
          <w:ind w:left="709" w:hanging="709"/>
        </w:pPr>
        <w:rPr>
          <w:rFonts w:hint="default"/>
        </w:rPr>
      </w:lvl>
    </w:lvlOverride>
  </w:num>
  <w:num w:numId="125" w16cid:durableId="186143652">
    <w:abstractNumId w:val="51"/>
    <w:lvlOverride w:ilvl="0">
      <w:lvl w:ilvl="0">
        <w:start w:val="1"/>
        <w:numFmt w:val="decimal"/>
        <w:pStyle w:val="SDMPara"/>
        <w:lvlText w:val="%1."/>
        <w:lvlJc w:val="left"/>
        <w:pPr>
          <w:tabs>
            <w:tab w:val="num" w:pos="709"/>
          </w:tabs>
          <w:ind w:left="709" w:hanging="709"/>
        </w:pPr>
        <w:rPr>
          <w:rFonts w:hint="default"/>
        </w:rPr>
      </w:lvl>
    </w:lvlOverride>
  </w:num>
  <w:num w:numId="126" w16cid:durableId="1048064405">
    <w:abstractNumId w:val="51"/>
    <w:lvlOverride w:ilvl="0">
      <w:lvl w:ilvl="0">
        <w:start w:val="1"/>
        <w:numFmt w:val="decimal"/>
        <w:pStyle w:val="SDMPara"/>
        <w:lvlText w:val="%1."/>
        <w:lvlJc w:val="left"/>
        <w:pPr>
          <w:tabs>
            <w:tab w:val="num" w:pos="709"/>
          </w:tabs>
          <w:ind w:left="709" w:hanging="709"/>
        </w:pPr>
        <w:rPr>
          <w:rFonts w:hint="default"/>
        </w:rPr>
      </w:lvl>
    </w:lvlOverride>
  </w:num>
  <w:num w:numId="127" w16cid:durableId="2008438220">
    <w:abstractNumId w:val="51"/>
    <w:lvlOverride w:ilvl="0">
      <w:lvl w:ilvl="0">
        <w:start w:val="1"/>
        <w:numFmt w:val="decimal"/>
        <w:pStyle w:val="SDMPara"/>
        <w:lvlText w:val="%1."/>
        <w:lvlJc w:val="left"/>
        <w:pPr>
          <w:tabs>
            <w:tab w:val="num" w:pos="709"/>
          </w:tabs>
          <w:ind w:left="709" w:hanging="709"/>
        </w:pPr>
        <w:rPr>
          <w:rFonts w:hint="default"/>
        </w:rPr>
      </w:lvl>
    </w:lvlOverride>
  </w:num>
  <w:num w:numId="128" w16cid:durableId="1150634990">
    <w:abstractNumId w:val="51"/>
    <w:lvlOverride w:ilvl="0">
      <w:lvl w:ilvl="0">
        <w:start w:val="1"/>
        <w:numFmt w:val="decimal"/>
        <w:pStyle w:val="SDMPara"/>
        <w:lvlText w:val="%1."/>
        <w:lvlJc w:val="left"/>
        <w:pPr>
          <w:tabs>
            <w:tab w:val="num" w:pos="709"/>
          </w:tabs>
          <w:ind w:left="709" w:hanging="709"/>
        </w:pPr>
        <w:rPr>
          <w:rFonts w:hint="default"/>
        </w:rPr>
      </w:lvl>
    </w:lvlOverride>
  </w:num>
  <w:num w:numId="129" w16cid:durableId="1493646075">
    <w:abstractNumId w:val="51"/>
    <w:lvlOverride w:ilvl="0">
      <w:lvl w:ilvl="0">
        <w:start w:val="1"/>
        <w:numFmt w:val="decimal"/>
        <w:pStyle w:val="SDMPara"/>
        <w:lvlText w:val="%1."/>
        <w:lvlJc w:val="left"/>
        <w:pPr>
          <w:tabs>
            <w:tab w:val="num" w:pos="709"/>
          </w:tabs>
          <w:ind w:left="709" w:hanging="709"/>
        </w:pPr>
        <w:rPr>
          <w:rFonts w:hint="default"/>
        </w:rPr>
      </w:lvl>
    </w:lvlOverride>
  </w:num>
  <w:num w:numId="130" w16cid:durableId="558058145">
    <w:abstractNumId w:val="51"/>
    <w:lvlOverride w:ilvl="0">
      <w:lvl w:ilvl="0">
        <w:start w:val="1"/>
        <w:numFmt w:val="decimal"/>
        <w:pStyle w:val="SDMPara"/>
        <w:lvlText w:val="%1."/>
        <w:lvlJc w:val="left"/>
        <w:pPr>
          <w:tabs>
            <w:tab w:val="num" w:pos="709"/>
          </w:tabs>
          <w:ind w:left="709" w:hanging="709"/>
        </w:pPr>
        <w:rPr>
          <w:rFonts w:hint="default"/>
        </w:rPr>
      </w:lvl>
    </w:lvlOverride>
  </w:num>
  <w:num w:numId="131" w16cid:durableId="1946426262">
    <w:abstractNumId w:val="51"/>
    <w:lvlOverride w:ilvl="0">
      <w:lvl w:ilvl="0">
        <w:start w:val="1"/>
        <w:numFmt w:val="decimal"/>
        <w:pStyle w:val="SDMPara"/>
        <w:lvlText w:val="%1."/>
        <w:lvlJc w:val="left"/>
        <w:pPr>
          <w:tabs>
            <w:tab w:val="num" w:pos="709"/>
          </w:tabs>
          <w:ind w:left="709" w:hanging="709"/>
        </w:pPr>
        <w:rPr>
          <w:rFonts w:hint="default"/>
        </w:rPr>
      </w:lvl>
    </w:lvlOverride>
  </w:num>
  <w:num w:numId="132" w16cid:durableId="991955380">
    <w:abstractNumId w:val="51"/>
    <w:lvlOverride w:ilvl="0">
      <w:lvl w:ilvl="0">
        <w:start w:val="1"/>
        <w:numFmt w:val="decimal"/>
        <w:pStyle w:val="SDMPara"/>
        <w:lvlText w:val="%1."/>
        <w:lvlJc w:val="left"/>
        <w:pPr>
          <w:tabs>
            <w:tab w:val="num" w:pos="709"/>
          </w:tabs>
          <w:ind w:left="709" w:hanging="709"/>
        </w:pPr>
        <w:rPr>
          <w:rFonts w:hint="default"/>
        </w:rPr>
      </w:lvl>
    </w:lvlOverride>
  </w:num>
  <w:num w:numId="133" w16cid:durableId="653336362">
    <w:abstractNumId w:val="51"/>
    <w:lvlOverride w:ilvl="0">
      <w:lvl w:ilvl="0">
        <w:start w:val="1"/>
        <w:numFmt w:val="decimal"/>
        <w:pStyle w:val="SDMPara"/>
        <w:lvlText w:val="%1."/>
        <w:lvlJc w:val="left"/>
        <w:pPr>
          <w:tabs>
            <w:tab w:val="num" w:pos="709"/>
          </w:tabs>
          <w:ind w:left="709" w:hanging="709"/>
        </w:pPr>
        <w:rPr>
          <w:rFonts w:hint="default"/>
        </w:rPr>
      </w:lvl>
    </w:lvlOverride>
  </w:num>
  <w:num w:numId="134" w16cid:durableId="728839868">
    <w:abstractNumId w:val="51"/>
    <w:lvlOverride w:ilvl="0">
      <w:lvl w:ilvl="0">
        <w:start w:val="1"/>
        <w:numFmt w:val="decimal"/>
        <w:pStyle w:val="SDMPara"/>
        <w:lvlText w:val="%1."/>
        <w:lvlJc w:val="left"/>
        <w:pPr>
          <w:tabs>
            <w:tab w:val="num" w:pos="709"/>
          </w:tabs>
          <w:ind w:left="709" w:hanging="709"/>
        </w:pPr>
        <w:rPr>
          <w:rFonts w:hint="default"/>
        </w:rPr>
      </w:lvl>
    </w:lvlOverride>
  </w:num>
  <w:num w:numId="135" w16cid:durableId="215823118">
    <w:abstractNumId w:val="51"/>
    <w:lvlOverride w:ilvl="0">
      <w:lvl w:ilvl="0">
        <w:start w:val="1"/>
        <w:numFmt w:val="decimal"/>
        <w:pStyle w:val="SDMPara"/>
        <w:lvlText w:val="%1."/>
        <w:lvlJc w:val="left"/>
        <w:pPr>
          <w:tabs>
            <w:tab w:val="num" w:pos="709"/>
          </w:tabs>
          <w:ind w:left="709" w:hanging="709"/>
        </w:pPr>
        <w:rPr>
          <w:rFonts w:hint="default"/>
        </w:rPr>
      </w:lvl>
    </w:lvlOverride>
  </w:num>
  <w:num w:numId="136" w16cid:durableId="1528980376">
    <w:abstractNumId w:val="51"/>
    <w:lvlOverride w:ilvl="0">
      <w:lvl w:ilvl="0">
        <w:start w:val="1"/>
        <w:numFmt w:val="decimal"/>
        <w:pStyle w:val="SDMPara"/>
        <w:lvlText w:val="%1."/>
        <w:lvlJc w:val="left"/>
        <w:pPr>
          <w:tabs>
            <w:tab w:val="num" w:pos="709"/>
          </w:tabs>
          <w:ind w:left="709" w:hanging="709"/>
        </w:pPr>
        <w:rPr>
          <w:rFonts w:hint="default"/>
        </w:rPr>
      </w:lvl>
    </w:lvlOverride>
  </w:num>
  <w:num w:numId="137" w16cid:durableId="289827981">
    <w:abstractNumId w:val="51"/>
    <w:lvlOverride w:ilvl="0">
      <w:lvl w:ilvl="0">
        <w:start w:val="1"/>
        <w:numFmt w:val="decimal"/>
        <w:pStyle w:val="SDMPara"/>
        <w:lvlText w:val="%1."/>
        <w:lvlJc w:val="left"/>
        <w:pPr>
          <w:tabs>
            <w:tab w:val="num" w:pos="709"/>
          </w:tabs>
          <w:ind w:left="709" w:hanging="709"/>
        </w:pPr>
        <w:rPr>
          <w:rFonts w:hint="default"/>
        </w:rPr>
      </w:lvl>
    </w:lvlOverride>
  </w:num>
  <w:num w:numId="138" w16cid:durableId="1378823321">
    <w:abstractNumId w:val="51"/>
    <w:lvlOverride w:ilvl="0">
      <w:lvl w:ilvl="0">
        <w:start w:val="1"/>
        <w:numFmt w:val="decimal"/>
        <w:pStyle w:val="SDMPara"/>
        <w:lvlText w:val="%1."/>
        <w:lvlJc w:val="left"/>
        <w:pPr>
          <w:tabs>
            <w:tab w:val="num" w:pos="709"/>
          </w:tabs>
          <w:ind w:left="709" w:hanging="709"/>
        </w:pPr>
        <w:rPr>
          <w:rFonts w:hint="default"/>
        </w:rPr>
      </w:lvl>
    </w:lvlOverride>
  </w:num>
  <w:num w:numId="139" w16cid:durableId="279439">
    <w:abstractNumId w:val="51"/>
    <w:lvlOverride w:ilvl="0">
      <w:lvl w:ilvl="0">
        <w:start w:val="1"/>
        <w:numFmt w:val="decimal"/>
        <w:pStyle w:val="SDMPara"/>
        <w:lvlText w:val="%1."/>
        <w:lvlJc w:val="left"/>
        <w:pPr>
          <w:tabs>
            <w:tab w:val="num" w:pos="709"/>
          </w:tabs>
          <w:ind w:left="709" w:hanging="709"/>
        </w:pPr>
        <w:rPr>
          <w:rFonts w:hint="default"/>
        </w:rPr>
      </w:lvl>
    </w:lvlOverride>
  </w:num>
  <w:num w:numId="140" w16cid:durableId="733511276">
    <w:abstractNumId w:val="51"/>
    <w:lvlOverride w:ilvl="0">
      <w:lvl w:ilvl="0">
        <w:start w:val="1"/>
        <w:numFmt w:val="decimal"/>
        <w:pStyle w:val="SDMPara"/>
        <w:lvlText w:val="%1."/>
        <w:lvlJc w:val="left"/>
        <w:pPr>
          <w:tabs>
            <w:tab w:val="num" w:pos="709"/>
          </w:tabs>
          <w:ind w:left="709" w:hanging="709"/>
        </w:pPr>
        <w:rPr>
          <w:rFonts w:hint="default"/>
        </w:rPr>
      </w:lvl>
    </w:lvlOverride>
  </w:num>
  <w:num w:numId="141" w16cid:durableId="1662000108">
    <w:abstractNumId w:val="51"/>
    <w:lvlOverride w:ilvl="0">
      <w:lvl w:ilvl="0">
        <w:start w:val="1"/>
        <w:numFmt w:val="decimal"/>
        <w:pStyle w:val="SDMPara"/>
        <w:lvlText w:val="%1."/>
        <w:lvlJc w:val="left"/>
        <w:pPr>
          <w:tabs>
            <w:tab w:val="num" w:pos="709"/>
          </w:tabs>
          <w:ind w:left="709" w:hanging="709"/>
        </w:pPr>
        <w:rPr>
          <w:rFonts w:hint="default"/>
        </w:rPr>
      </w:lvl>
    </w:lvlOverride>
  </w:num>
  <w:num w:numId="142" w16cid:durableId="1393456584">
    <w:abstractNumId w:val="51"/>
    <w:lvlOverride w:ilvl="0">
      <w:lvl w:ilvl="0">
        <w:start w:val="1"/>
        <w:numFmt w:val="decimal"/>
        <w:pStyle w:val="SDMPara"/>
        <w:lvlText w:val="%1."/>
        <w:lvlJc w:val="left"/>
        <w:pPr>
          <w:tabs>
            <w:tab w:val="num" w:pos="709"/>
          </w:tabs>
          <w:ind w:left="709" w:hanging="709"/>
        </w:pPr>
        <w:rPr>
          <w:rFonts w:hint="default"/>
        </w:rPr>
      </w:lvl>
    </w:lvlOverride>
  </w:num>
  <w:num w:numId="143" w16cid:durableId="746920759">
    <w:abstractNumId w:val="51"/>
    <w:lvlOverride w:ilvl="0">
      <w:lvl w:ilvl="0">
        <w:start w:val="1"/>
        <w:numFmt w:val="decimal"/>
        <w:pStyle w:val="SDMPara"/>
        <w:lvlText w:val="%1."/>
        <w:lvlJc w:val="left"/>
        <w:pPr>
          <w:tabs>
            <w:tab w:val="num" w:pos="709"/>
          </w:tabs>
          <w:ind w:left="709" w:hanging="709"/>
        </w:pPr>
        <w:rPr>
          <w:rFonts w:hint="default"/>
        </w:rPr>
      </w:lvl>
    </w:lvlOverride>
  </w:num>
  <w:num w:numId="144" w16cid:durableId="515073901">
    <w:abstractNumId w:val="51"/>
    <w:lvlOverride w:ilvl="0">
      <w:lvl w:ilvl="0">
        <w:start w:val="1"/>
        <w:numFmt w:val="decimal"/>
        <w:pStyle w:val="SDMPara"/>
        <w:lvlText w:val="%1."/>
        <w:lvlJc w:val="left"/>
        <w:pPr>
          <w:tabs>
            <w:tab w:val="num" w:pos="709"/>
          </w:tabs>
          <w:ind w:left="709" w:hanging="709"/>
        </w:pPr>
        <w:rPr>
          <w:rFonts w:hint="default"/>
        </w:rPr>
      </w:lvl>
    </w:lvlOverride>
  </w:num>
  <w:num w:numId="145" w16cid:durableId="199827908">
    <w:abstractNumId w:val="51"/>
    <w:lvlOverride w:ilvl="0">
      <w:lvl w:ilvl="0">
        <w:start w:val="1"/>
        <w:numFmt w:val="decimal"/>
        <w:pStyle w:val="SDMPara"/>
        <w:lvlText w:val="%1."/>
        <w:lvlJc w:val="left"/>
        <w:pPr>
          <w:tabs>
            <w:tab w:val="num" w:pos="709"/>
          </w:tabs>
          <w:ind w:left="709" w:hanging="709"/>
        </w:pPr>
        <w:rPr>
          <w:rFonts w:hint="default"/>
        </w:rPr>
      </w:lvl>
    </w:lvlOverride>
  </w:num>
  <w:num w:numId="146" w16cid:durableId="1070151987">
    <w:abstractNumId w:val="51"/>
    <w:lvlOverride w:ilvl="0">
      <w:lvl w:ilvl="0">
        <w:start w:val="1"/>
        <w:numFmt w:val="decimal"/>
        <w:pStyle w:val="SDMPara"/>
        <w:lvlText w:val="%1."/>
        <w:lvlJc w:val="left"/>
        <w:pPr>
          <w:tabs>
            <w:tab w:val="num" w:pos="709"/>
          </w:tabs>
          <w:ind w:left="709" w:hanging="709"/>
        </w:pPr>
        <w:rPr>
          <w:rFonts w:hint="default"/>
        </w:rPr>
      </w:lvl>
    </w:lvlOverride>
  </w:num>
  <w:num w:numId="147" w16cid:durableId="2008049347">
    <w:abstractNumId w:val="51"/>
    <w:lvlOverride w:ilvl="0">
      <w:lvl w:ilvl="0">
        <w:start w:val="1"/>
        <w:numFmt w:val="decimal"/>
        <w:pStyle w:val="SDMPara"/>
        <w:lvlText w:val="%1."/>
        <w:lvlJc w:val="left"/>
        <w:pPr>
          <w:tabs>
            <w:tab w:val="num" w:pos="709"/>
          </w:tabs>
          <w:ind w:left="709" w:hanging="709"/>
        </w:pPr>
        <w:rPr>
          <w:rFonts w:hint="default"/>
        </w:rPr>
      </w:lvl>
    </w:lvlOverride>
  </w:num>
  <w:num w:numId="148" w16cid:durableId="341324108">
    <w:abstractNumId w:val="51"/>
    <w:lvlOverride w:ilvl="0">
      <w:lvl w:ilvl="0">
        <w:start w:val="1"/>
        <w:numFmt w:val="decimal"/>
        <w:pStyle w:val="SDMPara"/>
        <w:lvlText w:val="%1."/>
        <w:lvlJc w:val="left"/>
        <w:pPr>
          <w:tabs>
            <w:tab w:val="num" w:pos="709"/>
          </w:tabs>
          <w:ind w:left="709" w:hanging="709"/>
        </w:pPr>
        <w:rPr>
          <w:rFonts w:hint="default"/>
        </w:rPr>
      </w:lvl>
    </w:lvlOverride>
  </w:num>
  <w:num w:numId="149" w16cid:durableId="309361219">
    <w:abstractNumId w:val="51"/>
    <w:lvlOverride w:ilvl="0">
      <w:lvl w:ilvl="0">
        <w:start w:val="1"/>
        <w:numFmt w:val="decimal"/>
        <w:pStyle w:val="SDMPara"/>
        <w:lvlText w:val="%1."/>
        <w:lvlJc w:val="left"/>
        <w:pPr>
          <w:tabs>
            <w:tab w:val="num" w:pos="709"/>
          </w:tabs>
          <w:ind w:left="709" w:hanging="709"/>
        </w:pPr>
        <w:rPr>
          <w:rFonts w:hint="default"/>
        </w:rPr>
      </w:lvl>
    </w:lvlOverride>
  </w:num>
  <w:num w:numId="150" w16cid:durableId="2027901337">
    <w:abstractNumId w:val="51"/>
    <w:lvlOverride w:ilvl="0">
      <w:lvl w:ilvl="0">
        <w:start w:val="1"/>
        <w:numFmt w:val="decimal"/>
        <w:pStyle w:val="SDMPara"/>
        <w:lvlText w:val="%1."/>
        <w:lvlJc w:val="left"/>
        <w:pPr>
          <w:tabs>
            <w:tab w:val="num" w:pos="709"/>
          </w:tabs>
          <w:ind w:left="709" w:hanging="709"/>
        </w:pPr>
        <w:rPr>
          <w:rFonts w:hint="default"/>
        </w:rPr>
      </w:lvl>
    </w:lvlOverride>
  </w:num>
  <w:num w:numId="151" w16cid:durableId="1303585035">
    <w:abstractNumId w:val="51"/>
    <w:lvlOverride w:ilvl="0">
      <w:lvl w:ilvl="0">
        <w:start w:val="1"/>
        <w:numFmt w:val="decimal"/>
        <w:pStyle w:val="SDMPara"/>
        <w:lvlText w:val="%1."/>
        <w:lvlJc w:val="left"/>
        <w:pPr>
          <w:tabs>
            <w:tab w:val="num" w:pos="709"/>
          </w:tabs>
          <w:ind w:left="709" w:hanging="709"/>
        </w:pPr>
        <w:rPr>
          <w:rFonts w:hint="default"/>
        </w:rPr>
      </w:lvl>
    </w:lvlOverride>
  </w:num>
  <w:num w:numId="152" w16cid:durableId="738329953">
    <w:abstractNumId w:val="51"/>
    <w:lvlOverride w:ilvl="0">
      <w:lvl w:ilvl="0">
        <w:start w:val="1"/>
        <w:numFmt w:val="decimal"/>
        <w:pStyle w:val="SDMPara"/>
        <w:lvlText w:val="%1."/>
        <w:lvlJc w:val="left"/>
        <w:pPr>
          <w:tabs>
            <w:tab w:val="num" w:pos="709"/>
          </w:tabs>
          <w:ind w:left="709" w:hanging="709"/>
        </w:pPr>
        <w:rPr>
          <w:rFonts w:hint="default"/>
        </w:rPr>
      </w:lvl>
    </w:lvlOverride>
  </w:num>
  <w:num w:numId="153" w16cid:durableId="1163206346">
    <w:abstractNumId w:val="51"/>
    <w:lvlOverride w:ilvl="0">
      <w:lvl w:ilvl="0">
        <w:start w:val="1"/>
        <w:numFmt w:val="decimal"/>
        <w:pStyle w:val="SDMPara"/>
        <w:lvlText w:val="%1."/>
        <w:lvlJc w:val="left"/>
        <w:pPr>
          <w:tabs>
            <w:tab w:val="num" w:pos="709"/>
          </w:tabs>
          <w:ind w:left="709" w:hanging="709"/>
        </w:pPr>
        <w:rPr>
          <w:rFonts w:hint="default"/>
        </w:rPr>
      </w:lvl>
    </w:lvlOverride>
  </w:num>
  <w:num w:numId="154" w16cid:durableId="1081561031">
    <w:abstractNumId w:val="51"/>
    <w:lvlOverride w:ilvl="0">
      <w:lvl w:ilvl="0">
        <w:start w:val="1"/>
        <w:numFmt w:val="decimal"/>
        <w:pStyle w:val="SDMPara"/>
        <w:lvlText w:val="%1."/>
        <w:lvlJc w:val="left"/>
        <w:pPr>
          <w:tabs>
            <w:tab w:val="num" w:pos="709"/>
          </w:tabs>
          <w:ind w:left="709" w:hanging="709"/>
        </w:pPr>
        <w:rPr>
          <w:rFonts w:hint="default"/>
        </w:rPr>
      </w:lvl>
    </w:lvlOverride>
  </w:num>
  <w:num w:numId="155" w16cid:durableId="1977756982">
    <w:abstractNumId w:val="51"/>
    <w:lvlOverride w:ilvl="0">
      <w:lvl w:ilvl="0">
        <w:start w:val="1"/>
        <w:numFmt w:val="decimal"/>
        <w:pStyle w:val="SDMPara"/>
        <w:lvlText w:val="%1."/>
        <w:lvlJc w:val="left"/>
        <w:pPr>
          <w:tabs>
            <w:tab w:val="num" w:pos="709"/>
          </w:tabs>
          <w:ind w:left="709" w:hanging="709"/>
        </w:pPr>
        <w:rPr>
          <w:rFonts w:hint="default"/>
        </w:rPr>
      </w:lvl>
    </w:lvlOverride>
  </w:num>
  <w:num w:numId="156" w16cid:durableId="30542150">
    <w:abstractNumId w:val="51"/>
    <w:lvlOverride w:ilvl="0">
      <w:lvl w:ilvl="0">
        <w:start w:val="1"/>
        <w:numFmt w:val="decimal"/>
        <w:pStyle w:val="SDMPara"/>
        <w:lvlText w:val="%1."/>
        <w:lvlJc w:val="left"/>
        <w:pPr>
          <w:tabs>
            <w:tab w:val="num" w:pos="709"/>
          </w:tabs>
          <w:ind w:left="709" w:hanging="709"/>
        </w:pPr>
        <w:rPr>
          <w:rFonts w:hint="default"/>
        </w:rPr>
      </w:lvl>
    </w:lvlOverride>
  </w:num>
  <w:num w:numId="157" w16cid:durableId="1241871034">
    <w:abstractNumId w:val="51"/>
    <w:lvlOverride w:ilvl="0">
      <w:lvl w:ilvl="0">
        <w:start w:val="1"/>
        <w:numFmt w:val="decimal"/>
        <w:pStyle w:val="SDMPara"/>
        <w:lvlText w:val="%1."/>
        <w:lvlJc w:val="left"/>
        <w:pPr>
          <w:tabs>
            <w:tab w:val="num" w:pos="709"/>
          </w:tabs>
          <w:ind w:left="709" w:hanging="709"/>
        </w:pPr>
        <w:rPr>
          <w:rFonts w:hint="default"/>
        </w:rPr>
      </w:lvl>
    </w:lvlOverride>
  </w:num>
  <w:num w:numId="158" w16cid:durableId="1638027468">
    <w:abstractNumId w:val="51"/>
    <w:lvlOverride w:ilvl="0">
      <w:lvl w:ilvl="0">
        <w:start w:val="1"/>
        <w:numFmt w:val="decimal"/>
        <w:pStyle w:val="SDMPara"/>
        <w:lvlText w:val="%1."/>
        <w:lvlJc w:val="left"/>
        <w:pPr>
          <w:tabs>
            <w:tab w:val="num" w:pos="709"/>
          </w:tabs>
          <w:ind w:left="709" w:hanging="709"/>
        </w:pPr>
        <w:rPr>
          <w:rFonts w:hint="default"/>
        </w:rPr>
      </w:lvl>
    </w:lvlOverride>
  </w:num>
  <w:num w:numId="159" w16cid:durableId="1334989972">
    <w:abstractNumId w:val="51"/>
    <w:lvlOverride w:ilvl="0">
      <w:lvl w:ilvl="0">
        <w:start w:val="1"/>
        <w:numFmt w:val="decimal"/>
        <w:pStyle w:val="SDMPara"/>
        <w:lvlText w:val="%1."/>
        <w:lvlJc w:val="left"/>
        <w:pPr>
          <w:tabs>
            <w:tab w:val="num" w:pos="709"/>
          </w:tabs>
          <w:ind w:left="709" w:hanging="709"/>
        </w:pPr>
        <w:rPr>
          <w:rFonts w:hint="default"/>
        </w:rPr>
      </w:lvl>
    </w:lvlOverride>
  </w:num>
  <w:num w:numId="160" w16cid:durableId="854881823">
    <w:abstractNumId w:val="51"/>
    <w:lvlOverride w:ilvl="0">
      <w:lvl w:ilvl="0">
        <w:start w:val="1"/>
        <w:numFmt w:val="decimal"/>
        <w:pStyle w:val="SDMPara"/>
        <w:lvlText w:val="%1."/>
        <w:lvlJc w:val="left"/>
        <w:pPr>
          <w:tabs>
            <w:tab w:val="num" w:pos="709"/>
          </w:tabs>
          <w:ind w:left="709" w:hanging="709"/>
        </w:pPr>
        <w:rPr>
          <w:rFonts w:hint="default"/>
        </w:rPr>
      </w:lvl>
    </w:lvlOverride>
  </w:num>
  <w:num w:numId="161" w16cid:durableId="8221514">
    <w:abstractNumId w:val="51"/>
    <w:lvlOverride w:ilvl="0">
      <w:lvl w:ilvl="0">
        <w:start w:val="1"/>
        <w:numFmt w:val="decimal"/>
        <w:pStyle w:val="SDMPara"/>
        <w:lvlText w:val="%1."/>
        <w:lvlJc w:val="left"/>
        <w:pPr>
          <w:tabs>
            <w:tab w:val="num" w:pos="709"/>
          </w:tabs>
          <w:ind w:left="709" w:hanging="709"/>
        </w:pPr>
        <w:rPr>
          <w:rFonts w:hint="default"/>
        </w:rPr>
      </w:lvl>
    </w:lvlOverride>
  </w:num>
  <w:num w:numId="162" w16cid:durableId="51580963">
    <w:abstractNumId w:val="51"/>
    <w:lvlOverride w:ilvl="0">
      <w:lvl w:ilvl="0">
        <w:start w:val="1"/>
        <w:numFmt w:val="decimal"/>
        <w:pStyle w:val="SDMPara"/>
        <w:lvlText w:val="%1."/>
        <w:lvlJc w:val="left"/>
        <w:pPr>
          <w:tabs>
            <w:tab w:val="num" w:pos="709"/>
          </w:tabs>
          <w:ind w:left="709" w:hanging="709"/>
        </w:pPr>
        <w:rPr>
          <w:rFonts w:hint="default"/>
        </w:rPr>
      </w:lvl>
    </w:lvlOverride>
  </w:num>
  <w:num w:numId="163" w16cid:durableId="22757853">
    <w:abstractNumId w:val="51"/>
    <w:lvlOverride w:ilvl="0">
      <w:lvl w:ilvl="0">
        <w:start w:val="1"/>
        <w:numFmt w:val="decimal"/>
        <w:pStyle w:val="SDMPara"/>
        <w:lvlText w:val="%1."/>
        <w:lvlJc w:val="left"/>
        <w:pPr>
          <w:tabs>
            <w:tab w:val="num" w:pos="709"/>
          </w:tabs>
          <w:ind w:left="709" w:hanging="709"/>
        </w:pPr>
        <w:rPr>
          <w:rFonts w:hint="default"/>
        </w:rPr>
      </w:lvl>
    </w:lvlOverride>
  </w:num>
  <w:num w:numId="164" w16cid:durableId="214781043">
    <w:abstractNumId w:val="51"/>
    <w:lvlOverride w:ilvl="0">
      <w:lvl w:ilvl="0">
        <w:start w:val="1"/>
        <w:numFmt w:val="decimal"/>
        <w:pStyle w:val="SDMPara"/>
        <w:lvlText w:val="%1."/>
        <w:lvlJc w:val="left"/>
        <w:pPr>
          <w:tabs>
            <w:tab w:val="num" w:pos="709"/>
          </w:tabs>
          <w:ind w:left="709" w:hanging="709"/>
        </w:pPr>
        <w:rPr>
          <w:rFonts w:hint="default"/>
        </w:rPr>
      </w:lvl>
    </w:lvlOverride>
  </w:num>
  <w:num w:numId="165" w16cid:durableId="1603805322">
    <w:abstractNumId w:val="51"/>
    <w:lvlOverride w:ilvl="0">
      <w:lvl w:ilvl="0">
        <w:start w:val="1"/>
        <w:numFmt w:val="decimal"/>
        <w:pStyle w:val="SDMPara"/>
        <w:lvlText w:val="%1."/>
        <w:lvlJc w:val="left"/>
        <w:pPr>
          <w:tabs>
            <w:tab w:val="num" w:pos="709"/>
          </w:tabs>
          <w:ind w:left="709" w:hanging="709"/>
        </w:pPr>
        <w:rPr>
          <w:rFonts w:hint="default"/>
        </w:rPr>
      </w:lvl>
    </w:lvlOverride>
  </w:num>
  <w:num w:numId="166" w16cid:durableId="1419406041">
    <w:abstractNumId w:val="51"/>
    <w:lvlOverride w:ilvl="0">
      <w:lvl w:ilvl="0">
        <w:start w:val="1"/>
        <w:numFmt w:val="decimal"/>
        <w:pStyle w:val="SDMPara"/>
        <w:lvlText w:val="%1."/>
        <w:lvlJc w:val="left"/>
        <w:pPr>
          <w:tabs>
            <w:tab w:val="num" w:pos="709"/>
          </w:tabs>
          <w:ind w:left="709" w:hanging="709"/>
        </w:pPr>
        <w:rPr>
          <w:rFonts w:hint="default"/>
        </w:rPr>
      </w:lvl>
    </w:lvlOverride>
  </w:num>
  <w:num w:numId="167" w16cid:durableId="1242300913">
    <w:abstractNumId w:val="51"/>
    <w:lvlOverride w:ilvl="0">
      <w:lvl w:ilvl="0">
        <w:start w:val="1"/>
        <w:numFmt w:val="decimal"/>
        <w:pStyle w:val="SDMPara"/>
        <w:lvlText w:val="%1."/>
        <w:lvlJc w:val="left"/>
        <w:pPr>
          <w:tabs>
            <w:tab w:val="num" w:pos="709"/>
          </w:tabs>
          <w:ind w:left="709" w:hanging="709"/>
        </w:pPr>
        <w:rPr>
          <w:rFonts w:hint="default"/>
        </w:rPr>
      </w:lvl>
    </w:lvlOverride>
  </w:num>
  <w:num w:numId="168" w16cid:durableId="370031144">
    <w:abstractNumId w:val="51"/>
    <w:lvlOverride w:ilvl="0">
      <w:lvl w:ilvl="0">
        <w:start w:val="1"/>
        <w:numFmt w:val="decimal"/>
        <w:pStyle w:val="SDMPara"/>
        <w:lvlText w:val="%1."/>
        <w:lvlJc w:val="left"/>
        <w:pPr>
          <w:tabs>
            <w:tab w:val="num" w:pos="709"/>
          </w:tabs>
          <w:ind w:left="709" w:hanging="709"/>
        </w:pPr>
        <w:rPr>
          <w:rFonts w:hint="default"/>
        </w:rPr>
      </w:lvl>
    </w:lvlOverride>
  </w:num>
  <w:num w:numId="169" w16cid:durableId="1170025243">
    <w:abstractNumId w:val="51"/>
    <w:lvlOverride w:ilvl="0">
      <w:lvl w:ilvl="0">
        <w:start w:val="1"/>
        <w:numFmt w:val="decimal"/>
        <w:pStyle w:val="SDMPara"/>
        <w:lvlText w:val="%1."/>
        <w:lvlJc w:val="left"/>
        <w:pPr>
          <w:tabs>
            <w:tab w:val="num" w:pos="709"/>
          </w:tabs>
          <w:ind w:left="709" w:hanging="709"/>
        </w:pPr>
        <w:rPr>
          <w:rFonts w:hint="default"/>
        </w:rPr>
      </w:lvl>
    </w:lvlOverride>
  </w:num>
  <w:num w:numId="170" w16cid:durableId="142285163">
    <w:abstractNumId w:val="51"/>
    <w:lvlOverride w:ilvl="0">
      <w:lvl w:ilvl="0">
        <w:start w:val="1"/>
        <w:numFmt w:val="decimal"/>
        <w:pStyle w:val="SDMPara"/>
        <w:lvlText w:val="%1."/>
        <w:lvlJc w:val="left"/>
        <w:pPr>
          <w:tabs>
            <w:tab w:val="num" w:pos="709"/>
          </w:tabs>
          <w:ind w:left="709" w:hanging="709"/>
        </w:pPr>
        <w:rPr>
          <w:rFonts w:hint="default"/>
        </w:rPr>
      </w:lvl>
    </w:lvlOverride>
  </w:num>
  <w:num w:numId="171" w16cid:durableId="221988987">
    <w:abstractNumId w:val="51"/>
    <w:lvlOverride w:ilvl="0">
      <w:lvl w:ilvl="0">
        <w:start w:val="1"/>
        <w:numFmt w:val="decimal"/>
        <w:pStyle w:val="SDMPara"/>
        <w:lvlText w:val="%1."/>
        <w:lvlJc w:val="left"/>
        <w:pPr>
          <w:tabs>
            <w:tab w:val="num" w:pos="709"/>
          </w:tabs>
          <w:ind w:left="709" w:hanging="709"/>
        </w:pPr>
        <w:rPr>
          <w:rFonts w:hint="default"/>
        </w:rPr>
      </w:lvl>
    </w:lvlOverride>
  </w:num>
  <w:num w:numId="172" w16cid:durableId="165177119">
    <w:abstractNumId w:val="51"/>
    <w:lvlOverride w:ilvl="0">
      <w:lvl w:ilvl="0">
        <w:start w:val="1"/>
        <w:numFmt w:val="decimal"/>
        <w:pStyle w:val="SDMPara"/>
        <w:lvlText w:val="%1."/>
        <w:lvlJc w:val="left"/>
        <w:pPr>
          <w:tabs>
            <w:tab w:val="num" w:pos="709"/>
          </w:tabs>
          <w:ind w:left="709" w:hanging="709"/>
        </w:pPr>
        <w:rPr>
          <w:rFonts w:hint="default"/>
        </w:rPr>
      </w:lvl>
    </w:lvlOverride>
  </w:num>
  <w:num w:numId="173" w16cid:durableId="1838769053">
    <w:abstractNumId w:val="51"/>
    <w:lvlOverride w:ilvl="0">
      <w:lvl w:ilvl="0">
        <w:start w:val="1"/>
        <w:numFmt w:val="decimal"/>
        <w:pStyle w:val="SDMPara"/>
        <w:lvlText w:val="%1."/>
        <w:lvlJc w:val="left"/>
        <w:pPr>
          <w:tabs>
            <w:tab w:val="num" w:pos="709"/>
          </w:tabs>
          <w:ind w:left="709" w:hanging="709"/>
        </w:pPr>
        <w:rPr>
          <w:rFonts w:hint="default"/>
        </w:rPr>
      </w:lvl>
    </w:lvlOverride>
  </w:num>
  <w:num w:numId="174" w16cid:durableId="377316647">
    <w:abstractNumId w:val="51"/>
    <w:lvlOverride w:ilvl="0">
      <w:lvl w:ilvl="0">
        <w:start w:val="1"/>
        <w:numFmt w:val="decimal"/>
        <w:pStyle w:val="SDMPara"/>
        <w:lvlText w:val="%1."/>
        <w:lvlJc w:val="left"/>
        <w:pPr>
          <w:tabs>
            <w:tab w:val="num" w:pos="709"/>
          </w:tabs>
          <w:ind w:left="709" w:hanging="709"/>
        </w:pPr>
        <w:rPr>
          <w:rFonts w:hint="default"/>
        </w:rPr>
      </w:lvl>
    </w:lvlOverride>
  </w:num>
  <w:num w:numId="175" w16cid:durableId="1059479927">
    <w:abstractNumId w:val="51"/>
    <w:lvlOverride w:ilvl="0">
      <w:lvl w:ilvl="0">
        <w:start w:val="1"/>
        <w:numFmt w:val="decimal"/>
        <w:pStyle w:val="SDMPara"/>
        <w:lvlText w:val="%1."/>
        <w:lvlJc w:val="left"/>
        <w:pPr>
          <w:tabs>
            <w:tab w:val="num" w:pos="709"/>
          </w:tabs>
          <w:ind w:left="709" w:hanging="709"/>
        </w:pPr>
        <w:rPr>
          <w:rFonts w:hint="default"/>
        </w:rPr>
      </w:lvl>
    </w:lvlOverride>
  </w:num>
  <w:num w:numId="176" w16cid:durableId="1521046385">
    <w:abstractNumId w:val="51"/>
    <w:lvlOverride w:ilvl="0">
      <w:lvl w:ilvl="0">
        <w:start w:val="1"/>
        <w:numFmt w:val="decimal"/>
        <w:pStyle w:val="SDMPara"/>
        <w:lvlText w:val="%1."/>
        <w:lvlJc w:val="left"/>
        <w:pPr>
          <w:tabs>
            <w:tab w:val="num" w:pos="709"/>
          </w:tabs>
          <w:ind w:left="709" w:hanging="709"/>
        </w:pPr>
        <w:rPr>
          <w:rFonts w:hint="default"/>
        </w:rPr>
      </w:lvl>
    </w:lvlOverride>
  </w:num>
  <w:num w:numId="177" w16cid:durableId="1964067968">
    <w:abstractNumId w:val="51"/>
    <w:lvlOverride w:ilvl="0">
      <w:startOverride w:val="1"/>
      <w:lvl w:ilvl="0">
        <w:start w:val="1"/>
        <w:numFmt w:val="decimal"/>
        <w:pStyle w:val="SDMPara"/>
        <w:lvlText w:val="%1."/>
        <w:lvlJc w:val="left"/>
        <w:pPr>
          <w:tabs>
            <w:tab w:val="num" w:pos="709"/>
          </w:tabs>
          <w:ind w:left="709" w:hanging="709"/>
        </w:pPr>
        <w:rPr>
          <w:rFonts w:hint="default"/>
        </w:rPr>
      </w:lvl>
    </w:lvlOverride>
    <w:lvlOverride w:ilvl="1">
      <w:startOverride w:val="1"/>
      <w:lvl w:ilvl="1">
        <w:start w:val="1"/>
        <w:numFmt w:val="lowerLetter"/>
        <w:pStyle w:val="SDMSubPara1"/>
        <w:lvlText w:val="(%2)"/>
        <w:lvlJc w:val="left"/>
        <w:pPr>
          <w:tabs>
            <w:tab w:val="num" w:pos="709"/>
          </w:tabs>
          <w:ind w:left="1418" w:hanging="709"/>
        </w:pPr>
        <w:rPr>
          <w:rFonts w:hint="default"/>
        </w:rPr>
      </w:lvl>
    </w:lvlOverride>
    <w:lvlOverride w:ilvl="2">
      <w:startOverride w:val="1"/>
      <w:lvl w:ilvl="2">
        <w:start w:val="1"/>
        <w:numFmt w:val="lowerRoman"/>
        <w:pStyle w:val="SDMSubPara2"/>
        <w:lvlText w:val="(%3)"/>
        <w:lvlJc w:val="left"/>
        <w:pPr>
          <w:tabs>
            <w:tab w:val="num" w:pos="709"/>
          </w:tabs>
          <w:ind w:left="1985" w:hanging="567"/>
        </w:pPr>
        <w:rPr>
          <w:rFonts w:hint="default"/>
        </w:rPr>
      </w:lvl>
    </w:lvlOverride>
    <w:lvlOverride w:ilvl="3">
      <w:startOverride w:val="1"/>
      <w:lvl w:ilvl="3">
        <w:start w:val="1"/>
        <w:numFmt w:val="lowerLetter"/>
        <w:pStyle w:val="SDMSubPara3"/>
        <w:lvlText w:val="%4."/>
        <w:lvlJc w:val="left"/>
        <w:pPr>
          <w:tabs>
            <w:tab w:val="num" w:pos="709"/>
          </w:tabs>
          <w:ind w:left="2722" w:hanging="596"/>
        </w:pPr>
        <w:rPr>
          <w:rFonts w:hint="default"/>
        </w:rPr>
      </w:lvl>
    </w:lvlOverride>
    <w:lvlOverride w:ilvl="4">
      <w:startOverride w:val="1"/>
      <w:lvl w:ilvl="4">
        <w:start w:val="1"/>
        <w:numFmt w:val="lowerRoman"/>
        <w:pStyle w:val="SDMSubPara4"/>
        <w:lvlText w:val="%5."/>
        <w:lvlJc w:val="left"/>
        <w:pPr>
          <w:tabs>
            <w:tab w:val="num" w:pos="709"/>
          </w:tabs>
          <w:ind w:left="3232" w:hanging="397"/>
        </w:pPr>
        <w:rPr>
          <w:rFonts w:hint="default"/>
        </w:rPr>
      </w:lvl>
    </w:lvlOverride>
    <w:lvlOverride w:ilvl="5">
      <w:startOverride w:val="1"/>
      <w:lvl w:ilvl="5">
        <w:start w:val="1"/>
        <w:numFmt w:val="none"/>
        <w:lvlText w:val=""/>
        <w:lvlJc w:val="left"/>
        <w:pPr>
          <w:tabs>
            <w:tab w:val="num" w:pos="0"/>
          </w:tabs>
          <w:ind w:left="0" w:firstLine="0"/>
        </w:pPr>
        <w:rPr>
          <w:rFonts w:hint="default"/>
        </w:rPr>
      </w:lvl>
    </w:lvlOverride>
    <w:lvlOverride w:ilvl="6">
      <w:startOverride w:val="1"/>
      <w:lvl w:ilvl="6">
        <w:start w:val="1"/>
        <w:numFmt w:val="none"/>
        <w:lvlText w:val="%7"/>
        <w:lvlJc w:val="left"/>
        <w:pPr>
          <w:tabs>
            <w:tab w:val="num" w:pos="0"/>
          </w:tabs>
          <w:ind w:left="0" w:firstLine="0"/>
        </w:pPr>
        <w:rPr>
          <w:rFonts w:hint="default"/>
        </w:rPr>
      </w:lvl>
    </w:lvlOverride>
    <w:lvlOverride w:ilvl="7">
      <w:startOverride w:val="1"/>
      <w:lvl w:ilvl="7">
        <w:start w:val="1"/>
        <w:numFmt w:val="none"/>
        <w:lvlText w:val="%8"/>
        <w:lvlJc w:val="left"/>
        <w:pPr>
          <w:tabs>
            <w:tab w:val="num" w:pos="0"/>
          </w:tabs>
          <w:ind w:left="0" w:firstLine="0"/>
        </w:pPr>
        <w:rPr>
          <w:rFonts w:hint="default"/>
        </w:rPr>
      </w:lvl>
    </w:lvlOverride>
    <w:lvlOverride w:ilvl="8">
      <w:startOverride w:val="1"/>
      <w:lvl w:ilvl="8">
        <w:start w:val="1"/>
        <w:numFmt w:val="none"/>
        <w:lvlText w:val="%9"/>
        <w:lvlJc w:val="left"/>
        <w:pPr>
          <w:tabs>
            <w:tab w:val="num" w:pos="0"/>
          </w:tabs>
          <w:ind w:left="0" w:firstLine="0"/>
        </w:pPr>
        <w:rPr>
          <w:rFonts w:hint="default"/>
        </w:rPr>
      </w:lvl>
    </w:lvlOverride>
  </w:num>
  <w:num w:numId="178" w16cid:durableId="424888862">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179" w16cid:durableId="445321052">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180" w16cid:durableId="89088487">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181" w16cid:durableId="1016269603">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182" w16cid:durableId="439109232">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183" w16cid:durableId="552349506">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184" w16cid:durableId="1683043334">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185" w16cid:durableId="298535678">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186" w16cid:durableId="2067489218">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187" w16cid:durableId="970860050">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188" w16cid:durableId="968055281">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189" w16cid:durableId="384334114">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190" w16cid:durableId="751581946">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191" w16cid:durableId="110788028">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192" w16cid:durableId="1064793660">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193" w16cid:durableId="1237130073">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194" w16cid:durableId="457647082">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195" w16cid:durableId="1314946557">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196" w16cid:durableId="1939559753">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197" w16cid:durableId="1873420146">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198" w16cid:durableId="397286113">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199" w16cid:durableId="313994371">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200" w16cid:durableId="75907389">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201" w16cid:durableId="1963802490">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202" w16cid:durableId="839933527">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203" w16cid:durableId="1771506246">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204" w16cid:durableId="840390959">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205" w16cid:durableId="556168397">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206" w16cid:durableId="779758595">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207" w16cid:durableId="974065242">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208" w16cid:durableId="1952515144">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209" w16cid:durableId="364404619">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210" w16cid:durableId="1151868427">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211" w16cid:durableId="13845210">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212" w16cid:durableId="1754011381">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213" w16cid:durableId="127169448">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214" w16cid:durableId="1591699153">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215" w16cid:durableId="1730420401">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216" w16cid:durableId="1515877842">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217" w16cid:durableId="740061748">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218" w16cid:durableId="1366295537">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219" w16cid:durableId="126968835">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220" w16cid:durableId="1965694075">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221" w16cid:durableId="1113481347">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222" w16cid:durableId="1797213881">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223" w16cid:durableId="938027486">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224" w16cid:durableId="1424258115">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225" w16cid:durableId="1520243490">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226" w16cid:durableId="1053962182">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227" w16cid:durableId="1915554694">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228" w16cid:durableId="585505967">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229" w16cid:durableId="1791171260">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230" w16cid:durableId="776949233">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231" w16cid:durableId="1146507079">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232" w16cid:durableId="402409369">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233" w16cid:durableId="1709407862">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234" w16cid:durableId="1661813843">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235" w16cid:durableId="885290417">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236" w16cid:durableId="2127850571">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237" w16cid:durableId="778717052">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238" w16cid:durableId="1640187914">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239" w16cid:durableId="327901586">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240" w16cid:durableId="618490913">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241" w16cid:durableId="398984975">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242" w16cid:durableId="2131045545">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243" w16cid:durableId="1886021024">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244" w16cid:durableId="1908416322">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245" w16cid:durableId="862477017">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246" w16cid:durableId="661737557">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247" w16cid:durableId="1461919328">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248" w16cid:durableId="1364552134">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249" w16cid:durableId="232471893">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250" w16cid:durableId="1576207977">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251" w16cid:durableId="1733382159">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252" w16cid:durableId="1856995130">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253" w16cid:durableId="75058397">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254" w16cid:durableId="958030214">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255" w16cid:durableId="1831285758">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256" w16cid:durableId="700787316">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257" w16cid:durableId="104469157">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258" w16cid:durableId="456337315">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259" w16cid:durableId="662247337">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260" w16cid:durableId="1925020401">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261" w16cid:durableId="1326595058">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262" w16cid:durableId="275647797">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263" w16cid:durableId="2139833213">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264" w16cid:durableId="21441998">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265" w16cid:durableId="1525905591">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266" w16cid:durableId="1523014782">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267" w16cid:durableId="1701315000">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268" w16cid:durableId="106629669">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269" w16cid:durableId="1970816780">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270" w16cid:durableId="1210609131">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271" w16cid:durableId="1670793167">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272" w16cid:durableId="520358013">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273" w16cid:durableId="78715548">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274" w16cid:durableId="1425762990">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275" w16cid:durableId="799569757">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276" w16cid:durableId="511771863">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277" w16cid:durableId="1050499455">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278" w16cid:durableId="1046486073">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279" w16cid:durableId="773595179">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280" w16cid:durableId="1774326516">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281" w16cid:durableId="1143616311">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282" w16cid:durableId="579676030">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283" w16cid:durableId="1059596357">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284" w16cid:durableId="412974108">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285" w16cid:durableId="1548252907">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286" w16cid:durableId="253562439">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287" w16cid:durableId="1511136074">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288" w16cid:durableId="616642549">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289" w16cid:durableId="1876309946">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290" w16cid:durableId="1795253013">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291" w16cid:durableId="722480563">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292" w16cid:durableId="969482417">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293" w16cid:durableId="101582108">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294" w16cid:durableId="779180123">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295" w16cid:durableId="1691253046">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296" w16cid:durableId="968441691">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297" w16cid:durableId="375934460">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298" w16cid:durableId="289475969">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299" w16cid:durableId="412555605">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300" w16cid:durableId="1737587887">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301" w16cid:durableId="1695381055">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302" w16cid:durableId="102848963">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303" w16cid:durableId="516038946">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304" w16cid:durableId="1563909296">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305" w16cid:durableId="48767228">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306" w16cid:durableId="1833569523">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307" w16cid:durableId="483161673">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308" w16cid:durableId="2016609283">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309" w16cid:durableId="1556508911">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310" w16cid:durableId="272907295">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311" w16cid:durableId="1652060822">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312" w16cid:durableId="1160075704">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313" w16cid:durableId="739644514">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314" w16cid:durableId="68164177">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315" w16cid:durableId="1048188701">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316" w16cid:durableId="2135176050">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317" w16cid:durableId="474879995">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318" w16cid:durableId="1121456744">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319" w16cid:durableId="155582491">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320" w16cid:durableId="849874212">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321" w16cid:durableId="1006782105">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322" w16cid:durableId="276987356">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323" w16cid:durableId="1174998009">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324" w16cid:durableId="1001394394">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325" w16cid:durableId="776759226">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326" w16cid:durableId="2133092022">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327" w16cid:durableId="1052654589">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328" w16cid:durableId="204368250">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329" w16cid:durableId="1980458982">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330" w16cid:durableId="1653750581">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331" w16cid:durableId="1108894493">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332" w16cid:durableId="533155213">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333" w16cid:durableId="1902015059">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334" w16cid:durableId="1260062922">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335" w16cid:durableId="1919166905">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336" w16cid:durableId="801195839">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337" w16cid:durableId="483467966">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338" w16cid:durableId="1597782374">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339" w16cid:durableId="1334144135">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340" w16cid:durableId="1670675714">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341" w16cid:durableId="1553154084">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342" w16cid:durableId="406194197">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343" w16cid:durableId="1753969161">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344" w16cid:durableId="2081170106">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345" w16cid:durableId="1364868229">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346" w16cid:durableId="1055392307">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347" w16cid:durableId="178739761">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348" w16cid:durableId="1959141995">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349" w16cid:durableId="773404564">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350" w16cid:durableId="164364770">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351" w16cid:durableId="1368875189">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352" w16cid:durableId="1455173421">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353" w16cid:durableId="545022806">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354" w16cid:durableId="1459644344">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355" w16cid:durableId="2062558744">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356" w16cid:durableId="604532637">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357" w16cid:durableId="1371419461">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358" w16cid:durableId="915091497">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359" w16cid:durableId="353580551">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360" w16cid:durableId="1594825256">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361" w16cid:durableId="1235821767">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362" w16cid:durableId="443695262">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363" w16cid:durableId="1294867282">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364" w16cid:durableId="1692223605">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365" w16cid:durableId="767581025">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366" w16cid:durableId="711686074">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367" w16cid:durableId="294258119">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368" w16cid:durableId="349454114">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369" w16cid:durableId="375083668">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370" w16cid:durableId="1801146526">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371" w16cid:durableId="94180068">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372" w16cid:durableId="698898622">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373" w16cid:durableId="844130743">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374" w16cid:durableId="1770848714">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375" w16cid:durableId="1562517017">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376" w16cid:durableId="1406491352">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377" w16cid:durableId="1386222766">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378" w16cid:durableId="182476599">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379" w16cid:durableId="1959532822">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380" w16cid:durableId="925650049">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381" w16cid:durableId="174073049">
    <w:abstractNumId w:val="51"/>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IdMacAtCleanup w:val="38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removeDateAndTime/>
  <w:bordersDoNotSurroundHeader/>
  <w:bordersDoNotSurroundFooter/>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stylePaneSortMethod w:val="0000"/>
  <w:documentProtection w:edit="forms" w:enforcement="0"/>
  <w:defaultTabStop w:val="709"/>
  <w:hyphenationZone w:val="425"/>
  <w:characterSpacingControl w:val="doNotCompress"/>
  <w:savePreviewPicture/>
  <w:hdrShapeDefaults>
    <o:shapedefaults v:ext="edit" spidmax="2050" style="mso-position-horizontal:center;mso-position-horizontal-relative:margin;mso-position-vertical:center;mso-position-vertical-relative:margin" fill="f" fillcolor="#a6a6a6" stroke="f">
      <v:fill color="#a6a6a6" on="f"/>
      <v:stroke on="f"/>
      <v:shadow color="#868686"/>
      <v:textbox inset="5.85pt,.7pt,5.85pt,.7pt"/>
    </o:shapedefaults>
  </w:hdrShapeDefaults>
  <w:footnotePr>
    <w:numRestart w:val="eachSect"/>
    <w:footnote w:id="-1"/>
    <w:footnote w:id="0"/>
    <w:footnote w:id="1"/>
  </w:footnotePr>
  <w:endnotePr>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2D86"/>
    <w:rsid w:val="00000116"/>
    <w:rsid w:val="0000013B"/>
    <w:rsid w:val="00000151"/>
    <w:rsid w:val="000001B2"/>
    <w:rsid w:val="000001E5"/>
    <w:rsid w:val="000001E6"/>
    <w:rsid w:val="0000026F"/>
    <w:rsid w:val="000003D8"/>
    <w:rsid w:val="0000045C"/>
    <w:rsid w:val="0000046F"/>
    <w:rsid w:val="00000490"/>
    <w:rsid w:val="00000496"/>
    <w:rsid w:val="000004B7"/>
    <w:rsid w:val="00000594"/>
    <w:rsid w:val="00000636"/>
    <w:rsid w:val="00000871"/>
    <w:rsid w:val="0000088E"/>
    <w:rsid w:val="000008D7"/>
    <w:rsid w:val="000008FF"/>
    <w:rsid w:val="00000908"/>
    <w:rsid w:val="00000921"/>
    <w:rsid w:val="00000936"/>
    <w:rsid w:val="000009BC"/>
    <w:rsid w:val="00000ADB"/>
    <w:rsid w:val="00000B5E"/>
    <w:rsid w:val="00000C06"/>
    <w:rsid w:val="00000DE0"/>
    <w:rsid w:val="000010F4"/>
    <w:rsid w:val="00001186"/>
    <w:rsid w:val="000011B1"/>
    <w:rsid w:val="0000120B"/>
    <w:rsid w:val="000012E9"/>
    <w:rsid w:val="00001322"/>
    <w:rsid w:val="000013A6"/>
    <w:rsid w:val="00001658"/>
    <w:rsid w:val="000016F7"/>
    <w:rsid w:val="0000177D"/>
    <w:rsid w:val="000017B7"/>
    <w:rsid w:val="000017C8"/>
    <w:rsid w:val="0000182E"/>
    <w:rsid w:val="0000185A"/>
    <w:rsid w:val="0000189B"/>
    <w:rsid w:val="000019CA"/>
    <w:rsid w:val="00001A91"/>
    <w:rsid w:val="00001AC8"/>
    <w:rsid w:val="00001B3C"/>
    <w:rsid w:val="00001BB7"/>
    <w:rsid w:val="00001BD9"/>
    <w:rsid w:val="00001CF5"/>
    <w:rsid w:val="00001D02"/>
    <w:rsid w:val="00001F2E"/>
    <w:rsid w:val="00001FB2"/>
    <w:rsid w:val="00001FE1"/>
    <w:rsid w:val="000020BF"/>
    <w:rsid w:val="000021C3"/>
    <w:rsid w:val="000021CF"/>
    <w:rsid w:val="00002200"/>
    <w:rsid w:val="00002218"/>
    <w:rsid w:val="00002337"/>
    <w:rsid w:val="00002682"/>
    <w:rsid w:val="000026A1"/>
    <w:rsid w:val="000026BF"/>
    <w:rsid w:val="00002704"/>
    <w:rsid w:val="00002779"/>
    <w:rsid w:val="000027C4"/>
    <w:rsid w:val="00002823"/>
    <w:rsid w:val="00002839"/>
    <w:rsid w:val="0000292C"/>
    <w:rsid w:val="00002945"/>
    <w:rsid w:val="00002A1E"/>
    <w:rsid w:val="00002C47"/>
    <w:rsid w:val="00002CD2"/>
    <w:rsid w:val="00002D78"/>
    <w:rsid w:val="00002FBE"/>
    <w:rsid w:val="00002FED"/>
    <w:rsid w:val="00003006"/>
    <w:rsid w:val="0000304E"/>
    <w:rsid w:val="000031D5"/>
    <w:rsid w:val="0000322B"/>
    <w:rsid w:val="0000331C"/>
    <w:rsid w:val="00003473"/>
    <w:rsid w:val="000034AD"/>
    <w:rsid w:val="00003582"/>
    <w:rsid w:val="00003598"/>
    <w:rsid w:val="0000363C"/>
    <w:rsid w:val="00003655"/>
    <w:rsid w:val="00003657"/>
    <w:rsid w:val="000036C6"/>
    <w:rsid w:val="0000377B"/>
    <w:rsid w:val="000038AA"/>
    <w:rsid w:val="000039C2"/>
    <w:rsid w:val="00003A1A"/>
    <w:rsid w:val="00003AC6"/>
    <w:rsid w:val="00003B51"/>
    <w:rsid w:val="00003C59"/>
    <w:rsid w:val="00003D8B"/>
    <w:rsid w:val="00003DBE"/>
    <w:rsid w:val="00003F80"/>
    <w:rsid w:val="0000404D"/>
    <w:rsid w:val="000041B8"/>
    <w:rsid w:val="0000437E"/>
    <w:rsid w:val="000043AB"/>
    <w:rsid w:val="000043F7"/>
    <w:rsid w:val="0000446F"/>
    <w:rsid w:val="0000459F"/>
    <w:rsid w:val="00004819"/>
    <w:rsid w:val="000049DF"/>
    <w:rsid w:val="00004AC0"/>
    <w:rsid w:val="00004B0B"/>
    <w:rsid w:val="00004B7A"/>
    <w:rsid w:val="00004C06"/>
    <w:rsid w:val="00004C15"/>
    <w:rsid w:val="00004CB7"/>
    <w:rsid w:val="00004D8E"/>
    <w:rsid w:val="00004EBF"/>
    <w:rsid w:val="0000501B"/>
    <w:rsid w:val="000051F4"/>
    <w:rsid w:val="000052AD"/>
    <w:rsid w:val="000052C0"/>
    <w:rsid w:val="00005441"/>
    <w:rsid w:val="0000544C"/>
    <w:rsid w:val="00005504"/>
    <w:rsid w:val="000058E8"/>
    <w:rsid w:val="00005961"/>
    <w:rsid w:val="00005B3B"/>
    <w:rsid w:val="00005B98"/>
    <w:rsid w:val="00005BC5"/>
    <w:rsid w:val="00005C4D"/>
    <w:rsid w:val="00005D28"/>
    <w:rsid w:val="00005F55"/>
    <w:rsid w:val="00005FE5"/>
    <w:rsid w:val="0000602F"/>
    <w:rsid w:val="00006150"/>
    <w:rsid w:val="0000620E"/>
    <w:rsid w:val="0000621F"/>
    <w:rsid w:val="0000625C"/>
    <w:rsid w:val="000062B1"/>
    <w:rsid w:val="000063E7"/>
    <w:rsid w:val="00006448"/>
    <w:rsid w:val="0000657D"/>
    <w:rsid w:val="0000684E"/>
    <w:rsid w:val="00006979"/>
    <w:rsid w:val="00006A75"/>
    <w:rsid w:val="00006AC5"/>
    <w:rsid w:val="00006B4E"/>
    <w:rsid w:val="00006C6A"/>
    <w:rsid w:val="00006CF4"/>
    <w:rsid w:val="00006F4F"/>
    <w:rsid w:val="00006FC4"/>
    <w:rsid w:val="000070EB"/>
    <w:rsid w:val="000071B5"/>
    <w:rsid w:val="0000725D"/>
    <w:rsid w:val="000072AE"/>
    <w:rsid w:val="00007351"/>
    <w:rsid w:val="00007373"/>
    <w:rsid w:val="000073B9"/>
    <w:rsid w:val="0000741F"/>
    <w:rsid w:val="00007463"/>
    <w:rsid w:val="00007488"/>
    <w:rsid w:val="0000759E"/>
    <w:rsid w:val="0000766A"/>
    <w:rsid w:val="0000785F"/>
    <w:rsid w:val="00007995"/>
    <w:rsid w:val="000079D4"/>
    <w:rsid w:val="00007A3A"/>
    <w:rsid w:val="00007A6A"/>
    <w:rsid w:val="00007AA3"/>
    <w:rsid w:val="00007AE8"/>
    <w:rsid w:val="00007BE7"/>
    <w:rsid w:val="00007C0A"/>
    <w:rsid w:val="00007C4C"/>
    <w:rsid w:val="00007C5F"/>
    <w:rsid w:val="00007E9B"/>
    <w:rsid w:val="00007F23"/>
    <w:rsid w:val="00007FA0"/>
    <w:rsid w:val="00010061"/>
    <w:rsid w:val="00010077"/>
    <w:rsid w:val="00010125"/>
    <w:rsid w:val="000102D7"/>
    <w:rsid w:val="00010300"/>
    <w:rsid w:val="00010422"/>
    <w:rsid w:val="0001049C"/>
    <w:rsid w:val="000105E3"/>
    <w:rsid w:val="000105F8"/>
    <w:rsid w:val="0001073B"/>
    <w:rsid w:val="000107A9"/>
    <w:rsid w:val="00010870"/>
    <w:rsid w:val="00010910"/>
    <w:rsid w:val="00010B0D"/>
    <w:rsid w:val="00010B1A"/>
    <w:rsid w:val="00010B5E"/>
    <w:rsid w:val="00010BBA"/>
    <w:rsid w:val="00010CE4"/>
    <w:rsid w:val="00010D38"/>
    <w:rsid w:val="00010D77"/>
    <w:rsid w:val="00010F8B"/>
    <w:rsid w:val="00011040"/>
    <w:rsid w:val="00011082"/>
    <w:rsid w:val="000110E3"/>
    <w:rsid w:val="0001110F"/>
    <w:rsid w:val="0001116F"/>
    <w:rsid w:val="0001136C"/>
    <w:rsid w:val="0001140D"/>
    <w:rsid w:val="00011430"/>
    <w:rsid w:val="00011458"/>
    <w:rsid w:val="00011509"/>
    <w:rsid w:val="00011573"/>
    <w:rsid w:val="0001165C"/>
    <w:rsid w:val="0001175B"/>
    <w:rsid w:val="000118A0"/>
    <w:rsid w:val="000119D6"/>
    <w:rsid w:val="00011A52"/>
    <w:rsid w:val="00011B5E"/>
    <w:rsid w:val="00011BBD"/>
    <w:rsid w:val="00011BC7"/>
    <w:rsid w:val="00011C28"/>
    <w:rsid w:val="00011E01"/>
    <w:rsid w:val="00011E6C"/>
    <w:rsid w:val="00011F5D"/>
    <w:rsid w:val="00011F6D"/>
    <w:rsid w:val="000120B0"/>
    <w:rsid w:val="000120E1"/>
    <w:rsid w:val="00012172"/>
    <w:rsid w:val="00012333"/>
    <w:rsid w:val="0001251E"/>
    <w:rsid w:val="00012556"/>
    <w:rsid w:val="00012581"/>
    <w:rsid w:val="00012616"/>
    <w:rsid w:val="00012790"/>
    <w:rsid w:val="00012A91"/>
    <w:rsid w:val="00012ACF"/>
    <w:rsid w:val="00012AD7"/>
    <w:rsid w:val="00012CA0"/>
    <w:rsid w:val="00012D33"/>
    <w:rsid w:val="00012DB2"/>
    <w:rsid w:val="00012DDB"/>
    <w:rsid w:val="00012E67"/>
    <w:rsid w:val="00012E96"/>
    <w:rsid w:val="00012ED5"/>
    <w:rsid w:val="00012EFA"/>
    <w:rsid w:val="00012F00"/>
    <w:rsid w:val="00013077"/>
    <w:rsid w:val="00013330"/>
    <w:rsid w:val="00013379"/>
    <w:rsid w:val="00013457"/>
    <w:rsid w:val="00013460"/>
    <w:rsid w:val="00013543"/>
    <w:rsid w:val="000135A6"/>
    <w:rsid w:val="000135FF"/>
    <w:rsid w:val="00013687"/>
    <w:rsid w:val="000139B7"/>
    <w:rsid w:val="00013A7F"/>
    <w:rsid w:val="00013B48"/>
    <w:rsid w:val="00013B88"/>
    <w:rsid w:val="00013D21"/>
    <w:rsid w:val="00013D78"/>
    <w:rsid w:val="00013E90"/>
    <w:rsid w:val="00014058"/>
    <w:rsid w:val="00014189"/>
    <w:rsid w:val="000141F3"/>
    <w:rsid w:val="0001425D"/>
    <w:rsid w:val="00014355"/>
    <w:rsid w:val="0001440C"/>
    <w:rsid w:val="0001445F"/>
    <w:rsid w:val="000144CE"/>
    <w:rsid w:val="000144F5"/>
    <w:rsid w:val="000145BA"/>
    <w:rsid w:val="0001465C"/>
    <w:rsid w:val="000146A2"/>
    <w:rsid w:val="000146C3"/>
    <w:rsid w:val="000147F0"/>
    <w:rsid w:val="00014814"/>
    <w:rsid w:val="000148C4"/>
    <w:rsid w:val="000148E2"/>
    <w:rsid w:val="000149F1"/>
    <w:rsid w:val="00014AC5"/>
    <w:rsid w:val="00014B81"/>
    <w:rsid w:val="00014C3A"/>
    <w:rsid w:val="00014C40"/>
    <w:rsid w:val="00014C68"/>
    <w:rsid w:val="00014CB2"/>
    <w:rsid w:val="00014E1F"/>
    <w:rsid w:val="00014E4F"/>
    <w:rsid w:val="00014EE6"/>
    <w:rsid w:val="00014F84"/>
    <w:rsid w:val="00014FAB"/>
    <w:rsid w:val="00015089"/>
    <w:rsid w:val="000150BF"/>
    <w:rsid w:val="0001510C"/>
    <w:rsid w:val="0001516D"/>
    <w:rsid w:val="000151E6"/>
    <w:rsid w:val="00015413"/>
    <w:rsid w:val="0001541D"/>
    <w:rsid w:val="000154AA"/>
    <w:rsid w:val="00015529"/>
    <w:rsid w:val="00015554"/>
    <w:rsid w:val="00015732"/>
    <w:rsid w:val="0001573F"/>
    <w:rsid w:val="000157E6"/>
    <w:rsid w:val="000157FD"/>
    <w:rsid w:val="000158FB"/>
    <w:rsid w:val="00015976"/>
    <w:rsid w:val="00015998"/>
    <w:rsid w:val="000159BC"/>
    <w:rsid w:val="00015AD3"/>
    <w:rsid w:val="00015B29"/>
    <w:rsid w:val="00015C89"/>
    <w:rsid w:val="00015CFD"/>
    <w:rsid w:val="00015D0B"/>
    <w:rsid w:val="00015D50"/>
    <w:rsid w:val="00015DF1"/>
    <w:rsid w:val="00015FEE"/>
    <w:rsid w:val="00016131"/>
    <w:rsid w:val="000161F1"/>
    <w:rsid w:val="0001624C"/>
    <w:rsid w:val="00016268"/>
    <w:rsid w:val="00016317"/>
    <w:rsid w:val="0001639F"/>
    <w:rsid w:val="000163E2"/>
    <w:rsid w:val="0001654E"/>
    <w:rsid w:val="000165AF"/>
    <w:rsid w:val="0001663A"/>
    <w:rsid w:val="0001698A"/>
    <w:rsid w:val="00016A9F"/>
    <w:rsid w:val="00016C0B"/>
    <w:rsid w:val="00016D17"/>
    <w:rsid w:val="00016DD7"/>
    <w:rsid w:val="0001705F"/>
    <w:rsid w:val="0001708D"/>
    <w:rsid w:val="000170A9"/>
    <w:rsid w:val="000171D9"/>
    <w:rsid w:val="000172CD"/>
    <w:rsid w:val="000172F5"/>
    <w:rsid w:val="000173B6"/>
    <w:rsid w:val="000174BC"/>
    <w:rsid w:val="00017516"/>
    <w:rsid w:val="00017641"/>
    <w:rsid w:val="000176CE"/>
    <w:rsid w:val="000176FA"/>
    <w:rsid w:val="00017725"/>
    <w:rsid w:val="00017794"/>
    <w:rsid w:val="0001779B"/>
    <w:rsid w:val="000179AC"/>
    <w:rsid w:val="000179CF"/>
    <w:rsid w:val="00017A2F"/>
    <w:rsid w:val="00017AB2"/>
    <w:rsid w:val="00017BB1"/>
    <w:rsid w:val="00017C3D"/>
    <w:rsid w:val="00017D33"/>
    <w:rsid w:val="00017EBF"/>
    <w:rsid w:val="00020041"/>
    <w:rsid w:val="000200B2"/>
    <w:rsid w:val="000200F4"/>
    <w:rsid w:val="00020230"/>
    <w:rsid w:val="000202CD"/>
    <w:rsid w:val="0002058D"/>
    <w:rsid w:val="00020754"/>
    <w:rsid w:val="00020852"/>
    <w:rsid w:val="0002088D"/>
    <w:rsid w:val="00020954"/>
    <w:rsid w:val="00020AFB"/>
    <w:rsid w:val="00020C46"/>
    <w:rsid w:val="00020DEC"/>
    <w:rsid w:val="00020FBF"/>
    <w:rsid w:val="00020FEF"/>
    <w:rsid w:val="00021030"/>
    <w:rsid w:val="00021107"/>
    <w:rsid w:val="00021129"/>
    <w:rsid w:val="000211CE"/>
    <w:rsid w:val="0002122D"/>
    <w:rsid w:val="00021245"/>
    <w:rsid w:val="00021280"/>
    <w:rsid w:val="000212AE"/>
    <w:rsid w:val="000213FC"/>
    <w:rsid w:val="000215F5"/>
    <w:rsid w:val="00021758"/>
    <w:rsid w:val="00021765"/>
    <w:rsid w:val="000217E5"/>
    <w:rsid w:val="00021929"/>
    <w:rsid w:val="0002199F"/>
    <w:rsid w:val="00021AD8"/>
    <w:rsid w:val="00021B33"/>
    <w:rsid w:val="00021B5F"/>
    <w:rsid w:val="00021B63"/>
    <w:rsid w:val="00021C0D"/>
    <w:rsid w:val="00021C3E"/>
    <w:rsid w:val="00021E38"/>
    <w:rsid w:val="00022028"/>
    <w:rsid w:val="000220BC"/>
    <w:rsid w:val="00022296"/>
    <w:rsid w:val="00022332"/>
    <w:rsid w:val="00022348"/>
    <w:rsid w:val="00022353"/>
    <w:rsid w:val="0002236A"/>
    <w:rsid w:val="00022438"/>
    <w:rsid w:val="00022689"/>
    <w:rsid w:val="00022690"/>
    <w:rsid w:val="000226C6"/>
    <w:rsid w:val="00022726"/>
    <w:rsid w:val="000229D8"/>
    <w:rsid w:val="00022A31"/>
    <w:rsid w:val="00022A54"/>
    <w:rsid w:val="00022A60"/>
    <w:rsid w:val="00022A86"/>
    <w:rsid w:val="00022BDB"/>
    <w:rsid w:val="00022CC8"/>
    <w:rsid w:val="00022DE9"/>
    <w:rsid w:val="00022E6E"/>
    <w:rsid w:val="00023082"/>
    <w:rsid w:val="000230A2"/>
    <w:rsid w:val="00023108"/>
    <w:rsid w:val="000231C3"/>
    <w:rsid w:val="000231C4"/>
    <w:rsid w:val="000231D2"/>
    <w:rsid w:val="00023289"/>
    <w:rsid w:val="0002329C"/>
    <w:rsid w:val="0002332C"/>
    <w:rsid w:val="000236AC"/>
    <w:rsid w:val="000236E7"/>
    <w:rsid w:val="00023772"/>
    <w:rsid w:val="0002386A"/>
    <w:rsid w:val="000238DE"/>
    <w:rsid w:val="00023942"/>
    <w:rsid w:val="000239DB"/>
    <w:rsid w:val="00023AE5"/>
    <w:rsid w:val="00023AE6"/>
    <w:rsid w:val="00023AF4"/>
    <w:rsid w:val="00023B59"/>
    <w:rsid w:val="00023BB1"/>
    <w:rsid w:val="00023C3C"/>
    <w:rsid w:val="00023D54"/>
    <w:rsid w:val="00023D5A"/>
    <w:rsid w:val="00023E60"/>
    <w:rsid w:val="00023F5C"/>
    <w:rsid w:val="00023FC9"/>
    <w:rsid w:val="00023FD2"/>
    <w:rsid w:val="000240A3"/>
    <w:rsid w:val="000241A5"/>
    <w:rsid w:val="000242B5"/>
    <w:rsid w:val="00024369"/>
    <w:rsid w:val="0002438E"/>
    <w:rsid w:val="0002444C"/>
    <w:rsid w:val="000244A0"/>
    <w:rsid w:val="000244AB"/>
    <w:rsid w:val="00024674"/>
    <w:rsid w:val="000246DA"/>
    <w:rsid w:val="000246F5"/>
    <w:rsid w:val="00024755"/>
    <w:rsid w:val="000247D7"/>
    <w:rsid w:val="000247F2"/>
    <w:rsid w:val="0002487B"/>
    <w:rsid w:val="000248B3"/>
    <w:rsid w:val="00024974"/>
    <w:rsid w:val="0002498E"/>
    <w:rsid w:val="00024A4C"/>
    <w:rsid w:val="00024B45"/>
    <w:rsid w:val="00024BA3"/>
    <w:rsid w:val="00024C03"/>
    <w:rsid w:val="00024C7D"/>
    <w:rsid w:val="00024C9D"/>
    <w:rsid w:val="00024D86"/>
    <w:rsid w:val="00025022"/>
    <w:rsid w:val="000251F0"/>
    <w:rsid w:val="000252C5"/>
    <w:rsid w:val="00025465"/>
    <w:rsid w:val="0002557C"/>
    <w:rsid w:val="000255AE"/>
    <w:rsid w:val="000255AF"/>
    <w:rsid w:val="0002562E"/>
    <w:rsid w:val="000256BA"/>
    <w:rsid w:val="00025759"/>
    <w:rsid w:val="000257C9"/>
    <w:rsid w:val="000258F7"/>
    <w:rsid w:val="00025937"/>
    <w:rsid w:val="00025A33"/>
    <w:rsid w:val="00025AB1"/>
    <w:rsid w:val="00025AD5"/>
    <w:rsid w:val="00025AEE"/>
    <w:rsid w:val="00025B94"/>
    <w:rsid w:val="00025C07"/>
    <w:rsid w:val="00025EAA"/>
    <w:rsid w:val="00025EFA"/>
    <w:rsid w:val="00025F03"/>
    <w:rsid w:val="00025FB5"/>
    <w:rsid w:val="00025FC7"/>
    <w:rsid w:val="00025FDB"/>
    <w:rsid w:val="0002600A"/>
    <w:rsid w:val="00026099"/>
    <w:rsid w:val="000260D4"/>
    <w:rsid w:val="00026129"/>
    <w:rsid w:val="00026205"/>
    <w:rsid w:val="00026295"/>
    <w:rsid w:val="000262BB"/>
    <w:rsid w:val="00026349"/>
    <w:rsid w:val="0002638A"/>
    <w:rsid w:val="000263E0"/>
    <w:rsid w:val="00026479"/>
    <w:rsid w:val="00026483"/>
    <w:rsid w:val="000264AE"/>
    <w:rsid w:val="0002658A"/>
    <w:rsid w:val="000265DF"/>
    <w:rsid w:val="0002663E"/>
    <w:rsid w:val="000266D4"/>
    <w:rsid w:val="000266E1"/>
    <w:rsid w:val="0002672B"/>
    <w:rsid w:val="0002677D"/>
    <w:rsid w:val="00026834"/>
    <w:rsid w:val="000268CC"/>
    <w:rsid w:val="0002690A"/>
    <w:rsid w:val="00026926"/>
    <w:rsid w:val="0002692D"/>
    <w:rsid w:val="0002697C"/>
    <w:rsid w:val="000269AA"/>
    <w:rsid w:val="00026A0B"/>
    <w:rsid w:val="00026A2E"/>
    <w:rsid w:val="00026A33"/>
    <w:rsid w:val="00026B3D"/>
    <w:rsid w:val="00026B93"/>
    <w:rsid w:val="00026BA1"/>
    <w:rsid w:val="00026C11"/>
    <w:rsid w:val="00026CBF"/>
    <w:rsid w:val="00026D41"/>
    <w:rsid w:val="00026E53"/>
    <w:rsid w:val="00026EA3"/>
    <w:rsid w:val="00026EDA"/>
    <w:rsid w:val="00026F90"/>
    <w:rsid w:val="00026F9C"/>
    <w:rsid w:val="00027357"/>
    <w:rsid w:val="0002738C"/>
    <w:rsid w:val="000273E2"/>
    <w:rsid w:val="000273FF"/>
    <w:rsid w:val="0002743F"/>
    <w:rsid w:val="000274ED"/>
    <w:rsid w:val="00027530"/>
    <w:rsid w:val="00027601"/>
    <w:rsid w:val="000276A9"/>
    <w:rsid w:val="00027710"/>
    <w:rsid w:val="00027743"/>
    <w:rsid w:val="000279BF"/>
    <w:rsid w:val="00027C16"/>
    <w:rsid w:val="00027D9A"/>
    <w:rsid w:val="00027E90"/>
    <w:rsid w:val="00027F65"/>
    <w:rsid w:val="0002882F"/>
    <w:rsid w:val="000300B5"/>
    <w:rsid w:val="000300C3"/>
    <w:rsid w:val="0003038A"/>
    <w:rsid w:val="000303A0"/>
    <w:rsid w:val="00030442"/>
    <w:rsid w:val="0003048A"/>
    <w:rsid w:val="00030575"/>
    <w:rsid w:val="00030583"/>
    <w:rsid w:val="000305C8"/>
    <w:rsid w:val="0003060F"/>
    <w:rsid w:val="0003065B"/>
    <w:rsid w:val="000306A5"/>
    <w:rsid w:val="000306E5"/>
    <w:rsid w:val="000306ED"/>
    <w:rsid w:val="00030774"/>
    <w:rsid w:val="0003077A"/>
    <w:rsid w:val="00030864"/>
    <w:rsid w:val="0003086D"/>
    <w:rsid w:val="0003088D"/>
    <w:rsid w:val="000308F0"/>
    <w:rsid w:val="00030991"/>
    <w:rsid w:val="00030A8E"/>
    <w:rsid w:val="00030B67"/>
    <w:rsid w:val="00030BC5"/>
    <w:rsid w:val="00030C08"/>
    <w:rsid w:val="00030CE7"/>
    <w:rsid w:val="00030D59"/>
    <w:rsid w:val="00030D67"/>
    <w:rsid w:val="00030E69"/>
    <w:rsid w:val="00030E72"/>
    <w:rsid w:val="00030F34"/>
    <w:rsid w:val="00031003"/>
    <w:rsid w:val="0003109B"/>
    <w:rsid w:val="000310A1"/>
    <w:rsid w:val="000310AC"/>
    <w:rsid w:val="00031117"/>
    <w:rsid w:val="00031138"/>
    <w:rsid w:val="0003133D"/>
    <w:rsid w:val="0003138B"/>
    <w:rsid w:val="000315CA"/>
    <w:rsid w:val="000315EB"/>
    <w:rsid w:val="000316BF"/>
    <w:rsid w:val="00031819"/>
    <w:rsid w:val="00031853"/>
    <w:rsid w:val="00031944"/>
    <w:rsid w:val="00031B19"/>
    <w:rsid w:val="00031B33"/>
    <w:rsid w:val="00031B8C"/>
    <w:rsid w:val="00031BA7"/>
    <w:rsid w:val="00031BC6"/>
    <w:rsid w:val="00031BF0"/>
    <w:rsid w:val="00031C23"/>
    <w:rsid w:val="00031C3F"/>
    <w:rsid w:val="00031CA6"/>
    <w:rsid w:val="00031CF9"/>
    <w:rsid w:val="00031DB4"/>
    <w:rsid w:val="00031EFF"/>
    <w:rsid w:val="00032021"/>
    <w:rsid w:val="00032036"/>
    <w:rsid w:val="00032207"/>
    <w:rsid w:val="000322E5"/>
    <w:rsid w:val="00032453"/>
    <w:rsid w:val="0003251A"/>
    <w:rsid w:val="0003251E"/>
    <w:rsid w:val="00032573"/>
    <w:rsid w:val="000325AE"/>
    <w:rsid w:val="00032614"/>
    <w:rsid w:val="00032650"/>
    <w:rsid w:val="00032820"/>
    <w:rsid w:val="000328B1"/>
    <w:rsid w:val="00032951"/>
    <w:rsid w:val="00032965"/>
    <w:rsid w:val="00032975"/>
    <w:rsid w:val="00032A52"/>
    <w:rsid w:val="00032B83"/>
    <w:rsid w:val="00032B9D"/>
    <w:rsid w:val="00032BC8"/>
    <w:rsid w:val="00032BE8"/>
    <w:rsid w:val="00032CA1"/>
    <w:rsid w:val="00032CE3"/>
    <w:rsid w:val="00032DED"/>
    <w:rsid w:val="00032E10"/>
    <w:rsid w:val="00032E31"/>
    <w:rsid w:val="0003352F"/>
    <w:rsid w:val="00033591"/>
    <w:rsid w:val="00033640"/>
    <w:rsid w:val="0003376B"/>
    <w:rsid w:val="000337F4"/>
    <w:rsid w:val="0003383E"/>
    <w:rsid w:val="0003391A"/>
    <w:rsid w:val="0003393B"/>
    <w:rsid w:val="000339B5"/>
    <w:rsid w:val="000339E4"/>
    <w:rsid w:val="00033A36"/>
    <w:rsid w:val="00033CEF"/>
    <w:rsid w:val="00033D2F"/>
    <w:rsid w:val="00033DEB"/>
    <w:rsid w:val="00033E27"/>
    <w:rsid w:val="00033F7B"/>
    <w:rsid w:val="000340C5"/>
    <w:rsid w:val="00034196"/>
    <w:rsid w:val="000342F2"/>
    <w:rsid w:val="00034362"/>
    <w:rsid w:val="000343F5"/>
    <w:rsid w:val="0003447F"/>
    <w:rsid w:val="000345AF"/>
    <w:rsid w:val="0003462C"/>
    <w:rsid w:val="0003468B"/>
    <w:rsid w:val="000346AB"/>
    <w:rsid w:val="0003471C"/>
    <w:rsid w:val="00034773"/>
    <w:rsid w:val="0003494A"/>
    <w:rsid w:val="00034A33"/>
    <w:rsid w:val="00034A56"/>
    <w:rsid w:val="00034B0D"/>
    <w:rsid w:val="00034BB4"/>
    <w:rsid w:val="00034BDF"/>
    <w:rsid w:val="00034BFF"/>
    <w:rsid w:val="00034C30"/>
    <w:rsid w:val="00034C59"/>
    <w:rsid w:val="00034CCA"/>
    <w:rsid w:val="00034CCE"/>
    <w:rsid w:val="00034E50"/>
    <w:rsid w:val="00034F00"/>
    <w:rsid w:val="00034F91"/>
    <w:rsid w:val="000350C2"/>
    <w:rsid w:val="00035167"/>
    <w:rsid w:val="000354A6"/>
    <w:rsid w:val="000354E3"/>
    <w:rsid w:val="00035593"/>
    <w:rsid w:val="00035748"/>
    <w:rsid w:val="000357EC"/>
    <w:rsid w:val="00035864"/>
    <w:rsid w:val="000358DF"/>
    <w:rsid w:val="00035A08"/>
    <w:rsid w:val="00035A3C"/>
    <w:rsid w:val="00035A6D"/>
    <w:rsid w:val="00035A84"/>
    <w:rsid w:val="00035AA9"/>
    <w:rsid w:val="00035B5C"/>
    <w:rsid w:val="00035E67"/>
    <w:rsid w:val="00035ED9"/>
    <w:rsid w:val="00035F0E"/>
    <w:rsid w:val="00035F3E"/>
    <w:rsid w:val="00036005"/>
    <w:rsid w:val="000361DB"/>
    <w:rsid w:val="00036228"/>
    <w:rsid w:val="0003624C"/>
    <w:rsid w:val="0003628A"/>
    <w:rsid w:val="00036406"/>
    <w:rsid w:val="0003660D"/>
    <w:rsid w:val="0003674D"/>
    <w:rsid w:val="00036793"/>
    <w:rsid w:val="00036818"/>
    <w:rsid w:val="00036843"/>
    <w:rsid w:val="00036857"/>
    <w:rsid w:val="000368FC"/>
    <w:rsid w:val="00036902"/>
    <w:rsid w:val="0003690D"/>
    <w:rsid w:val="00036AA8"/>
    <w:rsid w:val="00036AED"/>
    <w:rsid w:val="00036CFC"/>
    <w:rsid w:val="00036DEE"/>
    <w:rsid w:val="00036DF9"/>
    <w:rsid w:val="00036E82"/>
    <w:rsid w:val="00036F18"/>
    <w:rsid w:val="00036F61"/>
    <w:rsid w:val="00037036"/>
    <w:rsid w:val="0003707E"/>
    <w:rsid w:val="000370E2"/>
    <w:rsid w:val="00037317"/>
    <w:rsid w:val="000373BE"/>
    <w:rsid w:val="000373DB"/>
    <w:rsid w:val="00037442"/>
    <w:rsid w:val="0003746A"/>
    <w:rsid w:val="0003768F"/>
    <w:rsid w:val="000376B2"/>
    <w:rsid w:val="0003770B"/>
    <w:rsid w:val="000377FE"/>
    <w:rsid w:val="00037863"/>
    <w:rsid w:val="0003794A"/>
    <w:rsid w:val="00037B2E"/>
    <w:rsid w:val="00037CA5"/>
    <w:rsid w:val="00037CE7"/>
    <w:rsid w:val="00037E20"/>
    <w:rsid w:val="00037ECD"/>
    <w:rsid w:val="00037FAC"/>
    <w:rsid w:val="0004019F"/>
    <w:rsid w:val="000401D8"/>
    <w:rsid w:val="00040318"/>
    <w:rsid w:val="000403DB"/>
    <w:rsid w:val="00040472"/>
    <w:rsid w:val="000404AE"/>
    <w:rsid w:val="00040597"/>
    <w:rsid w:val="0004059F"/>
    <w:rsid w:val="000405AD"/>
    <w:rsid w:val="00040775"/>
    <w:rsid w:val="000407C3"/>
    <w:rsid w:val="000407D6"/>
    <w:rsid w:val="000408A3"/>
    <w:rsid w:val="000408DA"/>
    <w:rsid w:val="0004092C"/>
    <w:rsid w:val="00040A89"/>
    <w:rsid w:val="00040AA5"/>
    <w:rsid w:val="00040F3E"/>
    <w:rsid w:val="0004108E"/>
    <w:rsid w:val="00041094"/>
    <w:rsid w:val="0004112F"/>
    <w:rsid w:val="000412E2"/>
    <w:rsid w:val="00041360"/>
    <w:rsid w:val="0004157F"/>
    <w:rsid w:val="000415D4"/>
    <w:rsid w:val="00041737"/>
    <w:rsid w:val="00041747"/>
    <w:rsid w:val="00041878"/>
    <w:rsid w:val="000418D9"/>
    <w:rsid w:val="00041904"/>
    <w:rsid w:val="000419C3"/>
    <w:rsid w:val="00041A18"/>
    <w:rsid w:val="00041B46"/>
    <w:rsid w:val="00041CDC"/>
    <w:rsid w:val="00041D0F"/>
    <w:rsid w:val="00041D1D"/>
    <w:rsid w:val="00041D85"/>
    <w:rsid w:val="00041E3F"/>
    <w:rsid w:val="00041F60"/>
    <w:rsid w:val="00041F8B"/>
    <w:rsid w:val="00041FF9"/>
    <w:rsid w:val="000420CB"/>
    <w:rsid w:val="0004222E"/>
    <w:rsid w:val="00042395"/>
    <w:rsid w:val="0004239B"/>
    <w:rsid w:val="00042409"/>
    <w:rsid w:val="00042410"/>
    <w:rsid w:val="000424D2"/>
    <w:rsid w:val="000424E7"/>
    <w:rsid w:val="000425AA"/>
    <w:rsid w:val="0004264D"/>
    <w:rsid w:val="0004270B"/>
    <w:rsid w:val="0004276C"/>
    <w:rsid w:val="00042838"/>
    <w:rsid w:val="00042A0F"/>
    <w:rsid w:val="00042A49"/>
    <w:rsid w:val="00042AE2"/>
    <w:rsid w:val="00042B18"/>
    <w:rsid w:val="00042B20"/>
    <w:rsid w:val="00042BCD"/>
    <w:rsid w:val="00042BF2"/>
    <w:rsid w:val="00042BF3"/>
    <w:rsid w:val="00042CC2"/>
    <w:rsid w:val="00042D23"/>
    <w:rsid w:val="00042D60"/>
    <w:rsid w:val="00042DE7"/>
    <w:rsid w:val="00042EE5"/>
    <w:rsid w:val="00042FA5"/>
    <w:rsid w:val="0004307C"/>
    <w:rsid w:val="000430C9"/>
    <w:rsid w:val="000430DD"/>
    <w:rsid w:val="0004311A"/>
    <w:rsid w:val="00043199"/>
    <w:rsid w:val="000431AC"/>
    <w:rsid w:val="000431FA"/>
    <w:rsid w:val="00043205"/>
    <w:rsid w:val="0004320E"/>
    <w:rsid w:val="000433BF"/>
    <w:rsid w:val="00043587"/>
    <w:rsid w:val="000435B9"/>
    <w:rsid w:val="00043651"/>
    <w:rsid w:val="00043679"/>
    <w:rsid w:val="000436C6"/>
    <w:rsid w:val="000436FC"/>
    <w:rsid w:val="00043807"/>
    <w:rsid w:val="00043AA2"/>
    <w:rsid w:val="00043B0B"/>
    <w:rsid w:val="00043B18"/>
    <w:rsid w:val="00043C8F"/>
    <w:rsid w:val="00043D30"/>
    <w:rsid w:val="00043D43"/>
    <w:rsid w:val="00043DAA"/>
    <w:rsid w:val="00043EE8"/>
    <w:rsid w:val="00043F35"/>
    <w:rsid w:val="000441C9"/>
    <w:rsid w:val="00044241"/>
    <w:rsid w:val="00044355"/>
    <w:rsid w:val="000443F3"/>
    <w:rsid w:val="000444D0"/>
    <w:rsid w:val="0004474F"/>
    <w:rsid w:val="00044785"/>
    <w:rsid w:val="0004483B"/>
    <w:rsid w:val="00044AFC"/>
    <w:rsid w:val="00044B6E"/>
    <w:rsid w:val="00044BFB"/>
    <w:rsid w:val="00044C3A"/>
    <w:rsid w:val="00044CB8"/>
    <w:rsid w:val="00044CD0"/>
    <w:rsid w:val="00044D6A"/>
    <w:rsid w:val="00044D73"/>
    <w:rsid w:val="00044E12"/>
    <w:rsid w:val="00044F86"/>
    <w:rsid w:val="00045030"/>
    <w:rsid w:val="000450B3"/>
    <w:rsid w:val="00045276"/>
    <w:rsid w:val="000452C8"/>
    <w:rsid w:val="0004557B"/>
    <w:rsid w:val="0004569F"/>
    <w:rsid w:val="00045712"/>
    <w:rsid w:val="00045752"/>
    <w:rsid w:val="00045794"/>
    <w:rsid w:val="000457B5"/>
    <w:rsid w:val="000457EA"/>
    <w:rsid w:val="0004586D"/>
    <w:rsid w:val="00045A1A"/>
    <w:rsid w:val="00045A66"/>
    <w:rsid w:val="00045AA9"/>
    <w:rsid w:val="00045BFD"/>
    <w:rsid w:val="00045C2B"/>
    <w:rsid w:val="00045CEC"/>
    <w:rsid w:val="00045E0C"/>
    <w:rsid w:val="00045E9A"/>
    <w:rsid w:val="00045F27"/>
    <w:rsid w:val="0004606A"/>
    <w:rsid w:val="000460C2"/>
    <w:rsid w:val="00046107"/>
    <w:rsid w:val="00046113"/>
    <w:rsid w:val="00046120"/>
    <w:rsid w:val="00046191"/>
    <w:rsid w:val="000464C7"/>
    <w:rsid w:val="00046618"/>
    <w:rsid w:val="0004663D"/>
    <w:rsid w:val="00046804"/>
    <w:rsid w:val="00046905"/>
    <w:rsid w:val="0004696D"/>
    <w:rsid w:val="00046AAA"/>
    <w:rsid w:val="00046AFC"/>
    <w:rsid w:val="00046BF6"/>
    <w:rsid w:val="00046E43"/>
    <w:rsid w:val="00046F53"/>
    <w:rsid w:val="00046F8B"/>
    <w:rsid w:val="00046FF3"/>
    <w:rsid w:val="000470F0"/>
    <w:rsid w:val="00047185"/>
    <w:rsid w:val="00047247"/>
    <w:rsid w:val="00047295"/>
    <w:rsid w:val="0004730E"/>
    <w:rsid w:val="0004736C"/>
    <w:rsid w:val="000473C1"/>
    <w:rsid w:val="000474E0"/>
    <w:rsid w:val="000474E1"/>
    <w:rsid w:val="000475D0"/>
    <w:rsid w:val="00047658"/>
    <w:rsid w:val="0004766F"/>
    <w:rsid w:val="000476D4"/>
    <w:rsid w:val="00047700"/>
    <w:rsid w:val="0004782C"/>
    <w:rsid w:val="000478BE"/>
    <w:rsid w:val="00047916"/>
    <w:rsid w:val="0004795C"/>
    <w:rsid w:val="00047BC1"/>
    <w:rsid w:val="00047CC1"/>
    <w:rsid w:val="00047DAB"/>
    <w:rsid w:val="00047E8F"/>
    <w:rsid w:val="00047EC0"/>
    <w:rsid w:val="00047EEB"/>
    <w:rsid w:val="00047EFF"/>
    <w:rsid w:val="00047F0B"/>
    <w:rsid w:val="00047FD4"/>
    <w:rsid w:val="00050004"/>
    <w:rsid w:val="00050076"/>
    <w:rsid w:val="000500B6"/>
    <w:rsid w:val="000501C1"/>
    <w:rsid w:val="000501E2"/>
    <w:rsid w:val="00050204"/>
    <w:rsid w:val="000502D5"/>
    <w:rsid w:val="0005039D"/>
    <w:rsid w:val="00050487"/>
    <w:rsid w:val="00050491"/>
    <w:rsid w:val="0005051A"/>
    <w:rsid w:val="00050598"/>
    <w:rsid w:val="0005068F"/>
    <w:rsid w:val="00050967"/>
    <w:rsid w:val="000509C8"/>
    <w:rsid w:val="00050B5D"/>
    <w:rsid w:val="00050C99"/>
    <w:rsid w:val="00050DC3"/>
    <w:rsid w:val="00050EB8"/>
    <w:rsid w:val="00050EC1"/>
    <w:rsid w:val="00050EDA"/>
    <w:rsid w:val="00050F68"/>
    <w:rsid w:val="00050FB2"/>
    <w:rsid w:val="00051000"/>
    <w:rsid w:val="00051058"/>
    <w:rsid w:val="000511F7"/>
    <w:rsid w:val="00051283"/>
    <w:rsid w:val="000513DA"/>
    <w:rsid w:val="000514B4"/>
    <w:rsid w:val="0005157F"/>
    <w:rsid w:val="000516BC"/>
    <w:rsid w:val="000516C6"/>
    <w:rsid w:val="00051705"/>
    <w:rsid w:val="0005179B"/>
    <w:rsid w:val="00051881"/>
    <w:rsid w:val="00051917"/>
    <w:rsid w:val="00051951"/>
    <w:rsid w:val="00051A17"/>
    <w:rsid w:val="00051A49"/>
    <w:rsid w:val="00051CFF"/>
    <w:rsid w:val="00051E99"/>
    <w:rsid w:val="00051EC2"/>
    <w:rsid w:val="00051EED"/>
    <w:rsid w:val="000520F7"/>
    <w:rsid w:val="00052182"/>
    <w:rsid w:val="000521AF"/>
    <w:rsid w:val="000522FD"/>
    <w:rsid w:val="00052487"/>
    <w:rsid w:val="0005253A"/>
    <w:rsid w:val="00052717"/>
    <w:rsid w:val="0005271E"/>
    <w:rsid w:val="000527F9"/>
    <w:rsid w:val="00052804"/>
    <w:rsid w:val="000528FA"/>
    <w:rsid w:val="00052907"/>
    <w:rsid w:val="00052977"/>
    <w:rsid w:val="0005297E"/>
    <w:rsid w:val="000529A2"/>
    <w:rsid w:val="00052A2C"/>
    <w:rsid w:val="00052B3C"/>
    <w:rsid w:val="00052B4E"/>
    <w:rsid w:val="00052E14"/>
    <w:rsid w:val="00052E5A"/>
    <w:rsid w:val="00052F74"/>
    <w:rsid w:val="00052FFC"/>
    <w:rsid w:val="000530C3"/>
    <w:rsid w:val="0005319E"/>
    <w:rsid w:val="00053297"/>
    <w:rsid w:val="000532C4"/>
    <w:rsid w:val="00053378"/>
    <w:rsid w:val="0005341D"/>
    <w:rsid w:val="00053530"/>
    <w:rsid w:val="0005399E"/>
    <w:rsid w:val="00053B06"/>
    <w:rsid w:val="00053B5F"/>
    <w:rsid w:val="00053B79"/>
    <w:rsid w:val="00053D88"/>
    <w:rsid w:val="00053E16"/>
    <w:rsid w:val="00053EC7"/>
    <w:rsid w:val="00053F5D"/>
    <w:rsid w:val="000540EE"/>
    <w:rsid w:val="00054151"/>
    <w:rsid w:val="00054185"/>
    <w:rsid w:val="000542A3"/>
    <w:rsid w:val="000542F1"/>
    <w:rsid w:val="000542F8"/>
    <w:rsid w:val="0005430F"/>
    <w:rsid w:val="00054310"/>
    <w:rsid w:val="000543C6"/>
    <w:rsid w:val="0005445B"/>
    <w:rsid w:val="00054582"/>
    <w:rsid w:val="000545B1"/>
    <w:rsid w:val="0005464F"/>
    <w:rsid w:val="000546BC"/>
    <w:rsid w:val="000546C5"/>
    <w:rsid w:val="0005471E"/>
    <w:rsid w:val="0005485D"/>
    <w:rsid w:val="00054879"/>
    <w:rsid w:val="000549F7"/>
    <w:rsid w:val="00054A75"/>
    <w:rsid w:val="00054A9B"/>
    <w:rsid w:val="00054AF0"/>
    <w:rsid w:val="00054B23"/>
    <w:rsid w:val="00054C8A"/>
    <w:rsid w:val="00054CE4"/>
    <w:rsid w:val="00054D31"/>
    <w:rsid w:val="00054DCB"/>
    <w:rsid w:val="00054DDC"/>
    <w:rsid w:val="00054E86"/>
    <w:rsid w:val="00054EFC"/>
    <w:rsid w:val="00054F49"/>
    <w:rsid w:val="00054F7B"/>
    <w:rsid w:val="00054FD3"/>
    <w:rsid w:val="0005503B"/>
    <w:rsid w:val="000550AB"/>
    <w:rsid w:val="0005513F"/>
    <w:rsid w:val="00055154"/>
    <w:rsid w:val="000552A1"/>
    <w:rsid w:val="00055512"/>
    <w:rsid w:val="00055563"/>
    <w:rsid w:val="00055565"/>
    <w:rsid w:val="00055649"/>
    <w:rsid w:val="000556A1"/>
    <w:rsid w:val="000556A4"/>
    <w:rsid w:val="000557C2"/>
    <w:rsid w:val="00055863"/>
    <w:rsid w:val="00055979"/>
    <w:rsid w:val="00055A72"/>
    <w:rsid w:val="00055AB6"/>
    <w:rsid w:val="00055ACF"/>
    <w:rsid w:val="00055E53"/>
    <w:rsid w:val="00056003"/>
    <w:rsid w:val="00056216"/>
    <w:rsid w:val="0005624F"/>
    <w:rsid w:val="00056263"/>
    <w:rsid w:val="00056300"/>
    <w:rsid w:val="0005634A"/>
    <w:rsid w:val="00056364"/>
    <w:rsid w:val="000564AD"/>
    <w:rsid w:val="00056549"/>
    <w:rsid w:val="00056569"/>
    <w:rsid w:val="0005667C"/>
    <w:rsid w:val="00056680"/>
    <w:rsid w:val="0005670C"/>
    <w:rsid w:val="00056763"/>
    <w:rsid w:val="000567FB"/>
    <w:rsid w:val="00056845"/>
    <w:rsid w:val="000568DC"/>
    <w:rsid w:val="000569C4"/>
    <w:rsid w:val="00056CE1"/>
    <w:rsid w:val="00056CE6"/>
    <w:rsid w:val="00056E0E"/>
    <w:rsid w:val="00056E2D"/>
    <w:rsid w:val="00056E37"/>
    <w:rsid w:val="00056F32"/>
    <w:rsid w:val="00056F9E"/>
    <w:rsid w:val="0005725D"/>
    <w:rsid w:val="0005746F"/>
    <w:rsid w:val="000574DA"/>
    <w:rsid w:val="000575EB"/>
    <w:rsid w:val="00057672"/>
    <w:rsid w:val="00057792"/>
    <w:rsid w:val="00057884"/>
    <w:rsid w:val="000579EF"/>
    <w:rsid w:val="00057AED"/>
    <w:rsid w:val="00057C35"/>
    <w:rsid w:val="00057C7B"/>
    <w:rsid w:val="00057D19"/>
    <w:rsid w:val="00057E23"/>
    <w:rsid w:val="00057E89"/>
    <w:rsid w:val="00057EEA"/>
    <w:rsid w:val="00057FF5"/>
    <w:rsid w:val="00060021"/>
    <w:rsid w:val="000600E4"/>
    <w:rsid w:val="000601E4"/>
    <w:rsid w:val="0006020E"/>
    <w:rsid w:val="0006037D"/>
    <w:rsid w:val="00060389"/>
    <w:rsid w:val="000604FE"/>
    <w:rsid w:val="00060577"/>
    <w:rsid w:val="00060593"/>
    <w:rsid w:val="000605E8"/>
    <w:rsid w:val="00060647"/>
    <w:rsid w:val="000606C8"/>
    <w:rsid w:val="0006093E"/>
    <w:rsid w:val="00060A1A"/>
    <w:rsid w:val="00060A79"/>
    <w:rsid w:val="00060A83"/>
    <w:rsid w:val="00060BA0"/>
    <w:rsid w:val="00060BC8"/>
    <w:rsid w:val="00060BCC"/>
    <w:rsid w:val="00060C52"/>
    <w:rsid w:val="00060C78"/>
    <w:rsid w:val="00060E29"/>
    <w:rsid w:val="00060E35"/>
    <w:rsid w:val="00060E89"/>
    <w:rsid w:val="00060EBD"/>
    <w:rsid w:val="00060F41"/>
    <w:rsid w:val="00060F92"/>
    <w:rsid w:val="00061056"/>
    <w:rsid w:val="00061143"/>
    <w:rsid w:val="00061159"/>
    <w:rsid w:val="000611BD"/>
    <w:rsid w:val="00061243"/>
    <w:rsid w:val="00061256"/>
    <w:rsid w:val="00061398"/>
    <w:rsid w:val="000613EC"/>
    <w:rsid w:val="00061548"/>
    <w:rsid w:val="000616FE"/>
    <w:rsid w:val="00061799"/>
    <w:rsid w:val="000617FB"/>
    <w:rsid w:val="00061959"/>
    <w:rsid w:val="000619E7"/>
    <w:rsid w:val="00061BE0"/>
    <w:rsid w:val="00061C7A"/>
    <w:rsid w:val="00061C9D"/>
    <w:rsid w:val="00061E5C"/>
    <w:rsid w:val="00061F17"/>
    <w:rsid w:val="00061FD2"/>
    <w:rsid w:val="00061FD7"/>
    <w:rsid w:val="000620DD"/>
    <w:rsid w:val="00062146"/>
    <w:rsid w:val="00062180"/>
    <w:rsid w:val="000621E5"/>
    <w:rsid w:val="00062267"/>
    <w:rsid w:val="00062322"/>
    <w:rsid w:val="00062457"/>
    <w:rsid w:val="000624CE"/>
    <w:rsid w:val="000624D1"/>
    <w:rsid w:val="000625F9"/>
    <w:rsid w:val="00062A39"/>
    <w:rsid w:val="00062A9B"/>
    <w:rsid w:val="00062B48"/>
    <w:rsid w:val="00062BFD"/>
    <w:rsid w:val="00062CC9"/>
    <w:rsid w:val="00062CF0"/>
    <w:rsid w:val="00062D1D"/>
    <w:rsid w:val="00062E80"/>
    <w:rsid w:val="00062F5C"/>
    <w:rsid w:val="00062FFF"/>
    <w:rsid w:val="000630C6"/>
    <w:rsid w:val="000631D1"/>
    <w:rsid w:val="00063344"/>
    <w:rsid w:val="0006338C"/>
    <w:rsid w:val="000633F9"/>
    <w:rsid w:val="00063432"/>
    <w:rsid w:val="000634EA"/>
    <w:rsid w:val="000634FC"/>
    <w:rsid w:val="00063526"/>
    <w:rsid w:val="000637F7"/>
    <w:rsid w:val="00063807"/>
    <w:rsid w:val="000638AB"/>
    <w:rsid w:val="00063905"/>
    <w:rsid w:val="0006392F"/>
    <w:rsid w:val="00063999"/>
    <w:rsid w:val="00063AB5"/>
    <w:rsid w:val="00063B6B"/>
    <w:rsid w:val="00063B9E"/>
    <w:rsid w:val="00063DAC"/>
    <w:rsid w:val="00063E08"/>
    <w:rsid w:val="00063F7A"/>
    <w:rsid w:val="0006411B"/>
    <w:rsid w:val="00064124"/>
    <w:rsid w:val="0006413E"/>
    <w:rsid w:val="000641E6"/>
    <w:rsid w:val="000642AD"/>
    <w:rsid w:val="000643B1"/>
    <w:rsid w:val="000644D2"/>
    <w:rsid w:val="000645C8"/>
    <w:rsid w:val="00064651"/>
    <w:rsid w:val="00064735"/>
    <w:rsid w:val="000648C5"/>
    <w:rsid w:val="000648FB"/>
    <w:rsid w:val="00064B65"/>
    <w:rsid w:val="00064CED"/>
    <w:rsid w:val="00064D6B"/>
    <w:rsid w:val="00064E2E"/>
    <w:rsid w:val="00064F31"/>
    <w:rsid w:val="00064F3E"/>
    <w:rsid w:val="00064FB6"/>
    <w:rsid w:val="00064FDD"/>
    <w:rsid w:val="00065234"/>
    <w:rsid w:val="0006526A"/>
    <w:rsid w:val="00065277"/>
    <w:rsid w:val="000652A5"/>
    <w:rsid w:val="000653B7"/>
    <w:rsid w:val="000653C1"/>
    <w:rsid w:val="000654BB"/>
    <w:rsid w:val="00065771"/>
    <w:rsid w:val="000657BB"/>
    <w:rsid w:val="00065B50"/>
    <w:rsid w:val="00065B98"/>
    <w:rsid w:val="00065C85"/>
    <w:rsid w:val="00065CA2"/>
    <w:rsid w:val="00065DAF"/>
    <w:rsid w:val="00065E31"/>
    <w:rsid w:val="00065EB4"/>
    <w:rsid w:val="00065F32"/>
    <w:rsid w:val="000661D2"/>
    <w:rsid w:val="00066304"/>
    <w:rsid w:val="00066393"/>
    <w:rsid w:val="00066399"/>
    <w:rsid w:val="00066424"/>
    <w:rsid w:val="000664B5"/>
    <w:rsid w:val="0006665F"/>
    <w:rsid w:val="000666DF"/>
    <w:rsid w:val="000666E9"/>
    <w:rsid w:val="00066809"/>
    <w:rsid w:val="0006683A"/>
    <w:rsid w:val="000668D2"/>
    <w:rsid w:val="00066912"/>
    <w:rsid w:val="00066A0B"/>
    <w:rsid w:val="00066A55"/>
    <w:rsid w:val="00066B4B"/>
    <w:rsid w:val="00066C4C"/>
    <w:rsid w:val="00066CF1"/>
    <w:rsid w:val="00066D37"/>
    <w:rsid w:val="00066D3A"/>
    <w:rsid w:val="00066D8E"/>
    <w:rsid w:val="00066EFC"/>
    <w:rsid w:val="00066F61"/>
    <w:rsid w:val="00066F76"/>
    <w:rsid w:val="00066FC2"/>
    <w:rsid w:val="00066FC7"/>
    <w:rsid w:val="00067083"/>
    <w:rsid w:val="000670C3"/>
    <w:rsid w:val="00067117"/>
    <w:rsid w:val="000671D5"/>
    <w:rsid w:val="00067536"/>
    <w:rsid w:val="000676B7"/>
    <w:rsid w:val="00067713"/>
    <w:rsid w:val="00067730"/>
    <w:rsid w:val="00067826"/>
    <w:rsid w:val="000678AA"/>
    <w:rsid w:val="000678B4"/>
    <w:rsid w:val="00067A1B"/>
    <w:rsid w:val="00067B7E"/>
    <w:rsid w:val="00067CDC"/>
    <w:rsid w:val="00067D77"/>
    <w:rsid w:val="00067DC3"/>
    <w:rsid w:val="000700D8"/>
    <w:rsid w:val="000700ED"/>
    <w:rsid w:val="00070122"/>
    <w:rsid w:val="0007012F"/>
    <w:rsid w:val="00070177"/>
    <w:rsid w:val="00070225"/>
    <w:rsid w:val="0007034A"/>
    <w:rsid w:val="000703C2"/>
    <w:rsid w:val="000704A8"/>
    <w:rsid w:val="00070549"/>
    <w:rsid w:val="0007060D"/>
    <w:rsid w:val="0007064C"/>
    <w:rsid w:val="000706CF"/>
    <w:rsid w:val="000707DE"/>
    <w:rsid w:val="000707EF"/>
    <w:rsid w:val="000708F6"/>
    <w:rsid w:val="00070A00"/>
    <w:rsid w:val="00070A9B"/>
    <w:rsid w:val="00070CDD"/>
    <w:rsid w:val="00070D57"/>
    <w:rsid w:val="00070D96"/>
    <w:rsid w:val="00070F2F"/>
    <w:rsid w:val="00070F47"/>
    <w:rsid w:val="00070FC0"/>
    <w:rsid w:val="0007102D"/>
    <w:rsid w:val="000711FC"/>
    <w:rsid w:val="00071251"/>
    <w:rsid w:val="0007128C"/>
    <w:rsid w:val="000712AD"/>
    <w:rsid w:val="000713E8"/>
    <w:rsid w:val="0007146C"/>
    <w:rsid w:val="00071478"/>
    <w:rsid w:val="000714BD"/>
    <w:rsid w:val="00071579"/>
    <w:rsid w:val="00071621"/>
    <w:rsid w:val="000716C7"/>
    <w:rsid w:val="00071748"/>
    <w:rsid w:val="00071934"/>
    <w:rsid w:val="000719A4"/>
    <w:rsid w:val="00071A1F"/>
    <w:rsid w:val="00071ADA"/>
    <w:rsid w:val="00071B34"/>
    <w:rsid w:val="00071D96"/>
    <w:rsid w:val="00071E89"/>
    <w:rsid w:val="00071FCC"/>
    <w:rsid w:val="00072050"/>
    <w:rsid w:val="0007208C"/>
    <w:rsid w:val="000722C7"/>
    <w:rsid w:val="000722FD"/>
    <w:rsid w:val="00072346"/>
    <w:rsid w:val="00072476"/>
    <w:rsid w:val="000724BA"/>
    <w:rsid w:val="0007254F"/>
    <w:rsid w:val="000725B5"/>
    <w:rsid w:val="00072603"/>
    <w:rsid w:val="0007269D"/>
    <w:rsid w:val="000726F2"/>
    <w:rsid w:val="00072790"/>
    <w:rsid w:val="000727DA"/>
    <w:rsid w:val="0007288D"/>
    <w:rsid w:val="00072973"/>
    <w:rsid w:val="00072A05"/>
    <w:rsid w:val="00072B2C"/>
    <w:rsid w:val="00072BF1"/>
    <w:rsid w:val="00072D05"/>
    <w:rsid w:val="00072DEE"/>
    <w:rsid w:val="00072E05"/>
    <w:rsid w:val="00072E3A"/>
    <w:rsid w:val="00072F63"/>
    <w:rsid w:val="00072F8C"/>
    <w:rsid w:val="00072F96"/>
    <w:rsid w:val="00073333"/>
    <w:rsid w:val="00073377"/>
    <w:rsid w:val="0007343E"/>
    <w:rsid w:val="000734E6"/>
    <w:rsid w:val="00073614"/>
    <w:rsid w:val="000736D1"/>
    <w:rsid w:val="000736DB"/>
    <w:rsid w:val="00073708"/>
    <w:rsid w:val="0007371E"/>
    <w:rsid w:val="00073839"/>
    <w:rsid w:val="000738ED"/>
    <w:rsid w:val="00073919"/>
    <w:rsid w:val="00073927"/>
    <w:rsid w:val="00073B89"/>
    <w:rsid w:val="00073B9B"/>
    <w:rsid w:val="00073BF6"/>
    <w:rsid w:val="00073C3F"/>
    <w:rsid w:val="00073D26"/>
    <w:rsid w:val="00073D6A"/>
    <w:rsid w:val="00073D6D"/>
    <w:rsid w:val="00073E1A"/>
    <w:rsid w:val="00073E6D"/>
    <w:rsid w:val="00073F55"/>
    <w:rsid w:val="00074014"/>
    <w:rsid w:val="00074042"/>
    <w:rsid w:val="00074071"/>
    <w:rsid w:val="000740AF"/>
    <w:rsid w:val="00074144"/>
    <w:rsid w:val="000741BD"/>
    <w:rsid w:val="00074436"/>
    <w:rsid w:val="00074457"/>
    <w:rsid w:val="00074670"/>
    <w:rsid w:val="000747BE"/>
    <w:rsid w:val="00074842"/>
    <w:rsid w:val="0007486B"/>
    <w:rsid w:val="00074944"/>
    <w:rsid w:val="00074988"/>
    <w:rsid w:val="00074C6B"/>
    <w:rsid w:val="00074CBC"/>
    <w:rsid w:val="00074D5E"/>
    <w:rsid w:val="00074F92"/>
    <w:rsid w:val="00074FA9"/>
    <w:rsid w:val="000751F4"/>
    <w:rsid w:val="0007521F"/>
    <w:rsid w:val="0007525F"/>
    <w:rsid w:val="00075303"/>
    <w:rsid w:val="000753C7"/>
    <w:rsid w:val="00075467"/>
    <w:rsid w:val="0007546C"/>
    <w:rsid w:val="000754A2"/>
    <w:rsid w:val="00075504"/>
    <w:rsid w:val="00075544"/>
    <w:rsid w:val="00075591"/>
    <w:rsid w:val="00075620"/>
    <w:rsid w:val="0007563A"/>
    <w:rsid w:val="00075675"/>
    <w:rsid w:val="000756F5"/>
    <w:rsid w:val="00075769"/>
    <w:rsid w:val="0007578F"/>
    <w:rsid w:val="000757DF"/>
    <w:rsid w:val="000757ED"/>
    <w:rsid w:val="0007591C"/>
    <w:rsid w:val="00075951"/>
    <w:rsid w:val="000759A5"/>
    <w:rsid w:val="00075C2A"/>
    <w:rsid w:val="00075E7D"/>
    <w:rsid w:val="00075F1B"/>
    <w:rsid w:val="00076001"/>
    <w:rsid w:val="000762F8"/>
    <w:rsid w:val="0007631D"/>
    <w:rsid w:val="00076342"/>
    <w:rsid w:val="000763EB"/>
    <w:rsid w:val="00076437"/>
    <w:rsid w:val="0007651D"/>
    <w:rsid w:val="000766CD"/>
    <w:rsid w:val="00076742"/>
    <w:rsid w:val="000768F8"/>
    <w:rsid w:val="00076948"/>
    <w:rsid w:val="000769E0"/>
    <w:rsid w:val="00076C66"/>
    <w:rsid w:val="00076E2C"/>
    <w:rsid w:val="00076EA0"/>
    <w:rsid w:val="00076ECB"/>
    <w:rsid w:val="00077049"/>
    <w:rsid w:val="00077083"/>
    <w:rsid w:val="00077241"/>
    <w:rsid w:val="00077295"/>
    <w:rsid w:val="000772BF"/>
    <w:rsid w:val="0007740C"/>
    <w:rsid w:val="000776E5"/>
    <w:rsid w:val="000777BF"/>
    <w:rsid w:val="00077872"/>
    <w:rsid w:val="000778FC"/>
    <w:rsid w:val="000779A5"/>
    <w:rsid w:val="00077CF7"/>
    <w:rsid w:val="00077DF0"/>
    <w:rsid w:val="00077F18"/>
    <w:rsid w:val="00077FA8"/>
    <w:rsid w:val="000800ED"/>
    <w:rsid w:val="0008011E"/>
    <w:rsid w:val="00080164"/>
    <w:rsid w:val="00080210"/>
    <w:rsid w:val="0008032C"/>
    <w:rsid w:val="0008039B"/>
    <w:rsid w:val="00080424"/>
    <w:rsid w:val="000804C7"/>
    <w:rsid w:val="000804C8"/>
    <w:rsid w:val="000806AE"/>
    <w:rsid w:val="00080741"/>
    <w:rsid w:val="00080965"/>
    <w:rsid w:val="0008096B"/>
    <w:rsid w:val="000809A8"/>
    <w:rsid w:val="00080B94"/>
    <w:rsid w:val="00080C1D"/>
    <w:rsid w:val="00080EA2"/>
    <w:rsid w:val="00080F3E"/>
    <w:rsid w:val="00081184"/>
    <w:rsid w:val="000811AB"/>
    <w:rsid w:val="00081447"/>
    <w:rsid w:val="000814FA"/>
    <w:rsid w:val="00081664"/>
    <w:rsid w:val="000816C7"/>
    <w:rsid w:val="000816FC"/>
    <w:rsid w:val="0008170B"/>
    <w:rsid w:val="0008173C"/>
    <w:rsid w:val="00081784"/>
    <w:rsid w:val="00081802"/>
    <w:rsid w:val="0008189D"/>
    <w:rsid w:val="000818E6"/>
    <w:rsid w:val="000818F3"/>
    <w:rsid w:val="00081920"/>
    <w:rsid w:val="000819A3"/>
    <w:rsid w:val="000819D0"/>
    <w:rsid w:val="00081B0C"/>
    <w:rsid w:val="00081D20"/>
    <w:rsid w:val="00081DEF"/>
    <w:rsid w:val="00081DF6"/>
    <w:rsid w:val="00081E2E"/>
    <w:rsid w:val="00081E91"/>
    <w:rsid w:val="00081F43"/>
    <w:rsid w:val="00081F76"/>
    <w:rsid w:val="00082228"/>
    <w:rsid w:val="000822D5"/>
    <w:rsid w:val="000823A5"/>
    <w:rsid w:val="000823BD"/>
    <w:rsid w:val="000823C6"/>
    <w:rsid w:val="000823CE"/>
    <w:rsid w:val="000823FA"/>
    <w:rsid w:val="0008243B"/>
    <w:rsid w:val="00082492"/>
    <w:rsid w:val="0008255A"/>
    <w:rsid w:val="00082574"/>
    <w:rsid w:val="000825E1"/>
    <w:rsid w:val="00082625"/>
    <w:rsid w:val="00082675"/>
    <w:rsid w:val="000826DB"/>
    <w:rsid w:val="00082776"/>
    <w:rsid w:val="00082799"/>
    <w:rsid w:val="00082859"/>
    <w:rsid w:val="00082986"/>
    <w:rsid w:val="00082A3E"/>
    <w:rsid w:val="00082AAE"/>
    <w:rsid w:val="00082B88"/>
    <w:rsid w:val="00082BB7"/>
    <w:rsid w:val="00082C21"/>
    <w:rsid w:val="00082C71"/>
    <w:rsid w:val="00082C72"/>
    <w:rsid w:val="00082DAA"/>
    <w:rsid w:val="00082E2B"/>
    <w:rsid w:val="00082EC9"/>
    <w:rsid w:val="00082F50"/>
    <w:rsid w:val="00083069"/>
    <w:rsid w:val="00083600"/>
    <w:rsid w:val="00083692"/>
    <w:rsid w:val="000836DF"/>
    <w:rsid w:val="000836EF"/>
    <w:rsid w:val="00083760"/>
    <w:rsid w:val="000837B2"/>
    <w:rsid w:val="00083890"/>
    <w:rsid w:val="000838BF"/>
    <w:rsid w:val="000839F6"/>
    <w:rsid w:val="00083A58"/>
    <w:rsid w:val="00083B06"/>
    <w:rsid w:val="00083D7E"/>
    <w:rsid w:val="00083E43"/>
    <w:rsid w:val="00083E47"/>
    <w:rsid w:val="00083ECA"/>
    <w:rsid w:val="00083F1B"/>
    <w:rsid w:val="0008400B"/>
    <w:rsid w:val="00084046"/>
    <w:rsid w:val="0008406E"/>
    <w:rsid w:val="00084147"/>
    <w:rsid w:val="00084200"/>
    <w:rsid w:val="0008420D"/>
    <w:rsid w:val="00084246"/>
    <w:rsid w:val="0008431F"/>
    <w:rsid w:val="00084327"/>
    <w:rsid w:val="0008449D"/>
    <w:rsid w:val="000844A3"/>
    <w:rsid w:val="0008452F"/>
    <w:rsid w:val="00084550"/>
    <w:rsid w:val="00084578"/>
    <w:rsid w:val="00084641"/>
    <w:rsid w:val="00084645"/>
    <w:rsid w:val="000846A3"/>
    <w:rsid w:val="000846A5"/>
    <w:rsid w:val="000846E2"/>
    <w:rsid w:val="0008480B"/>
    <w:rsid w:val="000849FF"/>
    <w:rsid w:val="00084A21"/>
    <w:rsid w:val="00084A8B"/>
    <w:rsid w:val="00084BC3"/>
    <w:rsid w:val="00084C80"/>
    <w:rsid w:val="00084D1F"/>
    <w:rsid w:val="00084E2F"/>
    <w:rsid w:val="0008503E"/>
    <w:rsid w:val="00085049"/>
    <w:rsid w:val="00085102"/>
    <w:rsid w:val="0008515A"/>
    <w:rsid w:val="0008532C"/>
    <w:rsid w:val="000853AD"/>
    <w:rsid w:val="0008541D"/>
    <w:rsid w:val="00085432"/>
    <w:rsid w:val="000854EB"/>
    <w:rsid w:val="00085517"/>
    <w:rsid w:val="000855A5"/>
    <w:rsid w:val="00085604"/>
    <w:rsid w:val="00085708"/>
    <w:rsid w:val="00085743"/>
    <w:rsid w:val="000859D1"/>
    <w:rsid w:val="00085AF9"/>
    <w:rsid w:val="00085B59"/>
    <w:rsid w:val="00085E35"/>
    <w:rsid w:val="00085E65"/>
    <w:rsid w:val="00085EE9"/>
    <w:rsid w:val="00085F5C"/>
    <w:rsid w:val="000860AE"/>
    <w:rsid w:val="00086138"/>
    <w:rsid w:val="000861F0"/>
    <w:rsid w:val="00086282"/>
    <w:rsid w:val="00086382"/>
    <w:rsid w:val="0008639B"/>
    <w:rsid w:val="000864BC"/>
    <w:rsid w:val="000864DA"/>
    <w:rsid w:val="0008650A"/>
    <w:rsid w:val="0008667B"/>
    <w:rsid w:val="000866AF"/>
    <w:rsid w:val="000866E9"/>
    <w:rsid w:val="0008670D"/>
    <w:rsid w:val="00086917"/>
    <w:rsid w:val="0008699B"/>
    <w:rsid w:val="000869F5"/>
    <w:rsid w:val="00086A6B"/>
    <w:rsid w:val="00086A7D"/>
    <w:rsid w:val="00086A9D"/>
    <w:rsid w:val="00086AE0"/>
    <w:rsid w:val="00086B2A"/>
    <w:rsid w:val="00086C08"/>
    <w:rsid w:val="00086D02"/>
    <w:rsid w:val="00086D2D"/>
    <w:rsid w:val="00086D83"/>
    <w:rsid w:val="00086E24"/>
    <w:rsid w:val="00087198"/>
    <w:rsid w:val="000874A7"/>
    <w:rsid w:val="0008751A"/>
    <w:rsid w:val="00087678"/>
    <w:rsid w:val="000876BF"/>
    <w:rsid w:val="0008777E"/>
    <w:rsid w:val="00087822"/>
    <w:rsid w:val="0008783C"/>
    <w:rsid w:val="000878E7"/>
    <w:rsid w:val="00087945"/>
    <w:rsid w:val="00087960"/>
    <w:rsid w:val="00087963"/>
    <w:rsid w:val="00087A24"/>
    <w:rsid w:val="00087A48"/>
    <w:rsid w:val="00087A7A"/>
    <w:rsid w:val="00087AA3"/>
    <w:rsid w:val="00087B2B"/>
    <w:rsid w:val="00087C10"/>
    <w:rsid w:val="00087C5F"/>
    <w:rsid w:val="00087ED3"/>
    <w:rsid w:val="00087ED4"/>
    <w:rsid w:val="00087EDF"/>
    <w:rsid w:val="00087FAE"/>
    <w:rsid w:val="00090067"/>
    <w:rsid w:val="000900DD"/>
    <w:rsid w:val="00090101"/>
    <w:rsid w:val="00090125"/>
    <w:rsid w:val="0009012E"/>
    <w:rsid w:val="00090336"/>
    <w:rsid w:val="0009033A"/>
    <w:rsid w:val="00090481"/>
    <w:rsid w:val="000904A8"/>
    <w:rsid w:val="0009052F"/>
    <w:rsid w:val="00090576"/>
    <w:rsid w:val="00090598"/>
    <w:rsid w:val="000905DC"/>
    <w:rsid w:val="00090693"/>
    <w:rsid w:val="00090774"/>
    <w:rsid w:val="00090786"/>
    <w:rsid w:val="000907D0"/>
    <w:rsid w:val="000908EF"/>
    <w:rsid w:val="00090900"/>
    <w:rsid w:val="00090954"/>
    <w:rsid w:val="00090B79"/>
    <w:rsid w:val="00090C33"/>
    <w:rsid w:val="00090D53"/>
    <w:rsid w:val="00090E27"/>
    <w:rsid w:val="00090E77"/>
    <w:rsid w:val="00091027"/>
    <w:rsid w:val="000912F3"/>
    <w:rsid w:val="0009139F"/>
    <w:rsid w:val="000913CF"/>
    <w:rsid w:val="00091416"/>
    <w:rsid w:val="000914D2"/>
    <w:rsid w:val="0009153B"/>
    <w:rsid w:val="00091683"/>
    <w:rsid w:val="000916C1"/>
    <w:rsid w:val="0009194E"/>
    <w:rsid w:val="00091BC3"/>
    <w:rsid w:val="00091BDC"/>
    <w:rsid w:val="00091C18"/>
    <w:rsid w:val="00091C7B"/>
    <w:rsid w:val="00091E09"/>
    <w:rsid w:val="00091F42"/>
    <w:rsid w:val="00091F45"/>
    <w:rsid w:val="0009206D"/>
    <w:rsid w:val="000920C6"/>
    <w:rsid w:val="0009213D"/>
    <w:rsid w:val="00092140"/>
    <w:rsid w:val="000923EF"/>
    <w:rsid w:val="000923F6"/>
    <w:rsid w:val="0009240F"/>
    <w:rsid w:val="00092434"/>
    <w:rsid w:val="000924D0"/>
    <w:rsid w:val="0009260A"/>
    <w:rsid w:val="0009279E"/>
    <w:rsid w:val="0009281A"/>
    <w:rsid w:val="0009287B"/>
    <w:rsid w:val="00092924"/>
    <w:rsid w:val="000929D5"/>
    <w:rsid w:val="000929EA"/>
    <w:rsid w:val="00092BA8"/>
    <w:rsid w:val="00092C6F"/>
    <w:rsid w:val="00092C84"/>
    <w:rsid w:val="00092DB0"/>
    <w:rsid w:val="00092E13"/>
    <w:rsid w:val="00092E82"/>
    <w:rsid w:val="00092FFB"/>
    <w:rsid w:val="00093030"/>
    <w:rsid w:val="00093093"/>
    <w:rsid w:val="000930AE"/>
    <w:rsid w:val="00093432"/>
    <w:rsid w:val="00093540"/>
    <w:rsid w:val="00093679"/>
    <w:rsid w:val="00093920"/>
    <w:rsid w:val="00093AC1"/>
    <w:rsid w:val="00093BAC"/>
    <w:rsid w:val="00093BB6"/>
    <w:rsid w:val="00093C1C"/>
    <w:rsid w:val="00093C40"/>
    <w:rsid w:val="00093DB6"/>
    <w:rsid w:val="00093E2D"/>
    <w:rsid w:val="00093E61"/>
    <w:rsid w:val="00093E8F"/>
    <w:rsid w:val="00093F4F"/>
    <w:rsid w:val="00093F55"/>
    <w:rsid w:val="00094043"/>
    <w:rsid w:val="000940E6"/>
    <w:rsid w:val="00094104"/>
    <w:rsid w:val="00094120"/>
    <w:rsid w:val="000942A9"/>
    <w:rsid w:val="0009433C"/>
    <w:rsid w:val="0009442C"/>
    <w:rsid w:val="0009444A"/>
    <w:rsid w:val="000944A6"/>
    <w:rsid w:val="000944E9"/>
    <w:rsid w:val="00094522"/>
    <w:rsid w:val="00094565"/>
    <w:rsid w:val="000946BB"/>
    <w:rsid w:val="000946DB"/>
    <w:rsid w:val="000946FE"/>
    <w:rsid w:val="00094712"/>
    <w:rsid w:val="000948DD"/>
    <w:rsid w:val="000948FA"/>
    <w:rsid w:val="0009494A"/>
    <w:rsid w:val="000949C5"/>
    <w:rsid w:val="00094D64"/>
    <w:rsid w:val="00094DBE"/>
    <w:rsid w:val="00094E92"/>
    <w:rsid w:val="00094F24"/>
    <w:rsid w:val="00094F4E"/>
    <w:rsid w:val="000950BA"/>
    <w:rsid w:val="000950E4"/>
    <w:rsid w:val="00095114"/>
    <w:rsid w:val="00095297"/>
    <w:rsid w:val="00095360"/>
    <w:rsid w:val="000953B4"/>
    <w:rsid w:val="0009541E"/>
    <w:rsid w:val="00095447"/>
    <w:rsid w:val="000954BA"/>
    <w:rsid w:val="0009556E"/>
    <w:rsid w:val="000955FE"/>
    <w:rsid w:val="00095663"/>
    <w:rsid w:val="000956A4"/>
    <w:rsid w:val="000956D1"/>
    <w:rsid w:val="0009571F"/>
    <w:rsid w:val="000958B1"/>
    <w:rsid w:val="00095977"/>
    <w:rsid w:val="00095997"/>
    <w:rsid w:val="00095C59"/>
    <w:rsid w:val="00095C65"/>
    <w:rsid w:val="00095CAD"/>
    <w:rsid w:val="00095D3B"/>
    <w:rsid w:val="00095EC6"/>
    <w:rsid w:val="00095FF5"/>
    <w:rsid w:val="00095FFA"/>
    <w:rsid w:val="000960A2"/>
    <w:rsid w:val="000962AE"/>
    <w:rsid w:val="00096490"/>
    <w:rsid w:val="000964DC"/>
    <w:rsid w:val="00096606"/>
    <w:rsid w:val="00096613"/>
    <w:rsid w:val="0009663D"/>
    <w:rsid w:val="00096661"/>
    <w:rsid w:val="000966F7"/>
    <w:rsid w:val="000967DE"/>
    <w:rsid w:val="000967E5"/>
    <w:rsid w:val="000968C9"/>
    <w:rsid w:val="000968F0"/>
    <w:rsid w:val="00096911"/>
    <w:rsid w:val="00096949"/>
    <w:rsid w:val="00096A04"/>
    <w:rsid w:val="00096A19"/>
    <w:rsid w:val="00096C40"/>
    <w:rsid w:val="00096DDA"/>
    <w:rsid w:val="00096E0C"/>
    <w:rsid w:val="00096E48"/>
    <w:rsid w:val="00096FD5"/>
    <w:rsid w:val="0009703C"/>
    <w:rsid w:val="000972D4"/>
    <w:rsid w:val="0009730B"/>
    <w:rsid w:val="0009751B"/>
    <w:rsid w:val="000975EA"/>
    <w:rsid w:val="00097611"/>
    <w:rsid w:val="0009767D"/>
    <w:rsid w:val="00097839"/>
    <w:rsid w:val="00097884"/>
    <w:rsid w:val="000978DF"/>
    <w:rsid w:val="0009790F"/>
    <w:rsid w:val="00097BF6"/>
    <w:rsid w:val="00097C44"/>
    <w:rsid w:val="00097CAE"/>
    <w:rsid w:val="00097DB3"/>
    <w:rsid w:val="00097DDF"/>
    <w:rsid w:val="00097EC7"/>
    <w:rsid w:val="00097EEE"/>
    <w:rsid w:val="00097FB3"/>
    <w:rsid w:val="000A0039"/>
    <w:rsid w:val="000A00C4"/>
    <w:rsid w:val="000A00D9"/>
    <w:rsid w:val="000A0203"/>
    <w:rsid w:val="000A02B5"/>
    <w:rsid w:val="000A03BA"/>
    <w:rsid w:val="000A057B"/>
    <w:rsid w:val="000A0717"/>
    <w:rsid w:val="000A07CF"/>
    <w:rsid w:val="000A0918"/>
    <w:rsid w:val="000A0A35"/>
    <w:rsid w:val="000A0AB3"/>
    <w:rsid w:val="000A0B5A"/>
    <w:rsid w:val="000A0BDD"/>
    <w:rsid w:val="000A0BF3"/>
    <w:rsid w:val="000A0DF7"/>
    <w:rsid w:val="000A0E1E"/>
    <w:rsid w:val="000A0E3A"/>
    <w:rsid w:val="000A0EF1"/>
    <w:rsid w:val="000A0FAF"/>
    <w:rsid w:val="000A1037"/>
    <w:rsid w:val="000A11E4"/>
    <w:rsid w:val="000A123F"/>
    <w:rsid w:val="000A12EC"/>
    <w:rsid w:val="000A12FF"/>
    <w:rsid w:val="000A1370"/>
    <w:rsid w:val="000A138C"/>
    <w:rsid w:val="000A1429"/>
    <w:rsid w:val="000A1468"/>
    <w:rsid w:val="000A166A"/>
    <w:rsid w:val="000A16B8"/>
    <w:rsid w:val="000A1784"/>
    <w:rsid w:val="000A187B"/>
    <w:rsid w:val="000A18A6"/>
    <w:rsid w:val="000A18DA"/>
    <w:rsid w:val="000A19B4"/>
    <w:rsid w:val="000A19CD"/>
    <w:rsid w:val="000A1B40"/>
    <w:rsid w:val="000A1C9D"/>
    <w:rsid w:val="000A1DF5"/>
    <w:rsid w:val="000A1E8E"/>
    <w:rsid w:val="000A1EF0"/>
    <w:rsid w:val="000A1F50"/>
    <w:rsid w:val="000A1F8F"/>
    <w:rsid w:val="000A1FB1"/>
    <w:rsid w:val="000A2035"/>
    <w:rsid w:val="000A2040"/>
    <w:rsid w:val="000A21C8"/>
    <w:rsid w:val="000A21D4"/>
    <w:rsid w:val="000A2328"/>
    <w:rsid w:val="000A2425"/>
    <w:rsid w:val="000A2490"/>
    <w:rsid w:val="000A24DA"/>
    <w:rsid w:val="000A2562"/>
    <w:rsid w:val="000A2569"/>
    <w:rsid w:val="000A258B"/>
    <w:rsid w:val="000A2684"/>
    <w:rsid w:val="000A2705"/>
    <w:rsid w:val="000A27E2"/>
    <w:rsid w:val="000A27E6"/>
    <w:rsid w:val="000A2816"/>
    <w:rsid w:val="000A2914"/>
    <w:rsid w:val="000A2977"/>
    <w:rsid w:val="000A29D6"/>
    <w:rsid w:val="000A2A21"/>
    <w:rsid w:val="000A2B80"/>
    <w:rsid w:val="000A2C94"/>
    <w:rsid w:val="000A2CE9"/>
    <w:rsid w:val="000A2D1C"/>
    <w:rsid w:val="000A2E34"/>
    <w:rsid w:val="000A2EB3"/>
    <w:rsid w:val="000A2EB6"/>
    <w:rsid w:val="000A2EB7"/>
    <w:rsid w:val="000A2EF1"/>
    <w:rsid w:val="000A2F1C"/>
    <w:rsid w:val="000A2F32"/>
    <w:rsid w:val="000A2F76"/>
    <w:rsid w:val="000A3021"/>
    <w:rsid w:val="000A30D7"/>
    <w:rsid w:val="000A31F5"/>
    <w:rsid w:val="000A32C1"/>
    <w:rsid w:val="000A32E9"/>
    <w:rsid w:val="000A32EB"/>
    <w:rsid w:val="000A3381"/>
    <w:rsid w:val="000A34E2"/>
    <w:rsid w:val="000A353D"/>
    <w:rsid w:val="000A35EE"/>
    <w:rsid w:val="000A37E0"/>
    <w:rsid w:val="000A3903"/>
    <w:rsid w:val="000A3942"/>
    <w:rsid w:val="000A3960"/>
    <w:rsid w:val="000A3A86"/>
    <w:rsid w:val="000A3C97"/>
    <w:rsid w:val="000A3CDF"/>
    <w:rsid w:val="000A3D11"/>
    <w:rsid w:val="000A3DB2"/>
    <w:rsid w:val="000A3DB8"/>
    <w:rsid w:val="000A3DE8"/>
    <w:rsid w:val="000A3F0F"/>
    <w:rsid w:val="000A3FFC"/>
    <w:rsid w:val="000A4036"/>
    <w:rsid w:val="000A4039"/>
    <w:rsid w:val="000A4060"/>
    <w:rsid w:val="000A4194"/>
    <w:rsid w:val="000A420F"/>
    <w:rsid w:val="000A43BA"/>
    <w:rsid w:val="000A4484"/>
    <w:rsid w:val="000A44E4"/>
    <w:rsid w:val="000A4542"/>
    <w:rsid w:val="000A464D"/>
    <w:rsid w:val="000A464F"/>
    <w:rsid w:val="000A4692"/>
    <w:rsid w:val="000A46FF"/>
    <w:rsid w:val="000A472B"/>
    <w:rsid w:val="000A474F"/>
    <w:rsid w:val="000A4772"/>
    <w:rsid w:val="000A4792"/>
    <w:rsid w:val="000A47DE"/>
    <w:rsid w:val="000A47ED"/>
    <w:rsid w:val="000A47EF"/>
    <w:rsid w:val="000A487E"/>
    <w:rsid w:val="000A4A21"/>
    <w:rsid w:val="000A4A25"/>
    <w:rsid w:val="000A4BA5"/>
    <w:rsid w:val="000A4C2A"/>
    <w:rsid w:val="000A4D82"/>
    <w:rsid w:val="000A4D8F"/>
    <w:rsid w:val="000A4D9C"/>
    <w:rsid w:val="000A4DEE"/>
    <w:rsid w:val="000A4EB6"/>
    <w:rsid w:val="000A4FA6"/>
    <w:rsid w:val="000A4FBB"/>
    <w:rsid w:val="000A506B"/>
    <w:rsid w:val="000A508B"/>
    <w:rsid w:val="000A50E6"/>
    <w:rsid w:val="000A5165"/>
    <w:rsid w:val="000A52C8"/>
    <w:rsid w:val="000A544E"/>
    <w:rsid w:val="000A55D3"/>
    <w:rsid w:val="000A571A"/>
    <w:rsid w:val="000A5726"/>
    <w:rsid w:val="000A5812"/>
    <w:rsid w:val="000A590F"/>
    <w:rsid w:val="000A593E"/>
    <w:rsid w:val="000A594C"/>
    <w:rsid w:val="000A59A8"/>
    <w:rsid w:val="000A5A57"/>
    <w:rsid w:val="000A5AF3"/>
    <w:rsid w:val="000A5D08"/>
    <w:rsid w:val="000A5DBB"/>
    <w:rsid w:val="000A608F"/>
    <w:rsid w:val="000A612B"/>
    <w:rsid w:val="000A6134"/>
    <w:rsid w:val="000A618A"/>
    <w:rsid w:val="000A62D4"/>
    <w:rsid w:val="000A62FC"/>
    <w:rsid w:val="000A6603"/>
    <w:rsid w:val="000A668C"/>
    <w:rsid w:val="000A66B3"/>
    <w:rsid w:val="000A683B"/>
    <w:rsid w:val="000A6938"/>
    <w:rsid w:val="000A699E"/>
    <w:rsid w:val="000A6A23"/>
    <w:rsid w:val="000A6A30"/>
    <w:rsid w:val="000A6B0F"/>
    <w:rsid w:val="000A6C34"/>
    <w:rsid w:val="000A6D68"/>
    <w:rsid w:val="000A6E5A"/>
    <w:rsid w:val="000A6F59"/>
    <w:rsid w:val="000A6FBA"/>
    <w:rsid w:val="000A6FE4"/>
    <w:rsid w:val="000A7118"/>
    <w:rsid w:val="000A7170"/>
    <w:rsid w:val="000A7189"/>
    <w:rsid w:val="000A71A6"/>
    <w:rsid w:val="000A71D2"/>
    <w:rsid w:val="000A7201"/>
    <w:rsid w:val="000A7409"/>
    <w:rsid w:val="000A7412"/>
    <w:rsid w:val="000A74C3"/>
    <w:rsid w:val="000A7794"/>
    <w:rsid w:val="000A77F0"/>
    <w:rsid w:val="000A7851"/>
    <w:rsid w:val="000A78DD"/>
    <w:rsid w:val="000A790F"/>
    <w:rsid w:val="000A7ACA"/>
    <w:rsid w:val="000A7B9A"/>
    <w:rsid w:val="000A7BED"/>
    <w:rsid w:val="000A7CFD"/>
    <w:rsid w:val="000A7DC9"/>
    <w:rsid w:val="000A7DF6"/>
    <w:rsid w:val="000A7E09"/>
    <w:rsid w:val="000A7EDE"/>
    <w:rsid w:val="000A7EF0"/>
    <w:rsid w:val="000A7F47"/>
    <w:rsid w:val="000B0087"/>
    <w:rsid w:val="000B0092"/>
    <w:rsid w:val="000B0193"/>
    <w:rsid w:val="000B01B6"/>
    <w:rsid w:val="000B0294"/>
    <w:rsid w:val="000B0322"/>
    <w:rsid w:val="000B03A1"/>
    <w:rsid w:val="000B03D4"/>
    <w:rsid w:val="000B0450"/>
    <w:rsid w:val="000B04F0"/>
    <w:rsid w:val="000B0508"/>
    <w:rsid w:val="000B0541"/>
    <w:rsid w:val="000B058B"/>
    <w:rsid w:val="000B069B"/>
    <w:rsid w:val="000B080E"/>
    <w:rsid w:val="000B0817"/>
    <w:rsid w:val="000B0824"/>
    <w:rsid w:val="000B086D"/>
    <w:rsid w:val="000B0883"/>
    <w:rsid w:val="000B08A3"/>
    <w:rsid w:val="000B08AB"/>
    <w:rsid w:val="000B0C2A"/>
    <w:rsid w:val="000B0CC4"/>
    <w:rsid w:val="000B0E11"/>
    <w:rsid w:val="000B0FB6"/>
    <w:rsid w:val="000B0FF9"/>
    <w:rsid w:val="000B10AD"/>
    <w:rsid w:val="000B11C9"/>
    <w:rsid w:val="000B11F4"/>
    <w:rsid w:val="000B122D"/>
    <w:rsid w:val="000B142E"/>
    <w:rsid w:val="000B1464"/>
    <w:rsid w:val="000B14AF"/>
    <w:rsid w:val="000B1674"/>
    <w:rsid w:val="000B1821"/>
    <w:rsid w:val="000B184A"/>
    <w:rsid w:val="000B1932"/>
    <w:rsid w:val="000B1AA5"/>
    <w:rsid w:val="000B1AB8"/>
    <w:rsid w:val="000B1AF3"/>
    <w:rsid w:val="000B1B30"/>
    <w:rsid w:val="000B1D96"/>
    <w:rsid w:val="000B1F85"/>
    <w:rsid w:val="000B1FA0"/>
    <w:rsid w:val="000B2093"/>
    <w:rsid w:val="000B210E"/>
    <w:rsid w:val="000B2188"/>
    <w:rsid w:val="000B2242"/>
    <w:rsid w:val="000B2286"/>
    <w:rsid w:val="000B22A7"/>
    <w:rsid w:val="000B2373"/>
    <w:rsid w:val="000B23D5"/>
    <w:rsid w:val="000B2445"/>
    <w:rsid w:val="000B25AE"/>
    <w:rsid w:val="000B26E7"/>
    <w:rsid w:val="000B2703"/>
    <w:rsid w:val="000B2761"/>
    <w:rsid w:val="000B2846"/>
    <w:rsid w:val="000B2903"/>
    <w:rsid w:val="000B293D"/>
    <w:rsid w:val="000B2A70"/>
    <w:rsid w:val="000B2AB9"/>
    <w:rsid w:val="000B2B19"/>
    <w:rsid w:val="000B2C3E"/>
    <w:rsid w:val="000B2E8C"/>
    <w:rsid w:val="000B2F5E"/>
    <w:rsid w:val="000B2FCE"/>
    <w:rsid w:val="000B302C"/>
    <w:rsid w:val="000B3045"/>
    <w:rsid w:val="000B316A"/>
    <w:rsid w:val="000B3245"/>
    <w:rsid w:val="000B32B6"/>
    <w:rsid w:val="000B3368"/>
    <w:rsid w:val="000B3396"/>
    <w:rsid w:val="000B3405"/>
    <w:rsid w:val="000B3412"/>
    <w:rsid w:val="000B3478"/>
    <w:rsid w:val="000B3606"/>
    <w:rsid w:val="000B3656"/>
    <w:rsid w:val="000B3715"/>
    <w:rsid w:val="000B3884"/>
    <w:rsid w:val="000B3901"/>
    <w:rsid w:val="000B39DA"/>
    <w:rsid w:val="000B3A69"/>
    <w:rsid w:val="000B3BFA"/>
    <w:rsid w:val="000B3C1A"/>
    <w:rsid w:val="000B3C88"/>
    <w:rsid w:val="000B3CE1"/>
    <w:rsid w:val="000B3D07"/>
    <w:rsid w:val="000B3D1F"/>
    <w:rsid w:val="000B3D23"/>
    <w:rsid w:val="000B3D67"/>
    <w:rsid w:val="000B3D81"/>
    <w:rsid w:val="000B3D83"/>
    <w:rsid w:val="000B3E9E"/>
    <w:rsid w:val="000B3F4A"/>
    <w:rsid w:val="000B3F67"/>
    <w:rsid w:val="000B3FAB"/>
    <w:rsid w:val="000B3FAF"/>
    <w:rsid w:val="000B407D"/>
    <w:rsid w:val="000B4175"/>
    <w:rsid w:val="000B41A2"/>
    <w:rsid w:val="000B4206"/>
    <w:rsid w:val="000B424A"/>
    <w:rsid w:val="000B429D"/>
    <w:rsid w:val="000B42B9"/>
    <w:rsid w:val="000B4312"/>
    <w:rsid w:val="000B448C"/>
    <w:rsid w:val="000B454F"/>
    <w:rsid w:val="000B46B3"/>
    <w:rsid w:val="000B4738"/>
    <w:rsid w:val="000B483C"/>
    <w:rsid w:val="000B49C3"/>
    <w:rsid w:val="000B4A34"/>
    <w:rsid w:val="000B4A77"/>
    <w:rsid w:val="000B4B6D"/>
    <w:rsid w:val="000B4CBF"/>
    <w:rsid w:val="000B4E05"/>
    <w:rsid w:val="000B4E36"/>
    <w:rsid w:val="000B5000"/>
    <w:rsid w:val="000B5078"/>
    <w:rsid w:val="000B50BD"/>
    <w:rsid w:val="000B5223"/>
    <w:rsid w:val="000B577A"/>
    <w:rsid w:val="000B583B"/>
    <w:rsid w:val="000B5982"/>
    <w:rsid w:val="000B59D4"/>
    <w:rsid w:val="000B59DC"/>
    <w:rsid w:val="000B5A7F"/>
    <w:rsid w:val="000B5B35"/>
    <w:rsid w:val="000B5BC6"/>
    <w:rsid w:val="000B5DA9"/>
    <w:rsid w:val="000B615D"/>
    <w:rsid w:val="000B6287"/>
    <w:rsid w:val="000B632E"/>
    <w:rsid w:val="000B63A0"/>
    <w:rsid w:val="000B63CA"/>
    <w:rsid w:val="000B6444"/>
    <w:rsid w:val="000B6479"/>
    <w:rsid w:val="000B64E0"/>
    <w:rsid w:val="000B6535"/>
    <w:rsid w:val="000B654C"/>
    <w:rsid w:val="000B6552"/>
    <w:rsid w:val="000B6574"/>
    <w:rsid w:val="000B6575"/>
    <w:rsid w:val="000B660F"/>
    <w:rsid w:val="000B6620"/>
    <w:rsid w:val="000B66D8"/>
    <w:rsid w:val="000B66E0"/>
    <w:rsid w:val="000B6713"/>
    <w:rsid w:val="000B6916"/>
    <w:rsid w:val="000B6937"/>
    <w:rsid w:val="000B69FA"/>
    <w:rsid w:val="000B6A28"/>
    <w:rsid w:val="000B6B97"/>
    <w:rsid w:val="000B6D8D"/>
    <w:rsid w:val="000B6EF9"/>
    <w:rsid w:val="000B6F7D"/>
    <w:rsid w:val="000B6F94"/>
    <w:rsid w:val="000B7027"/>
    <w:rsid w:val="000B705E"/>
    <w:rsid w:val="000B712F"/>
    <w:rsid w:val="000B71E3"/>
    <w:rsid w:val="000B7229"/>
    <w:rsid w:val="000B7458"/>
    <w:rsid w:val="000B74DF"/>
    <w:rsid w:val="000B756B"/>
    <w:rsid w:val="000B7631"/>
    <w:rsid w:val="000B76BD"/>
    <w:rsid w:val="000B770A"/>
    <w:rsid w:val="000B7733"/>
    <w:rsid w:val="000B7739"/>
    <w:rsid w:val="000B7756"/>
    <w:rsid w:val="000B77B2"/>
    <w:rsid w:val="000B7810"/>
    <w:rsid w:val="000B78E3"/>
    <w:rsid w:val="000B78EF"/>
    <w:rsid w:val="000B7A02"/>
    <w:rsid w:val="000B7AA1"/>
    <w:rsid w:val="000B7B51"/>
    <w:rsid w:val="000B7D8A"/>
    <w:rsid w:val="000B7E5E"/>
    <w:rsid w:val="000B7ED9"/>
    <w:rsid w:val="000B7F19"/>
    <w:rsid w:val="000B7FDD"/>
    <w:rsid w:val="000C0074"/>
    <w:rsid w:val="000C00D4"/>
    <w:rsid w:val="000C0172"/>
    <w:rsid w:val="000C01B3"/>
    <w:rsid w:val="000C01E8"/>
    <w:rsid w:val="000C01EC"/>
    <w:rsid w:val="000C01F7"/>
    <w:rsid w:val="000C0294"/>
    <w:rsid w:val="000C04A1"/>
    <w:rsid w:val="000C0515"/>
    <w:rsid w:val="000C05DF"/>
    <w:rsid w:val="000C05FD"/>
    <w:rsid w:val="000C06F9"/>
    <w:rsid w:val="000C0902"/>
    <w:rsid w:val="000C0953"/>
    <w:rsid w:val="000C097D"/>
    <w:rsid w:val="000C0A30"/>
    <w:rsid w:val="000C0BD0"/>
    <w:rsid w:val="000C0D7E"/>
    <w:rsid w:val="000C0EAA"/>
    <w:rsid w:val="000C0ECD"/>
    <w:rsid w:val="000C0FBF"/>
    <w:rsid w:val="000C0FE8"/>
    <w:rsid w:val="000C1236"/>
    <w:rsid w:val="000C13C8"/>
    <w:rsid w:val="000C140B"/>
    <w:rsid w:val="000C1489"/>
    <w:rsid w:val="000C15BB"/>
    <w:rsid w:val="000C1633"/>
    <w:rsid w:val="000C16E2"/>
    <w:rsid w:val="000C1725"/>
    <w:rsid w:val="000C178D"/>
    <w:rsid w:val="000C1805"/>
    <w:rsid w:val="000C1829"/>
    <w:rsid w:val="000C188C"/>
    <w:rsid w:val="000C18B4"/>
    <w:rsid w:val="000C190A"/>
    <w:rsid w:val="000C1965"/>
    <w:rsid w:val="000C1983"/>
    <w:rsid w:val="000C19A7"/>
    <w:rsid w:val="000C1B35"/>
    <w:rsid w:val="000C1B5C"/>
    <w:rsid w:val="000C1C14"/>
    <w:rsid w:val="000C1CCB"/>
    <w:rsid w:val="000C1D23"/>
    <w:rsid w:val="000C1E6A"/>
    <w:rsid w:val="000C1F16"/>
    <w:rsid w:val="000C1FC6"/>
    <w:rsid w:val="000C2078"/>
    <w:rsid w:val="000C216C"/>
    <w:rsid w:val="000C21EB"/>
    <w:rsid w:val="000C2202"/>
    <w:rsid w:val="000C226E"/>
    <w:rsid w:val="000C2506"/>
    <w:rsid w:val="000C254B"/>
    <w:rsid w:val="000C259C"/>
    <w:rsid w:val="000C261E"/>
    <w:rsid w:val="000C26A4"/>
    <w:rsid w:val="000C2772"/>
    <w:rsid w:val="000C27AD"/>
    <w:rsid w:val="000C2A02"/>
    <w:rsid w:val="000C2BAC"/>
    <w:rsid w:val="000C2C2F"/>
    <w:rsid w:val="000C2CDB"/>
    <w:rsid w:val="000C2D88"/>
    <w:rsid w:val="000C2E73"/>
    <w:rsid w:val="000C2E9E"/>
    <w:rsid w:val="000C3025"/>
    <w:rsid w:val="000C31C5"/>
    <w:rsid w:val="000C328F"/>
    <w:rsid w:val="000C3329"/>
    <w:rsid w:val="000C3597"/>
    <w:rsid w:val="000C366B"/>
    <w:rsid w:val="000C36D7"/>
    <w:rsid w:val="000C3731"/>
    <w:rsid w:val="000C3738"/>
    <w:rsid w:val="000C378A"/>
    <w:rsid w:val="000C3823"/>
    <w:rsid w:val="000C3837"/>
    <w:rsid w:val="000C3844"/>
    <w:rsid w:val="000C3886"/>
    <w:rsid w:val="000C3888"/>
    <w:rsid w:val="000C38AC"/>
    <w:rsid w:val="000C3981"/>
    <w:rsid w:val="000C3AFB"/>
    <w:rsid w:val="000C3B8C"/>
    <w:rsid w:val="000C3BF3"/>
    <w:rsid w:val="000C3CD5"/>
    <w:rsid w:val="000C3D6A"/>
    <w:rsid w:val="000C3EB3"/>
    <w:rsid w:val="000C3F56"/>
    <w:rsid w:val="000C4037"/>
    <w:rsid w:val="000C4064"/>
    <w:rsid w:val="000C428B"/>
    <w:rsid w:val="000C42B4"/>
    <w:rsid w:val="000C4556"/>
    <w:rsid w:val="000C4563"/>
    <w:rsid w:val="000C46BB"/>
    <w:rsid w:val="000C4733"/>
    <w:rsid w:val="000C47EB"/>
    <w:rsid w:val="000C47F7"/>
    <w:rsid w:val="000C4814"/>
    <w:rsid w:val="000C4819"/>
    <w:rsid w:val="000C486C"/>
    <w:rsid w:val="000C49E3"/>
    <w:rsid w:val="000C4B7F"/>
    <w:rsid w:val="000C4CCC"/>
    <w:rsid w:val="000C4DF8"/>
    <w:rsid w:val="000C4E19"/>
    <w:rsid w:val="000C4F25"/>
    <w:rsid w:val="000C5182"/>
    <w:rsid w:val="000C52EF"/>
    <w:rsid w:val="000C5398"/>
    <w:rsid w:val="000C5401"/>
    <w:rsid w:val="000C54B1"/>
    <w:rsid w:val="000C5508"/>
    <w:rsid w:val="000C5567"/>
    <w:rsid w:val="000C55A7"/>
    <w:rsid w:val="000C5694"/>
    <w:rsid w:val="000C5767"/>
    <w:rsid w:val="000C57A1"/>
    <w:rsid w:val="000C57AA"/>
    <w:rsid w:val="000C57F5"/>
    <w:rsid w:val="000C5829"/>
    <w:rsid w:val="000C589B"/>
    <w:rsid w:val="000C5929"/>
    <w:rsid w:val="000C5AC2"/>
    <w:rsid w:val="000C5B52"/>
    <w:rsid w:val="000C5B60"/>
    <w:rsid w:val="000C5B97"/>
    <w:rsid w:val="000C5CC7"/>
    <w:rsid w:val="000C5F54"/>
    <w:rsid w:val="000C5F59"/>
    <w:rsid w:val="000C5F9D"/>
    <w:rsid w:val="000C5FB3"/>
    <w:rsid w:val="000C606C"/>
    <w:rsid w:val="000C639F"/>
    <w:rsid w:val="000C63F6"/>
    <w:rsid w:val="000C6626"/>
    <w:rsid w:val="000C6655"/>
    <w:rsid w:val="000C6708"/>
    <w:rsid w:val="000C6738"/>
    <w:rsid w:val="000C67B0"/>
    <w:rsid w:val="000C68F1"/>
    <w:rsid w:val="000C692E"/>
    <w:rsid w:val="000C69DA"/>
    <w:rsid w:val="000C6A90"/>
    <w:rsid w:val="000C6B04"/>
    <w:rsid w:val="000C6B3E"/>
    <w:rsid w:val="000C6BE5"/>
    <w:rsid w:val="000C6C90"/>
    <w:rsid w:val="000C6EC3"/>
    <w:rsid w:val="000C6F66"/>
    <w:rsid w:val="000C6F9F"/>
    <w:rsid w:val="000C7090"/>
    <w:rsid w:val="000C70E3"/>
    <w:rsid w:val="000C719C"/>
    <w:rsid w:val="000C749D"/>
    <w:rsid w:val="000C751A"/>
    <w:rsid w:val="000C75BC"/>
    <w:rsid w:val="000C7611"/>
    <w:rsid w:val="000C7652"/>
    <w:rsid w:val="000C76CF"/>
    <w:rsid w:val="000C784A"/>
    <w:rsid w:val="000C7889"/>
    <w:rsid w:val="000C7897"/>
    <w:rsid w:val="000C78A1"/>
    <w:rsid w:val="000C790D"/>
    <w:rsid w:val="000C792C"/>
    <w:rsid w:val="000C7B4E"/>
    <w:rsid w:val="000C7B5C"/>
    <w:rsid w:val="000C7BBC"/>
    <w:rsid w:val="000C7C18"/>
    <w:rsid w:val="000C7D2D"/>
    <w:rsid w:val="000C7DF8"/>
    <w:rsid w:val="000C7E52"/>
    <w:rsid w:val="000C7F6B"/>
    <w:rsid w:val="000D0160"/>
    <w:rsid w:val="000D01BE"/>
    <w:rsid w:val="000D022D"/>
    <w:rsid w:val="000D023B"/>
    <w:rsid w:val="000D027D"/>
    <w:rsid w:val="000D031B"/>
    <w:rsid w:val="000D038A"/>
    <w:rsid w:val="000D03C9"/>
    <w:rsid w:val="000D03CC"/>
    <w:rsid w:val="000D03E1"/>
    <w:rsid w:val="000D047F"/>
    <w:rsid w:val="000D0530"/>
    <w:rsid w:val="000D060F"/>
    <w:rsid w:val="000D06D0"/>
    <w:rsid w:val="000D0703"/>
    <w:rsid w:val="000D0864"/>
    <w:rsid w:val="000D08A8"/>
    <w:rsid w:val="000D0907"/>
    <w:rsid w:val="000D0B92"/>
    <w:rsid w:val="000D0BCF"/>
    <w:rsid w:val="000D0CF6"/>
    <w:rsid w:val="000D0DB2"/>
    <w:rsid w:val="000D0DCF"/>
    <w:rsid w:val="000D0DD9"/>
    <w:rsid w:val="000D0E47"/>
    <w:rsid w:val="000D0F29"/>
    <w:rsid w:val="000D0FEF"/>
    <w:rsid w:val="000D10A9"/>
    <w:rsid w:val="000D10BD"/>
    <w:rsid w:val="000D10FE"/>
    <w:rsid w:val="000D1283"/>
    <w:rsid w:val="000D1352"/>
    <w:rsid w:val="000D13A3"/>
    <w:rsid w:val="000D158B"/>
    <w:rsid w:val="000D1607"/>
    <w:rsid w:val="000D167D"/>
    <w:rsid w:val="000D16D5"/>
    <w:rsid w:val="000D18C3"/>
    <w:rsid w:val="000D18DD"/>
    <w:rsid w:val="000D1913"/>
    <w:rsid w:val="000D1AA1"/>
    <w:rsid w:val="000D1AD5"/>
    <w:rsid w:val="000D1AE2"/>
    <w:rsid w:val="000D1AE9"/>
    <w:rsid w:val="000D1B23"/>
    <w:rsid w:val="000D1B3E"/>
    <w:rsid w:val="000D1B71"/>
    <w:rsid w:val="000D1BEF"/>
    <w:rsid w:val="000D1C3C"/>
    <w:rsid w:val="000D1C88"/>
    <w:rsid w:val="000D1E11"/>
    <w:rsid w:val="000D1E2E"/>
    <w:rsid w:val="000D1FA3"/>
    <w:rsid w:val="000D202D"/>
    <w:rsid w:val="000D22A8"/>
    <w:rsid w:val="000D22AC"/>
    <w:rsid w:val="000D232B"/>
    <w:rsid w:val="000D23CC"/>
    <w:rsid w:val="000D2435"/>
    <w:rsid w:val="000D25DC"/>
    <w:rsid w:val="000D2664"/>
    <w:rsid w:val="000D26B4"/>
    <w:rsid w:val="000D2713"/>
    <w:rsid w:val="000D27AA"/>
    <w:rsid w:val="000D27D2"/>
    <w:rsid w:val="000D2A84"/>
    <w:rsid w:val="000D2D10"/>
    <w:rsid w:val="000D2D2D"/>
    <w:rsid w:val="000D2D5A"/>
    <w:rsid w:val="000D2DBC"/>
    <w:rsid w:val="000D2EAF"/>
    <w:rsid w:val="000D2FEA"/>
    <w:rsid w:val="000D30C8"/>
    <w:rsid w:val="000D30DB"/>
    <w:rsid w:val="000D3169"/>
    <w:rsid w:val="000D325F"/>
    <w:rsid w:val="000D3276"/>
    <w:rsid w:val="000D33EF"/>
    <w:rsid w:val="000D33FA"/>
    <w:rsid w:val="000D34A7"/>
    <w:rsid w:val="000D35A2"/>
    <w:rsid w:val="000D369E"/>
    <w:rsid w:val="000D36BF"/>
    <w:rsid w:val="000D36C2"/>
    <w:rsid w:val="000D3717"/>
    <w:rsid w:val="000D376D"/>
    <w:rsid w:val="000D3954"/>
    <w:rsid w:val="000D3C4F"/>
    <w:rsid w:val="000D3D61"/>
    <w:rsid w:val="000D3E76"/>
    <w:rsid w:val="000D3E9B"/>
    <w:rsid w:val="000D4113"/>
    <w:rsid w:val="000D411B"/>
    <w:rsid w:val="000D43AC"/>
    <w:rsid w:val="000D43E8"/>
    <w:rsid w:val="000D4406"/>
    <w:rsid w:val="000D4434"/>
    <w:rsid w:val="000D4538"/>
    <w:rsid w:val="000D45C7"/>
    <w:rsid w:val="000D464B"/>
    <w:rsid w:val="000D4785"/>
    <w:rsid w:val="000D48F6"/>
    <w:rsid w:val="000D4904"/>
    <w:rsid w:val="000D497C"/>
    <w:rsid w:val="000D4A64"/>
    <w:rsid w:val="000D4B6E"/>
    <w:rsid w:val="000D4B96"/>
    <w:rsid w:val="000D4D36"/>
    <w:rsid w:val="000D4D6D"/>
    <w:rsid w:val="000D4E53"/>
    <w:rsid w:val="000D4F31"/>
    <w:rsid w:val="000D4F49"/>
    <w:rsid w:val="000D4FF3"/>
    <w:rsid w:val="000D5069"/>
    <w:rsid w:val="000D50E0"/>
    <w:rsid w:val="000D5117"/>
    <w:rsid w:val="000D5145"/>
    <w:rsid w:val="000D5157"/>
    <w:rsid w:val="000D52FC"/>
    <w:rsid w:val="000D5361"/>
    <w:rsid w:val="000D54F1"/>
    <w:rsid w:val="000D5634"/>
    <w:rsid w:val="000D5AA7"/>
    <w:rsid w:val="000D5ADE"/>
    <w:rsid w:val="000D5B53"/>
    <w:rsid w:val="000D5C33"/>
    <w:rsid w:val="000D5C6C"/>
    <w:rsid w:val="000D5C76"/>
    <w:rsid w:val="000D5CAF"/>
    <w:rsid w:val="000D5CE8"/>
    <w:rsid w:val="000D5D2F"/>
    <w:rsid w:val="000D5F0B"/>
    <w:rsid w:val="000D5F4E"/>
    <w:rsid w:val="000D6005"/>
    <w:rsid w:val="000D6023"/>
    <w:rsid w:val="000D60C1"/>
    <w:rsid w:val="000D615F"/>
    <w:rsid w:val="000D616F"/>
    <w:rsid w:val="000D61D7"/>
    <w:rsid w:val="000D632C"/>
    <w:rsid w:val="000D6349"/>
    <w:rsid w:val="000D63FD"/>
    <w:rsid w:val="000D6549"/>
    <w:rsid w:val="000D65D9"/>
    <w:rsid w:val="000D6892"/>
    <w:rsid w:val="000D6A0C"/>
    <w:rsid w:val="000D6B0E"/>
    <w:rsid w:val="000D6C71"/>
    <w:rsid w:val="000D6D11"/>
    <w:rsid w:val="000D6D3A"/>
    <w:rsid w:val="000D6D94"/>
    <w:rsid w:val="000D6F2B"/>
    <w:rsid w:val="000D6F40"/>
    <w:rsid w:val="000D7030"/>
    <w:rsid w:val="000D71B5"/>
    <w:rsid w:val="000D71F4"/>
    <w:rsid w:val="000D73F5"/>
    <w:rsid w:val="000D7463"/>
    <w:rsid w:val="000D74C2"/>
    <w:rsid w:val="000D750E"/>
    <w:rsid w:val="000D75A7"/>
    <w:rsid w:val="000D7615"/>
    <w:rsid w:val="000D7632"/>
    <w:rsid w:val="000D76CA"/>
    <w:rsid w:val="000D76CC"/>
    <w:rsid w:val="000D773D"/>
    <w:rsid w:val="000D7779"/>
    <w:rsid w:val="000D77D9"/>
    <w:rsid w:val="000D783B"/>
    <w:rsid w:val="000D7938"/>
    <w:rsid w:val="000D7A4C"/>
    <w:rsid w:val="000D7A7C"/>
    <w:rsid w:val="000D7B3F"/>
    <w:rsid w:val="000D7B5D"/>
    <w:rsid w:val="000D7BC5"/>
    <w:rsid w:val="000D7C9B"/>
    <w:rsid w:val="000D7DDE"/>
    <w:rsid w:val="000D7F39"/>
    <w:rsid w:val="000E00F3"/>
    <w:rsid w:val="000E019B"/>
    <w:rsid w:val="000E01A5"/>
    <w:rsid w:val="000E02B5"/>
    <w:rsid w:val="000E02F0"/>
    <w:rsid w:val="000E03AF"/>
    <w:rsid w:val="000E0429"/>
    <w:rsid w:val="000E057E"/>
    <w:rsid w:val="000E0593"/>
    <w:rsid w:val="000E063D"/>
    <w:rsid w:val="000E068B"/>
    <w:rsid w:val="000E07C1"/>
    <w:rsid w:val="000E0896"/>
    <w:rsid w:val="000E08CB"/>
    <w:rsid w:val="000E091E"/>
    <w:rsid w:val="000E0999"/>
    <w:rsid w:val="000E0A47"/>
    <w:rsid w:val="000E0ADE"/>
    <w:rsid w:val="000E0CE5"/>
    <w:rsid w:val="000E0D83"/>
    <w:rsid w:val="000E0D9D"/>
    <w:rsid w:val="000E0E07"/>
    <w:rsid w:val="000E0EC4"/>
    <w:rsid w:val="000E0F37"/>
    <w:rsid w:val="000E0F97"/>
    <w:rsid w:val="000E1179"/>
    <w:rsid w:val="000E1350"/>
    <w:rsid w:val="000E1398"/>
    <w:rsid w:val="000E1471"/>
    <w:rsid w:val="000E16A6"/>
    <w:rsid w:val="000E16DE"/>
    <w:rsid w:val="000E1739"/>
    <w:rsid w:val="000E1743"/>
    <w:rsid w:val="000E1A2F"/>
    <w:rsid w:val="000E1C68"/>
    <w:rsid w:val="000E1E1B"/>
    <w:rsid w:val="000E1F0E"/>
    <w:rsid w:val="000E2159"/>
    <w:rsid w:val="000E2259"/>
    <w:rsid w:val="000E227D"/>
    <w:rsid w:val="000E229E"/>
    <w:rsid w:val="000E232A"/>
    <w:rsid w:val="000E23DF"/>
    <w:rsid w:val="000E24D8"/>
    <w:rsid w:val="000E259E"/>
    <w:rsid w:val="000E25F4"/>
    <w:rsid w:val="000E2622"/>
    <w:rsid w:val="000E2630"/>
    <w:rsid w:val="000E268C"/>
    <w:rsid w:val="000E27BB"/>
    <w:rsid w:val="000E293E"/>
    <w:rsid w:val="000E29A7"/>
    <w:rsid w:val="000E29C8"/>
    <w:rsid w:val="000E2A75"/>
    <w:rsid w:val="000E2B01"/>
    <w:rsid w:val="000E2B0B"/>
    <w:rsid w:val="000E2B98"/>
    <w:rsid w:val="000E2BA7"/>
    <w:rsid w:val="000E2BAD"/>
    <w:rsid w:val="000E2DE6"/>
    <w:rsid w:val="000E2E17"/>
    <w:rsid w:val="000E2F15"/>
    <w:rsid w:val="000E2FB6"/>
    <w:rsid w:val="000E302E"/>
    <w:rsid w:val="000E309E"/>
    <w:rsid w:val="000E32DD"/>
    <w:rsid w:val="000E337D"/>
    <w:rsid w:val="000E338E"/>
    <w:rsid w:val="000E33F2"/>
    <w:rsid w:val="000E342D"/>
    <w:rsid w:val="000E3569"/>
    <w:rsid w:val="000E3663"/>
    <w:rsid w:val="000E36F7"/>
    <w:rsid w:val="000E3841"/>
    <w:rsid w:val="000E3867"/>
    <w:rsid w:val="000E3888"/>
    <w:rsid w:val="000E3A6A"/>
    <w:rsid w:val="000E3AC8"/>
    <w:rsid w:val="000E3B0A"/>
    <w:rsid w:val="000E3B9E"/>
    <w:rsid w:val="000E3BF6"/>
    <w:rsid w:val="000E3CC6"/>
    <w:rsid w:val="000E3D06"/>
    <w:rsid w:val="000E3DB3"/>
    <w:rsid w:val="000E3E94"/>
    <w:rsid w:val="000E3F76"/>
    <w:rsid w:val="000E4000"/>
    <w:rsid w:val="000E40CF"/>
    <w:rsid w:val="000E42CF"/>
    <w:rsid w:val="000E435A"/>
    <w:rsid w:val="000E446C"/>
    <w:rsid w:val="000E453C"/>
    <w:rsid w:val="000E4543"/>
    <w:rsid w:val="000E4751"/>
    <w:rsid w:val="000E4756"/>
    <w:rsid w:val="000E47D2"/>
    <w:rsid w:val="000E4863"/>
    <w:rsid w:val="000E486B"/>
    <w:rsid w:val="000E489D"/>
    <w:rsid w:val="000E48F0"/>
    <w:rsid w:val="000E4962"/>
    <w:rsid w:val="000E4AAE"/>
    <w:rsid w:val="000E4AEC"/>
    <w:rsid w:val="000E4BB8"/>
    <w:rsid w:val="000E4CE0"/>
    <w:rsid w:val="000E4FEE"/>
    <w:rsid w:val="000E4FF2"/>
    <w:rsid w:val="000E5183"/>
    <w:rsid w:val="000E51D2"/>
    <w:rsid w:val="000E528A"/>
    <w:rsid w:val="000E52F0"/>
    <w:rsid w:val="000E53BE"/>
    <w:rsid w:val="000E550C"/>
    <w:rsid w:val="000E5624"/>
    <w:rsid w:val="000E562B"/>
    <w:rsid w:val="000E564D"/>
    <w:rsid w:val="000E56F6"/>
    <w:rsid w:val="000E57F1"/>
    <w:rsid w:val="000E583F"/>
    <w:rsid w:val="000E5A82"/>
    <w:rsid w:val="000E5B0E"/>
    <w:rsid w:val="000E5B7A"/>
    <w:rsid w:val="000E5BCC"/>
    <w:rsid w:val="000E5CB4"/>
    <w:rsid w:val="000E5CDA"/>
    <w:rsid w:val="000E5D3D"/>
    <w:rsid w:val="000E5D41"/>
    <w:rsid w:val="000E5FD1"/>
    <w:rsid w:val="000E6032"/>
    <w:rsid w:val="000E603D"/>
    <w:rsid w:val="000E60B2"/>
    <w:rsid w:val="000E6146"/>
    <w:rsid w:val="000E61C7"/>
    <w:rsid w:val="000E620A"/>
    <w:rsid w:val="000E6241"/>
    <w:rsid w:val="000E6331"/>
    <w:rsid w:val="000E6373"/>
    <w:rsid w:val="000E63E7"/>
    <w:rsid w:val="000E63FD"/>
    <w:rsid w:val="000E6476"/>
    <w:rsid w:val="000E64A7"/>
    <w:rsid w:val="000E64BF"/>
    <w:rsid w:val="000E657E"/>
    <w:rsid w:val="000E6582"/>
    <w:rsid w:val="000E6668"/>
    <w:rsid w:val="000E674D"/>
    <w:rsid w:val="000E6795"/>
    <w:rsid w:val="000E67B4"/>
    <w:rsid w:val="000E68CD"/>
    <w:rsid w:val="000E6914"/>
    <w:rsid w:val="000E6945"/>
    <w:rsid w:val="000E699D"/>
    <w:rsid w:val="000E6AC8"/>
    <w:rsid w:val="000E6BA7"/>
    <w:rsid w:val="000E6C45"/>
    <w:rsid w:val="000E6D76"/>
    <w:rsid w:val="000E6F17"/>
    <w:rsid w:val="000E6F36"/>
    <w:rsid w:val="000E6F59"/>
    <w:rsid w:val="000E7090"/>
    <w:rsid w:val="000E70A9"/>
    <w:rsid w:val="000E715D"/>
    <w:rsid w:val="000E7432"/>
    <w:rsid w:val="000E751D"/>
    <w:rsid w:val="000E7585"/>
    <w:rsid w:val="000E7593"/>
    <w:rsid w:val="000E75AF"/>
    <w:rsid w:val="000E76BD"/>
    <w:rsid w:val="000E7713"/>
    <w:rsid w:val="000E7794"/>
    <w:rsid w:val="000E77C2"/>
    <w:rsid w:val="000E7923"/>
    <w:rsid w:val="000E7A26"/>
    <w:rsid w:val="000E7A43"/>
    <w:rsid w:val="000E7AE4"/>
    <w:rsid w:val="000E7B1B"/>
    <w:rsid w:val="000E7BD0"/>
    <w:rsid w:val="000E7CC6"/>
    <w:rsid w:val="000E7E8A"/>
    <w:rsid w:val="000E7F12"/>
    <w:rsid w:val="000E7F2D"/>
    <w:rsid w:val="000E7FDE"/>
    <w:rsid w:val="000F01E2"/>
    <w:rsid w:val="000F0375"/>
    <w:rsid w:val="000F04CC"/>
    <w:rsid w:val="000F04ED"/>
    <w:rsid w:val="000F0584"/>
    <w:rsid w:val="000F0669"/>
    <w:rsid w:val="000F06F4"/>
    <w:rsid w:val="000F093D"/>
    <w:rsid w:val="000F0A00"/>
    <w:rsid w:val="000F0B92"/>
    <w:rsid w:val="000F0C4B"/>
    <w:rsid w:val="000F0CED"/>
    <w:rsid w:val="000F0CEF"/>
    <w:rsid w:val="000F0D17"/>
    <w:rsid w:val="000F0D3C"/>
    <w:rsid w:val="000F0DAD"/>
    <w:rsid w:val="000F0DBF"/>
    <w:rsid w:val="000F0E9A"/>
    <w:rsid w:val="000F1030"/>
    <w:rsid w:val="000F104E"/>
    <w:rsid w:val="000F1098"/>
    <w:rsid w:val="000F10CC"/>
    <w:rsid w:val="000F11F7"/>
    <w:rsid w:val="000F122D"/>
    <w:rsid w:val="000F12D1"/>
    <w:rsid w:val="000F1316"/>
    <w:rsid w:val="000F1382"/>
    <w:rsid w:val="000F141B"/>
    <w:rsid w:val="000F1559"/>
    <w:rsid w:val="000F15EE"/>
    <w:rsid w:val="000F161B"/>
    <w:rsid w:val="000F1664"/>
    <w:rsid w:val="000F16E0"/>
    <w:rsid w:val="000F17D3"/>
    <w:rsid w:val="000F1837"/>
    <w:rsid w:val="000F19B1"/>
    <w:rsid w:val="000F1A71"/>
    <w:rsid w:val="000F1A85"/>
    <w:rsid w:val="000F1AA0"/>
    <w:rsid w:val="000F1AE0"/>
    <w:rsid w:val="000F1CB7"/>
    <w:rsid w:val="000F1D46"/>
    <w:rsid w:val="000F1E9E"/>
    <w:rsid w:val="000F1EB7"/>
    <w:rsid w:val="000F1EDE"/>
    <w:rsid w:val="000F22F0"/>
    <w:rsid w:val="000F23DB"/>
    <w:rsid w:val="000F2401"/>
    <w:rsid w:val="000F2414"/>
    <w:rsid w:val="000F253D"/>
    <w:rsid w:val="000F2645"/>
    <w:rsid w:val="000F2681"/>
    <w:rsid w:val="000F26C3"/>
    <w:rsid w:val="000F275F"/>
    <w:rsid w:val="000F29FF"/>
    <w:rsid w:val="000F2CC4"/>
    <w:rsid w:val="000F2CD2"/>
    <w:rsid w:val="000F2D4F"/>
    <w:rsid w:val="000F2E3E"/>
    <w:rsid w:val="000F2E77"/>
    <w:rsid w:val="000F3132"/>
    <w:rsid w:val="000F31EA"/>
    <w:rsid w:val="000F325D"/>
    <w:rsid w:val="000F3416"/>
    <w:rsid w:val="000F3587"/>
    <w:rsid w:val="000F35FB"/>
    <w:rsid w:val="000F36EF"/>
    <w:rsid w:val="000F384C"/>
    <w:rsid w:val="000F39EF"/>
    <w:rsid w:val="000F39F8"/>
    <w:rsid w:val="000F3BCB"/>
    <w:rsid w:val="000F3C58"/>
    <w:rsid w:val="000F3CBF"/>
    <w:rsid w:val="000F3DA4"/>
    <w:rsid w:val="000F3DC4"/>
    <w:rsid w:val="000F3E3B"/>
    <w:rsid w:val="000F3E41"/>
    <w:rsid w:val="000F3F2A"/>
    <w:rsid w:val="000F3F56"/>
    <w:rsid w:val="000F3F91"/>
    <w:rsid w:val="000F4082"/>
    <w:rsid w:val="000F4099"/>
    <w:rsid w:val="000F4202"/>
    <w:rsid w:val="000F4236"/>
    <w:rsid w:val="000F4271"/>
    <w:rsid w:val="000F42A2"/>
    <w:rsid w:val="000F4376"/>
    <w:rsid w:val="000F4409"/>
    <w:rsid w:val="000F441C"/>
    <w:rsid w:val="000F4539"/>
    <w:rsid w:val="000F457C"/>
    <w:rsid w:val="000F459D"/>
    <w:rsid w:val="000F4627"/>
    <w:rsid w:val="000F4670"/>
    <w:rsid w:val="000F46E0"/>
    <w:rsid w:val="000F4788"/>
    <w:rsid w:val="000F47C8"/>
    <w:rsid w:val="000F493E"/>
    <w:rsid w:val="000F4967"/>
    <w:rsid w:val="000F4988"/>
    <w:rsid w:val="000F4A9D"/>
    <w:rsid w:val="000F4ADB"/>
    <w:rsid w:val="000F4B91"/>
    <w:rsid w:val="000F4C48"/>
    <w:rsid w:val="000F4C63"/>
    <w:rsid w:val="000F4CA6"/>
    <w:rsid w:val="000F4CC1"/>
    <w:rsid w:val="000F4D36"/>
    <w:rsid w:val="000F4D83"/>
    <w:rsid w:val="000F4DB9"/>
    <w:rsid w:val="000F4E11"/>
    <w:rsid w:val="000F4F3B"/>
    <w:rsid w:val="000F4F7B"/>
    <w:rsid w:val="000F4FD0"/>
    <w:rsid w:val="000F50CA"/>
    <w:rsid w:val="000F51A1"/>
    <w:rsid w:val="000F51F6"/>
    <w:rsid w:val="000F5245"/>
    <w:rsid w:val="000F5326"/>
    <w:rsid w:val="000F5486"/>
    <w:rsid w:val="000F54C4"/>
    <w:rsid w:val="000F555E"/>
    <w:rsid w:val="000F5586"/>
    <w:rsid w:val="000F55C7"/>
    <w:rsid w:val="000F55DF"/>
    <w:rsid w:val="000F57C3"/>
    <w:rsid w:val="000F57C7"/>
    <w:rsid w:val="000F5939"/>
    <w:rsid w:val="000F59C4"/>
    <w:rsid w:val="000F59FA"/>
    <w:rsid w:val="000F5A26"/>
    <w:rsid w:val="000F5A41"/>
    <w:rsid w:val="000F5AE4"/>
    <w:rsid w:val="000F5B32"/>
    <w:rsid w:val="000F5B87"/>
    <w:rsid w:val="000F5BFC"/>
    <w:rsid w:val="000F5C2F"/>
    <w:rsid w:val="000F5D33"/>
    <w:rsid w:val="000F5E4C"/>
    <w:rsid w:val="000F5E83"/>
    <w:rsid w:val="000F5F0E"/>
    <w:rsid w:val="000F5F0F"/>
    <w:rsid w:val="000F5F44"/>
    <w:rsid w:val="000F5FEB"/>
    <w:rsid w:val="000F6146"/>
    <w:rsid w:val="000F61FE"/>
    <w:rsid w:val="000F6265"/>
    <w:rsid w:val="000F64AD"/>
    <w:rsid w:val="000F6586"/>
    <w:rsid w:val="000F6737"/>
    <w:rsid w:val="000F6788"/>
    <w:rsid w:val="000F67AE"/>
    <w:rsid w:val="000F67E8"/>
    <w:rsid w:val="000F6836"/>
    <w:rsid w:val="000F6898"/>
    <w:rsid w:val="000F68A5"/>
    <w:rsid w:val="000F68A9"/>
    <w:rsid w:val="000F68AF"/>
    <w:rsid w:val="000F699F"/>
    <w:rsid w:val="000F6A16"/>
    <w:rsid w:val="000F6B8F"/>
    <w:rsid w:val="000F6B9B"/>
    <w:rsid w:val="000F6BC9"/>
    <w:rsid w:val="000F6BD6"/>
    <w:rsid w:val="000F6E87"/>
    <w:rsid w:val="000F6EC3"/>
    <w:rsid w:val="000F6F9B"/>
    <w:rsid w:val="000F73E6"/>
    <w:rsid w:val="000F73F0"/>
    <w:rsid w:val="000F74B7"/>
    <w:rsid w:val="000F75D8"/>
    <w:rsid w:val="000F7724"/>
    <w:rsid w:val="000F7780"/>
    <w:rsid w:val="000F77AD"/>
    <w:rsid w:val="000F781C"/>
    <w:rsid w:val="000F7883"/>
    <w:rsid w:val="000F7949"/>
    <w:rsid w:val="000F795D"/>
    <w:rsid w:val="000F7A99"/>
    <w:rsid w:val="000F7C68"/>
    <w:rsid w:val="000F7CEA"/>
    <w:rsid w:val="000F7CED"/>
    <w:rsid w:val="000F7D13"/>
    <w:rsid w:val="000F7D19"/>
    <w:rsid w:val="000F7EA1"/>
    <w:rsid w:val="000F7EAA"/>
    <w:rsid w:val="000F7FAE"/>
    <w:rsid w:val="00100004"/>
    <w:rsid w:val="00100141"/>
    <w:rsid w:val="00100166"/>
    <w:rsid w:val="0010021B"/>
    <w:rsid w:val="00100235"/>
    <w:rsid w:val="0010029F"/>
    <w:rsid w:val="001002AC"/>
    <w:rsid w:val="00100311"/>
    <w:rsid w:val="001003A9"/>
    <w:rsid w:val="001003CE"/>
    <w:rsid w:val="0010063B"/>
    <w:rsid w:val="001006CF"/>
    <w:rsid w:val="001006EE"/>
    <w:rsid w:val="001007DD"/>
    <w:rsid w:val="00100849"/>
    <w:rsid w:val="00100B2F"/>
    <w:rsid w:val="00100B77"/>
    <w:rsid w:val="00100C1F"/>
    <w:rsid w:val="00100D3B"/>
    <w:rsid w:val="00100E93"/>
    <w:rsid w:val="00100EC0"/>
    <w:rsid w:val="00100EE5"/>
    <w:rsid w:val="00100F41"/>
    <w:rsid w:val="00100F6C"/>
    <w:rsid w:val="00100F84"/>
    <w:rsid w:val="00100FC1"/>
    <w:rsid w:val="00100FFB"/>
    <w:rsid w:val="00101069"/>
    <w:rsid w:val="0010109D"/>
    <w:rsid w:val="00101164"/>
    <w:rsid w:val="00101234"/>
    <w:rsid w:val="001012AE"/>
    <w:rsid w:val="0010134C"/>
    <w:rsid w:val="00101448"/>
    <w:rsid w:val="00101451"/>
    <w:rsid w:val="00101495"/>
    <w:rsid w:val="0010149F"/>
    <w:rsid w:val="001014DD"/>
    <w:rsid w:val="00101528"/>
    <w:rsid w:val="00101633"/>
    <w:rsid w:val="001016CC"/>
    <w:rsid w:val="00101790"/>
    <w:rsid w:val="00101798"/>
    <w:rsid w:val="001018D9"/>
    <w:rsid w:val="00101B72"/>
    <w:rsid w:val="00101BAA"/>
    <w:rsid w:val="00101DBA"/>
    <w:rsid w:val="00101E20"/>
    <w:rsid w:val="00101F4B"/>
    <w:rsid w:val="001021BF"/>
    <w:rsid w:val="001023D7"/>
    <w:rsid w:val="0010246C"/>
    <w:rsid w:val="001024AA"/>
    <w:rsid w:val="00102603"/>
    <w:rsid w:val="00102680"/>
    <w:rsid w:val="0010272E"/>
    <w:rsid w:val="00102792"/>
    <w:rsid w:val="001028BF"/>
    <w:rsid w:val="001029A7"/>
    <w:rsid w:val="001029BB"/>
    <w:rsid w:val="00102A62"/>
    <w:rsid w:val="00102A8A"/>
    <w:rsid w:val="00102ADC"/>
    <w:rsid w:val="00102C46"/>
    <w:rsid w:val="00102CE5"/>
    <w:rsid w:val="00102CEB"/>
    <w:rsid w:val="00102D8F"/>
    <w:rsid w:val="00102E23"/>
    <w:rsid w:val="00102E81"/>
    <w:rsid w:val="00102FB9"/>
    <w:rsid w:val="00102FBF"/>
    <w:rsid w:val="0010303A"/>
    <w:rsid w:val="0010319F"/>
    <w:rsid w:val="001031A7"/>
    <w:rsid w:val="00103370"/>
    <w:rsid w:val="00103545"/>
    <w:rsid w:val="001036E0"/>
    <w:rsid w:val="001036EE"/>
    <w:rsid w:val="0010378B"/>
    <w:rsid w:val="001037A8"/>
    <w:rsid w:val="001038D1"/>
    <w:rsid w:val="001039AD"/>
    <w:rsid w:val="001039C9"/>
    <w:rsid w:val="001039EA"/>
    <w:rsid w:val="00103B1A"/>
    <w:rsid w:val="00103B2B"/>
    <w:rsid w:val="00103B6B"/>
    <w:rsid w:val="00103BDA"/>
    <w:rsid w:val="00103CBE"/>
    <w:rsid w:val="00103D34"/>
    <w:rsid w:val="00103D62"/>
    <w:rsid w:val="00103D72"/>
    <w:rsid w:val="00103E0F"/>
    <w:rsid w:val="00103E15"/>
    <w:rsid w:val="00103EFB"/>
    <w:rsid w:val="0010405D"/>
    <w:rsid w:val="001040B8"/>
    <w:rsid w:val="00104224"/>
    <w:rsid w:val="0010445A"/>
    <w:rsid w:val="001044AA"/>
    <w:rsid w:val="001045AE"/>
    <w:rsid w:val="001046E8"/>
    <w:rsid w:val="00104880"/>
    <w:rsid w:val="00104982"/>
    <w:rsid w:val="001049C7"/>
    <w:rsid w:val="001049E0"/>
    <w:rsid w:val="00104B9A"/>
    <w:rsid w:val="00104D01"/>
    <w:rsid w:val="00104D12"/>
    <w:rsid w:val="00104D19"/>
    <w:rsid w:val="00104D5E"/>
    <w:rsid w:val="00104D7A"/>
    <w:rsid w:val="00104E9D"/>
    <w:rsid w:val="00104F38"/>
    <w:rsid w:val="00104FFA"/>
    <w:rsid w:val="001050BD"/>
    <w:rsid w:val="0010516B"/>
    <w:rsid w:val="00105242"/>
    <w:rsid w:val="001053C8"/>
    <w:rsid w:val="0010550F"/>
    <w:rsid w:val="00105667"/>
    <w:rsid w:val="001056B0"/>
    <w:rsid w:val="00105770"/>
    <w:rsid w:val="001057AC"/>
    <w:rsid w:val="00105837"/>
    <w:rsid w:val="0010597C"/>
    <w:rsid w:val="001059F1"/>
    <w:rsid w:val="00105C45"/>
    <w:rsid w:val="00105C4A"/>
    <w:rsid w:val="00105C94"/>
    <w:rsid w:val="00105D05"/>
    <w:rsid w:val="00105E8C"/>
    <w:rsid w:val="00105E9D"/>
    <w:rsid w:val="00105EE4"/>
    <w:rsid w:val="00105F10"/>
    <w:rsid w:val="00105F28"/>
    <w:rsid w:val="0010610B"/>
    <w:rsid w:val="00106160"/>
    <w:rsid w:val="0010617D"/>
    <w:rsid w:val="001061E3"/>
    <w:rsid w:val="00106307"/>
    <w:rsid w:val="00106308"/>
    <w:rsid w:val="00106379"/>
    <w:rsid w:val="00106484"/>
    <w:rsid w:val="0010654F"/>
    <w:rsid w:val="001065A7"/>
    <w:rsid w:val="00106691"/>
    <w:rsid w:val="001066C3"/>
    <w:rsid w:val="001066DB"/>
    <w:rsid w:val="0010671E"/>
    <w:rsid w:val="001067A7"/>
    <w:rsid w:val="00106837"/>
    <w:rsid w:val="00106869"/>
    <w:rsid w:val="0010688F"/>
    <w:rsid w:val="00106993"/>
    <w:rsid w:val="00106A03"/>
    <w:rsid w:val="00106AE0"/>
    <w:rsid w:val="00106B06"/>
    <w:rsid w:val="00106B87"/>
    <w:rsid w:val="00106C08"/>
    <w:rsid w:val="00106DA5"/>
    <w:rsid w:val="00106DE4"/>
    <w:rsid w:val="00106EAA"/>
    <w:rsid w:val="00106F62"/>
    <w:rsid w:val="00106FA5"/>
    <w:rsid w:val="00106FAA"/>
    <w:rsid w:val="001071A4"/>
    <w:rsid w:val="001071C5"/>
    <w:rsid w:val="00107286"/>
    <w:rsid w:val="001072B4"/>
    <w:rsid w:val="001072FC"/>
    <w:rsid w:val="00107354"/>
    <w:rsid w:val="001073FF"/>
    <w:rsid w:val="0010749F"/>
    <w:rsid w:val="0010767D"/>
    <w:rsid w:val="00107694"/>
    <w:rsid w:val="00107747"/>
    <w:rsid w:val="001077C0"/>
    <w:rsid w:val="0010784C"/>
    <w:rsid w:val="001079AC"/>
    <w:rsid w:val="001079C2"/>
    <w:rsid w:val="00107B1F"/>
    <w:rsid w:val="00107BD4"/>
    <w:rsid w:val="00107EC4"/>
    <w:rsid w:val="00107ECD"/>
    <w:rsid w:val="00107F8D"/>
    <w:rsid w:val="00110138"/>
    <w:rsid w:val="001101F2"/>
    <w:rsid w:val="001101F9"/>
    <w:rsid w:val="00110202"/>
    <w:rsid w:val="0011022B"/>
    <w:rsid w:val="0011023D"/>
    <w:rsid w:val="001102BB"/>
    <w:rsid w:val="0011034C"/>
    <w:rsid w:val="0011036D"/>
    <w:rsid w:val="00110389"/>
    <w:rsid w:val="00110455"/>
    <w:rsid w:val="00110607"/>
    <w:rsid w:val="0011063E"/>
    <w:rsid w:val="001106EF"/>
    <w:rsid w:val="00110845"/>
    <w:rsid w:val="001108B8"/>
    <w:rsid w:val="00110A86"/>
    <w:rsid w:val="00110BBF"/>
    <w:rsid w:val="00110BD8"/>
    <w:rsid w:val="00110C7B"/>
    <w:rsid w:val="00110D42"/>
    <w:rsid w:val="00110D83"/>
    <w:rsid w:val="00110D96"/>
    <w:rsid w:val="00110E68"/>
    <w:rsid w:val="00110EF2"/>
    <w:rsid w:val="00110EFD"/>
    <w:rsid w:val="00110F4A"/>
    <w:rsid w:val="0011106B"/>
    <w:rsid w:val="00111084"/>
    <w:rsid w:val="00111107"/>
    <w:rsid w:val="001111CA"/>
    <w:rsid w:val="0011124F"/>
    <w:rsid w:val="00111269"/>
    <w:rsid w:val="0011133C"/>
    <w:rsid w:val="001113DB"/>
    <w:rsid w:val="001114BA"/>
    <w:rsid w:val="00111503"/>
    <w:rsid w:val="00111535"/>
    <w:rsid w:val="0011167F"/>
    <w:rsid w:val="00111693"/>
    <w:rsid w:val="0011171D"/>
    <w:rsid w:val="00111766"/>
    <w:rsid w:val="00111800"/>
    <w:rsid w:val="00111854"/>
    <w:rsid w:val="0011194C"/>
    <w:rsid w:val="0011197F"/>
    <w:rsid w:val="00111986"/>
    <w:rsid w:val="001119D0"/>
    <w:rsid w:val="00111BD7"/>
    <w:rsid w:val="00111CB3"/>
    <w:rsid w:val="00111D64"/>
    <w:rsid w:val="00111DCA"/>
    <w:rsid w:val="00111DD2"/>
    <w:rsid w:val="00112075"/>
    <w:rsid w:val="0011214F"/>
    <w:rsid w:val="00112315"/>
    <w:rsid w:val="0011232F"/>
    <w:rsid w:val="00112385"/>
    <w:rsid w:val="001123C9"/>
    <w:rsid w:val="0011240C"/>
    <w:rsid w:val="00112429"/>
    <w:rsid w:val="0011244F"/>
    <w:rsid w:val="0011263F"/>
    <w:rsid w:val="00112856"/>
    <w:rsid w:val="0011298D"/>
    <w:rsid w:val="001129AF"/>
    <w:rsid w:val="00112A0D"/>
    <w:rsid w:val="00112AE3"/>
    <w:rsid w:val="00112AE9"/>
    <w:rsid w:val="00112C75"/>
    <w:rsid w:val="00112D02"/>
    <w:rsid w:val="00112DA6"/>
    <w:rsid w:val="00112E5D"/>
    <w:rsid w:val="00112E84"/>
    <w:rsid w:val="00112FB3"/>
    <w:rsid w:val="00112FD9"/>
    <w:rsid w:val="001130E1"/>
    <w:rsid w:val="0011336F"/>
    <w:rsid w:val="001133A1"/>
    <w:rsid w:val="001133FD"/>
    <w:rsid w:val="00113525"/>
    <w:rsid w:val="001135A5"/>
    <w:rsid w:val="0011363B"/>
    <w:rsid w:val="00113646"/>
    <w:rsid w:val="00113779"/>
    <w:rsid w:val="00113794"/>
    <w:rsid w:val="00113828"/>
    <w:rsid w:val="0011398F"/>
    <w:rsid w:val="001139FB"/>
    <w:rsid w:val="00113A11"/>
    <w:rsid w:val="00113A19"/>
    <w:rsid w:val="00113A5B"/>
    <w:rsid w:val="00113A5E"/>
    <w:rsid w:val="00113A96"/>
    <w:rsid w:val="00113AF0"/>
    <w:rsid w:val="00113B27"/>
    <w:rsid w:val="00113B4F"/>
    <w:rsid w:val="00113D6D"/>
    <w:rsid w:val="00113E3A"/>
    <w:rsid w:val="00113F4E"/>
    <w:rsid w:val="00113FA3"/>
    <w:rsid w:val="0011402A"/>
    <w:rsid w:val="00114105"/>
    <w:rsid w:val="00114155"/>
    <w:rsid w:val="00114194"/>
    <w:rsid w:val="0011422E"/>
    <w:rsid w:val="0011423D"/>
    <w:rsid w:val="001143CF"/>
    <w:rsid w:val="0011453F"/>
    <w:rsid w:val="00114622"/>
    <w:rsid w:val="0011466E"/>
    <w:rsid w:val="001146DB"/>
    <w:rsid w:val="00114724"/>
    <w:rsid w:val="0011478B"/>
    <w:rsid w:val="00114870"/>
    <w:rsid w:val="0011489A"/>
    <w:rsid w:val="001148A1"/>
    <w:rsid w:val="00114A0D"/>
    <w:rsid w:val="00114BD8"/>
    <w:rsid w:val="00114D30"/>
    <w:rsid w:val="00114DC8"/>
    <w:rsid w:val="00114ED0"/>
    <w:rsid w:val="00114F7C"/>
    <w:rsid w:val="00115002"/>
    <w:rsid w:val="0011503B"/>
    <w:rsid w:val="00115070"/>
    <w:rsid w:val="001151A2"/>
    <w:rsid w:val="001152A7"/>
    <w:rsid w:val="0011530D"/>
    <w:rsid w:val="001153BA"/>
    <w:rsid w:val="001153D9"/>
    <w:rsid w:val="00115434"/>
    <w:rsid w:val="00115497"/>
    <w:rsid w:val="001155AC"/>
    <w:rsid w:val="00115657"/>
    <w:rsid w:val="00115665"/>
    <w:rsid w:val="0011567A"/>
    <w:rsid w:val="001157E4"/>
    <w:rsid w:val="00115A99"/>
    <w:rsid w:val="00115AA0"/>
    <w:rsid w:val="00115C0C"/>
    <w:rsid w:val="00115C31"/>
    <w:rsid w:val="00115DD0"/>
    <w:rsid w:val="00115F8B"/>
    <w:rsid w:val="00116092"/>
    <w:rsid w:val="00116252"/>
    <w:rsid w:val="001163B7"/>
    <w:rsid w:val="00116479"/>
    <w:rsid w:val="00116487"/>
    <w:rsid w:val="001166D9"/>
    <w:rsid w:val="00116707"/>
    <w:rsid w:val="0011678C"/>
    <w:rsid w:val="0011683A"/>
    <w:rsid w:val="00116946"/>
    <w:rsid w:val="00116986"/>
    <w:rsid w:val="001169D4"/>
    <w:rsid w:val="00116E1D"/>
    <w:rsid w:val="0011715E"/>
    <w:rsid w:val="001171BD"/>
    <w:rsid w:val="0011731C"/>
    <w:rsid w:val="00117337"/>
    <w:rsid w:val="00117360"/>
    <w:rsid w:val="0011744D"/>
    <w:rsid w:val="001175B1"/>
    <w:rsid w:val="00117683"/>
    <w:rsid w:val="0011768F"/>
    <w:rsid w:val="001177CF"/>
    <w:rsid w:val="001178D4"/>
    <w:rsid w:val="00117985"/>
    <w:rsid w:val="001179FD"/>
    <w:rsid w:val="00117A55"/>
    <w:rsid w:val="00117BF5"/>
    <w:rsid w:val="00117C2B"/>
    <w:rsid w:val="00117C6D"/>
    <w:rsid w:val="00117D4D"/>
    <w:rsid w:val="00117DEC"/>
    <w:rsid w:val="00117E4C"/>
    <w:rsid w:val="00117E7E"/>
    <w:rsid w:val="00117E81"/>
    <w:rsid w:val="00117F12"/>
    <w:rsid w:val="00120072"/>
    <w:rsid w:val="001200C0"/>
    <w:rsid w:val="001200D8"/>
    <w:rsid w:val="001202D7"/>
    <w:rsid w:val="001202DE"/>
    <w:rsid w:val="0012033F"/>
    <w:rsid w:val="00120385"/>
    <w:rsid w:val="001203AB"/>
    <w:rsid w:val="0012042D"/>
    <w:rsid w:val="0012057C"/>
    <w:rsid w:val="00120659"/>
    <w:rsid w:val="001206A8"/>
    <w:rsid w:val="001206B2"/>
    <w:rsid w:val="001207FE"/>
    <w:rsid w:val="00120803"/>
    <w:rsid w:val="001208FB"/>
    <w:rsid w:val="00120AA9"/>
    <w:rsid w:val="00120BBE"/>
    <w:rsid w:val="00120C3E"/>
    <w:rsid w:val="00120C4C"/>
    <w:rsid w:val="00120C54"/>
    <w:rsid w:val="00120C65"/>
    <w:rsid w:val="00120C8B"/>
    <w:rsid w:val="00120CB6"/>
    <w:rsid w:val="00120D3A"/>
    <w:rsid w:val="00120F44"/>
    <w:rsid w:val="00120F79"/>
    <w:rsid w:val="00120F7B"/>
    <w:rsid w:val="0012100A"/>
    <w:rsid w:val="001210C4"/>
    <w:rsid w:val="001210CF"/>
    <w:rsid w:val="00121104"/>
    <w:rsid w:val="001211BE"/>
    <w:rsid w:val="001211E8"/>
    <w:rsid w:val="001212E6"/>
    <w:rsid w:val="001212F5"/>
    <w:rsid w:val="00121478"/>
    <w:rsid w:val="0012162B"/>
    <w:rsid w:val="00121698"/>
    <w:rsid w:val="001216E1"/>
    <w:rsid w:val="001217C6"/>
    <w:rsid w:val="0012181A"/>
    <w:rsid w:val="001218DF"/>
    <w:rsid w:val="00121A08"/>
    <w:rsid w:val="00121A4D"/>
    <w:rsid w:val="00121A64"/>
    <w:rsid w:val="00121AFD"/>
    <w:rsid w:val="00121B8D"/>
    <w:rsid w:val="00121C51"/>
    <w:rsid w:val="00121DE1"/>
    <w:rsid w:val="00121E2A"/>
    <w:rsid w:val="00121F6C"/>
    <w:rsid w:val="00121FDF"/>
    <w:rsid w:val="00122055"/>
    <w:rsid w:val="0012209F"/>
    <w:rsid w:val="001220FE"/>
    <w:rsid w:val="00122206"/>
    <w:rsid w:val="00122329"/>
    <w:rsid w:val="00122367"/>
    <w:rsid w:val="0012240E"/>
    <w:rsid w:val="0012245B"/>
    <w:rsid w:val="0012246B"/>
    <w:rsid w:val="00122520"/>
    <w:rsid w:val="0012253D"/>
    <w:rsid w:val="001225AF"/>
    <w:rsid w:val="00122665"/>
    <w:rsid w:val="001226CB"/>
    <w:rsid w:val="001226CC"/>
    <w:rsid w:val="00122748"/>
    <w:rsid w:val="00122770"/>
    <w:rsid w:val="0012285D"/>
    <w:rsid w:val="00122884"/>
    <w:rsid w:val="001228B2"/>
    <w:rsid w:val="001228EB"/>
    <w:rsid w:val="00122BDA"/>
    <w:rsid w:val="00122D61"/>
    <w:rsid w:val="00122ED0"/>
    <w:rsid w:val="00122FA2"/>
    <w:rsid w:val="0012302B"/>
    <w:rsid w:val="00123151"/>
    <w:rsid w:val="00123161"/>
    <w:rsid w:val="00123196"/>
    <w:rsid w:val="001232BE"/>
    <w:rsid w:val="001232EA"/>
    <w:rsid w:val="00123331"/>
    <w:rsid w:val="00123434"/>
    <w:rsid w:val="00123481"/>
    <w:rsid w:val="0012365E"/>
    <w:rsid w:val="0012370B"/>
    <w:rsid w:val="00123747"/>
    <w:rsid w:val="0012378C"/>
    <w:rsid w:val="001237BB"/>
    <w:rsid w:val="00123930"/>
    <w:rsid w:val="00123B37"/>
    <w:rsid w:val="00123B60"/>
    <w:rsid w:val="00123C34"/>
    <w:rsid w:val="00123C41"/>
    <w:rsid w:val="00123D7E"/>
    <w:rsid w:val="00123DA0"/>
    <w:rsid w:val="00123E87"/>
    <w:rsid w:val="0012407C"/>
    <w:rsid w:val="001240C2"/>
    <w:rsid w:val="001240D7"/>
    <w:rsid w:val="001242BA"/>
    <w:rsid w:val="001242D0"/>
    <w:rsid w:val="001245B7"/>
    <w:rsid w:val="001245BB"/>
    <w:rsid w:val="001245FF"/>
    <w:rsid w:val="0012467B"/>
    <w:rsid w:val="00124681"/>
    <w:rsid w:val="0012470D"/>
    <w:rsid w:val="001247BF"/>
    <w:rsid w:val="0012491E"/>
    <w:rsid w:val="00124B4D"/>
    <w:rsid w:val="00124BFE"/>
    <w:rsid w:val="00124C6D"/>
    <w:rsid w:val="00124DE7"/>
    <w:rsid w:val="00124E00"/>
    <w:rsid w:val="00124F92"/>
    <w:rsid w:val="00124FB4"/>
    <w:rsid w:val="00125074"/>
    <w:rsid w:val="001250B0"/>
    <w:rsid w:val="00125149"/>
    <w:rsid w:val="0012519D"/>
    <w:rsid w:val="001251B5"/>
    <w:rsid w:val="00125263"/>
    <w:rsid w:val="00125347"/>
    <w:rsid w:val="001253C7"/>
    <w:rsid w:val="00125503"/>
    <w:rsid w:val="00125626"/>
    <w:rsid w:val="0012566E"/>
    <w:rsid w:val="001257B3"/>
    <w:rsid w:val="0012582E"/>
    <w:rsid w:val="00125A0E"/>
    <w:rsid w:val="00125A1B"/>
    <w:rsid w:val="00125A8A"/>
    <w:rsid w:val="00125AC4"/>
    <w:rsid w:val="00125C81"/>
    <w:rsid w:val="00125CA7"/>
    <w:rsid w:val="00125CCE"/>
    <w:rsid w:val="00125CEB"/>
    <w:rsid w:val="00125D01"/>
    <w:rsid w:val="00125DC3"/>
    <w:rsid w:val="00125EA4"/>
    <w:rsid w:val="00125F95"/>
    <w:rsid w:val="00125F9F"/>
    <w:rsid w:val="00125FA3"/>
    <w:rsid w:val="00126044"/>
    <w:rsid w:val="00126101"/>
    <w:rsid w:val="00126123"/>
    <w:rsid w:val="0012618F"/>
    <w:rsid w:val="001261EA"/>
    <w:rsid w:val="001262D1"/>
    <w:rsid w:val="0012630B"/>
    <w:rsid w:val="0012631F"/>
    <w:rsid w:val="00126344"/>
    <w:rsid w:val="0012645D"/>
    <w:rsid w:val="001265ED"/>
    <w:rsid w:val="0012671F"/>
    <w:rsid w:val="001267D8"/>
    <w:rsid w:val="0012688A"/>
    <w:rsid w:val="001268F7"/>
    <w:rsid w:val="001268FC"/>
    <w:rsid w:val="00126900"/>
    <w:rsid w:val="00126A0E"/>
    <w:rsid w:val="00126ABE"/>
    <w:rsid w:val="00126B35"/>
    <w:rsid w:val="00126C6E"/>
    <w:rsid w:val="00126D18"/>
    <w:rsid w:val="00126DE0"/>
    <w:rsid w:val="00126F8A"/>
    <w:rsid w:val="0012716A"/>
    <w:rsid w:val="0012718E"/>
    <w:rsid w:val="00127266"/>
    <w:rsid w:val="0012728F"/>
    <w:rsid w:val="0012737E"/>
    <w:rsid w:val="0012738B"/>
    <w:rsid w:val="00127399"/>
    <w:rsid w:val="001273AF"/>
    <w:rsid w:val="001273B6"/>
    <w:rsid w:val="00127441"/>
    <w:rsid w:val="00127452"/>
    <w:rsid w:val="0012745C"/>
    <w:rsid w:val="001274D9"/>
    <w:rsid w:val="001275BF"/>
    <w:rsid w:val="001275F8"/>
    <w:rsid w:val="00127639"/>
    <w:rsid w:val="001276A2"/>
    <w:rsid w:val="001276CD"/>
    <w:rsid w:val="00127703"/>
    <w:rsid w:val="0012772F"/>
    <w:rsid w:val="001279C0"/>
    <w:rsid w:val="00127A26"/>
    <w:rsid w:val="00127A5F"/>
    <w:rsid w:val="00127A88"/>
    <w:rsid w:val="00127ADA"/>
    <w:rsid w:val="00127B88"/>
    <w:rsid w:val="00127BF5"/>
    <w:rsid w:val="00127C1A"/>
    <w:rsid w:val="00127D41"/>
    <w:rsid w:val="00127FC1"/>
    <w:rsid w:val="0013007F"/>
    <w:rsid w:val="00130096"/>
    <w:rsid w:val="001300C9"/>
    <w:rsid w:val="001302F6"/>
    <w:rsid w:val="00130392"/>
    <w:rsid w:val="001305C5"/>
    <w:rsid w:val="001306C6"/>
    <w:rsid w:val="00130710"/>
    <w:rsid w:val="001307E9"/>
    <w:rsid w:val="001307FF"/>
    <w:rsid w:val="001309BC"/>
    <w:rsid w:val="00130A31"/>
    <w:rsid w:val="00130A97"/>
    <w:rsid w:val="00130B79"/>
    <w:rsid w:val="00130BA5"/>
    <w:rsid w:val="00130BCF"/>
    <w:rsid w:val="00130C0E"/>
    <w:rsid w:val="00130D2E"/>
    <w:rsid w:val="00130D47"/>
    <w:rsid w:val="00130DA0"/>
    <w:rsid w:val="00130E6D"/>
    <w:rsid w:val="00130E90"/>
    <w:rsid w:val="00130F2B"/>
    <w:rsid w:val="00130FF2"/>
    <w:rsid w:val="0013110D"/>
    <w:rsid w:val="001311BF"/>
    <w:rsid w:val="001312D2"/>
    <w:rsid w:val="00131425"/>
    <w:rsid w:val="00131584"/>
    <w:rsid w:val="001315CA"/>
    <w:rsid w:val="00131603"/>
    <w:rsid w:val="00131696"/>
    <w:rsid w:val="0013172C"/>
    <w:rsid w:val="00131858"/>
    <w:rsid w:val="001318A5"/>
    <w:rsid w:val="00131B2E"/>
    <w:rsid w:val="00131BBD"/>
    <w:rsid w:val="00131BFA"/>
    <w:rsid w:val="00131C17"/>
    <w:rsid w:val="00131CD7"/>
    <w:rsid w:val="00131DC5"/>
    <w:rsid w:val="00131E72"/>
    <w:rsid w:val="00131F9A"/>
    <w:rsid w:val="0013208C"/>
    <w:rsid w:val="001320AE"/>
    <w:rsid w:val="001320ED"/>
    <w:rsid w:val="00132104"/>
    <w:rsid w:val="001321B8"/>
    <w:rsid w:val="00132246"/>
    <w:rsid w:val="00132248"/>
    <w:rsid w:val="00132279"/>
    <w:rsid w:val="001323DA"/>
    <w:rsid w:val="001323DF"/>
    <w:rsid w:val="00132478"/>
    <w:rsid w:val="001325CB"/>
    <w:rsid w:val="0013279C"/>
    <w:rsid w:val="00132850"/>
    <w:rsid w:val="00132916"/>
    <w:rsid w:val="00132939"/>
    <w:rsid w:val="00132958"/>
    <w:rsid w:val="001329A8"/>
    <w:rsid w:val="001329BB"/>
    <w:rsid w:val="001329D0"/>
    <w:rsid w:val="00132B5C"/>
    <w:rsid w:val="00132BF1"/>
    <w:rsid w:val="00132C66"/>
    <w:rsid w:val="00132C7D"/>
    <w:rsid w:val="00132D36"/>
    <w:rsid w:val="00132D84"/>
    <w:rsid w:val="00132F63"/>
    <w:rsid w:val="00133109"/>
    <w:rsid w:val="001333C8"/>
    <w:rsid w:val="001334DC"/>
    <w:rsid w:val="00133541"/>
    <w:rsid w:val="00133707"/>
    <w:rsid w:val="00133766"/>
    <w:rsid w:val="0013376B"/>
    <w:rsid w:val="001339FD"/>
    <w:rsid w:val="00133ACB"/>
    <w:rsid w:val="00133B87"/>
    <w:rsid w:val="00133BD9"/>
    <w:rsid w:val="00133C14"/>
    <w:rsid w:val="00133C74"/>
    <w:rsid w:val="00133D1B"/>
    <w:rsid w:val="00133E51"/>
    <w:rsid w:val="00133F1F"/>
    <w:rsid w:val="00134076"/>
    <w:rsid w:val="001341E2"/>
    <w:rsid w:val="0013428D"/>
    <w:rsid w:val="001342C0"/>
    <w:rsid w:val="001342D8"/>
    <w:rsid w:val="001343AE"/>
    <w:rsid w:val="001345F5"/>
    <w:rsid w:val="00134680"/>
    <w:rsid w:val="00134698"/>
    <w:rsid w:val="001347C7"/>
    <w:rsid w:val="0013484E"/>
    <w:rsid w:val="001349E4"/>
    <w:rsid w:val="00134A4D"/>
    <w:rsid w:val="00134A6C"/>
    <w:rsid w:val="00134B67"/>
    <w:rsid w:val="00134CC4"/>
    <w:rsid w:val="00134CF2"/>
    <w:rsid w:val="00134D48"/>
    <w:rsid w:val="00134D67"/>
    <w:rsid w:val="00134DB6"/>
    <w:rsid w:val="00134EBF"/>
    <w:rsid w:val="00134ED1"/>
    <w:rsid w:val="00134EDB"/>
    <w:rsid w:val="00134F44"/>
    <w:rsid w:val="0013502F"/>
    <w:rsid w:val="001350C3"/>
    <w:rsid w:val="001350FB"/>
    <w:rsid w:val="0013513D"/>
    <w:rsid w:val="0013522B"/>
    <w:rsid w:val="00135259"/>
    <w:rsid w:val="00135291"/>
    <w:rsid w:val="0013530A"/>
    <w:rsid w:val="0013534F"/>
    <w:rsid w:val="0013536F"/>
    <w:rsid w:val="001353C2"/>
    <w:rsid w:val="001353DE"/>
    <w:rsid w:val="001354C0"/>
    <w:rsid w:val="001356F4"/>
    <w:rsid w:val="00135710"/>
    <w:rsid w:val="001357A1"/>
    <w:rsid w:val="001357E7"/>
    <w:rsid w:val="00135808"/>
    <w:rsid w:val="0013588C"/>
    <w:rsid w:val="0013588E"/>
    <w:rsid w:val="001358C5"/>
    <w:rsid w:val="0013590C"/>
    <w:rsid w:val="00135B2D"/>
    <w:rsid w:val="00135BEA"/>
    <w:rsid w:val="00135BFD"/>
    <w:rsid w:val="00135C0D"/>
    <w:rsid w:val="00135CC0"/>
    <w:rsid w:val="00135DE8"/>
    <w:rsid w:val="00135EA4"/>
    <w:rsid w:val="00135F59"/>
    <w:rsid w:val="00136196"/>
    <w:rsid w:val="001362A2"/>
    <w:rsid w:val="001363D5"/>
    <w:rsid w:val="001363E1"/>
    <w:rsid w:val="001363E3"/>
    <w:rsid w:val="00136438"/>
    <w:rsid w:val="001364B3"/>
    <w:rsid w:val="001364E7"/>
    <w:rsid w:val="00136502"/>
    <w:rsid w:val="0013650B"/>
    <w:rsid w:val="00136518"/>
    <w:rsid w:val="00136546"/>
    <w:rsid w:val="001365BA"/>
    <w:rsid w:val="001365BE"/>
    <w:rsid w:val="00136776"/>
    <w:rsid w:val="00136964"/>
    <w:rsid w:val="001369BA"/>
    <w:rsid w:val="001369CB"/>
    <w:rsid w:val="00136B30"/>
    <w:rsid w:val="00136B3C"/>
    <w:rsid w:val="00136B44"/>
    <w:rsid w:val="00136C18"/>
    <w:rsid w:val="00136CC6"/>
    <w:rsid w:val="00136D21"/>
    <w:rsid w:val="00136F25"/>
    <w:rsid w:val="00136F7D"/>
    <w:rsid w:val="00136F88"/>
    <w:rsid w:val="00136FF2"/>
    <w:rsid w:val="001370DA"/>
    <w:rsid w:val="00137165"/>
    <w:rsid w:val="0013716C"/>
    <w:rsid w:val="0013717A"/>
    <w:rsid w:val="001371B2"/>
    <w:rsid w:val="001371C3"/>
    <w:rsid w:val="0013727D"/>
    <w:rsid w:val="001372B0"/>
    <w:rsid w:val="00137355"/>
    <w:rsid w:val="00137598"/>
    <w:rsid w:val="001376E2"/>
    <w:rsid w:val="00137929"/>
    <w:rsid w:val="00137989"/>
    <w:rsid w:val="00137A5F"/>
    <w:rsid w:val="00137A62"/>
    <w:rsid w:val="00137B00"/>
    <w:rsid w:val="00137C71"/>
    <w:rsid w:val="00137D50"/>
    <w:rsid w:val="00137DC1"/>
    <w:rsid w:val="00137DC2"/>
    <w:rsid w:val="00137EA3"/>
    <w:rsid w:val="00137F7C"/>
    <w:rsid w:val="00137FD5"/>
    <w:rsid w:val="001400C8"/>
    <w:rsid w:val="00140167"/>
    <w:rsid w:val="001401D0"/>
    <w:rsid w:val="00140231"/>
    <w:rsid w:val="00140350"/>
    <w:rsid w:val="001403A3"/>
    <w:rsid w:val="001404CC"/>
    <w:rsid w:val="0014052C"/>
    <w:rsid w:val="00140634"/>
    <w:rsid w:val="00140679"/>
    <w:rsid w:val="0014067D"/>
    <w:rsid w:val="00140719"/>
    <w:rsid w:val="001407BA"/>
    <w:rsid w:val="001407F9"/>
    <w:rsid w:val="00140ADF"/>
    <w:rsid w:val="00140B64"/>
    <w:rsid w:val="00140CB2"/>
    <w:rsid w:val="00140EB7"/>
    <w:rsid w:val="00140EE7"/>
    <w:rsid w:val="00141053"/>
    <w:rsid w:val="001411F7"/>
    <w:rsid w:val="0014123C"/>
    <w:rsid w:val="001414C0"/>
    <w:rsid w:val="0014151E"/>
    <w:rsid w:val="0014176A"/>
    <w:rsid w:val="00141882"/>
    <w:rsid w:val="00141980"/>
    <w:rsid w:val="00141A03"/>
    <w:rsid w:val="00141A33"/>
    <w:rsid w:val="00141A3E"/>
    <w:rsid w:val="00141A9F"/>
    <w:rsid w:val="00141B09"/>
    <w:rsid w:val="00141B34"/>
    <w:rsid w:val="00141B67"/>
    <w:rsid w:val="00141B90"/>
    <w:rsid w:val="00141CDB"/>
    <w:rsid w:val="00141D6E"/>
    <w:rsid w:val="00141F07"/>
    <w:rsid w:val="00141F70"/>
    <w:rsid w:val="00141F94"/>
    <w:rsid w:val="00141FA1"/>
    <w:rsid w:val="0014207D"/>
    <w:rsid w:val="001421E5"/>
    <w:rsid w:val="001421F8"/>
    <w:rsid w:val="00142277"/>
    <w:rsid w:val="00142298"/>
    <w:rsid w:val="0014237B"/>
    <w:rsid w:val="00142432"/>
    <w:rsid w:val="001425DD"/>
    <w:rsid w:val="00142641"/>
    <w:rsid w:val="001427BD"/>
    <w:rsid w:val="00142884"/>
    <w:rsid w:val="001428D5"/>
    <w:rsid w:val="0014291B"/>
    <w:rsid w:val="001429D1"/>
    <w:rsid w:val="00142A91"/>
    <w:rsid w:val="00142A9B"/>
    <w:rsid w:val="00142BEA"/>
    <w:rsid w:val="00142CAE"/>
    <w:rsid w:val="00142D1C"/>
    <w:rsid w:val="00142E35"/>
    <w:rsid w:val="00142F3E"/>
    <w:rsid w:val="00142F68"/>
    <w:rsid w:val="00143005"/>
    <w:rsid w:val="001430E1"/>
    <w:rsid w:val="0014311E"/>
    <w:rsid w:val="00143131"/>
    <w:rsid w:val="001431BC"/>
    <w:rsid w:val="00143259"/>
    <w:rsid w:val="001433E3"/>
    <w:rsid w:val="00143404"/>
    <w:rsid w:val="00143555"/>
    <w:rsid w:val="001437C3"/>
    <w:rsid w:val="0014380F"/>
    <w:rsid w:val="0014383C"/>
    <w:rsid w:val="0014385F"/>
    <w:rsid w:val="00143873"/>
    <w:rsid w:val="001438A5"/>
    <w:rsid w:val="00143926"/>
    <w:rsid w:val="00143B11"/>
    <w:rsid w:val="00143C3C"/>
    <w:rsid w:val="00143C85"/>
    <w:rsid w:val="00143CED"/>
    <w:rsid w:val="001442A2"/>
    <w:rsid w:val="00144435"/>
    <w:rsid w:val="001444CD"/>
    <w:rsid w:val="001446B5"/>
    <w:rsid w:val="001447B2"/>
    <w:rsid w:val="001447BC"/>
    <w:rsid w:val="001447C0"/>
    <w:rsid w:val="001447C1"/>
    <w:rsid w:val="0014483D"/>
    <w:rsid w:val="0014494D"/>
    <w:rsid w:val="00144AA8"/>
    <w:rsid w:val="00144B50"/>
    <w:rsid w:val="00144BEB"/>
    <w:rsid w:val="00144C14"/>
    <w:rsid w:val="00144CED"/>
    <w:rsid w:val="00144DBD"/>
    <w:rsid w:val="00145041"/>
    <w:rsid w:val="0014506A"/>
    <w:rsid w:val="001450AB"/>
    <w:rsid w:val="0014513E"/>
    <w:rsid w:val="00145182"/>
    <w:rsid w:val="001451AD"/>
    <w:rsid w:val="0014537A"/>
    <w:rsid w:val="001453CF"/>
    <w:rsid w:val="00145414"/>
    <w:rsid w:val="00145429"/>
    <w:rsid w:val="00145430"/>
    <w:rsid w:val="0014544B"/>
    <w:rsid w:val="00145464"/>
    <w:rsid w:val="0014562C"/>
    <w:rsid w:val="00145727"/>
    <w:rsid w:val="0014584E"/>
    <w:rsid w:val="00145870"/>
    <w:rsid w:val="001458D2"/>
    <w:rsid w:val="001459CB"/>
    <w:rsid w:val="00145A29"/>
    <w:rsid w:val="00145A3F"/>
    <w:rsid w:val="00145A49"/>
    <w:rsid w:val="00145A4A"/>
    <w:rsid w:val="00145AFB"/>
    <w:rsid w:val="00145CA0"/>
    <w:rsid w:val="00145D82"/>
    <w:rsid w:val="00145F42"/>
    <w:rsid w:val="00145FFF"/>
    <w:rsid w:val="001461AC"/>
    <w:rsid w:val="001461B4"/>
    <w:rsid w:val="001461E7"/>
    <w:rsid w:val="0014620F"/>
    <w:rsid w:val="00146278"/>
    <w:rsid w:val="001463EC"/>
    <w:rsid w:val="0014651D"/>
    <w:rsid w:val="0014670F"/>
    <w:rsid w:val="00146778"/>
    <w:rsid w:val="001467FD"/>
    <w:rsid w:val="0014682D"/>
    <w:rsid w:val="001469F0"/>
    <w:rsid w:val="00146AFE"/>
    <w:rsid w:val="00146B22"/>
    <w:rsid w:val="00146BB0"/>
    <w:rsid w:val="00146C1E"/>
    <w:rsid w:val="00146C2E"/>
    <w:rsid w:val="00146C51"/>
    <w:rsid w:val="00146DCB"/>
    <w:rsid w:val="00146F1E"/>
    <w:rsid w:val="001470C5"/>
    <w:rsid w:val="001471F6"/>
    <w:rsid w:val="001472B6"/>
    <w:rsid w:val="00147349"/>
    <w:rsid w:val="001473C0"/>
    <w:rsid w:val="00147763"/>
    <w:rsid w:val="001477E2"/>
    <w:rsid w:val="001477FB"/>
    <w:rsid w:val="0014786A"/>
    <w:rsid w:val="0014788F"/>
    <w:rsid w:val="00147944"/>
    <w:rsid w:val="00147A4F"/>
    <w:rsid w:val="00147ACD"/>
    <w:rsid w:val="00147B6F"/>
    <w:rsid w:val="00147C1F"/>
    <w:rsid w:val="00147C58"/>
    <w:rsid w:val="00147D8E"/>
    <w:rsid w:val="00147E95"/>
    <w:rsid w:val="00147EF8"/>
    <w:rsid w:val="00147F9E"/>
    <w:rsid w:val="00150103"/>
    <w:rsid w:val="00150154"/>
    <w:rsid w:val="001501A5"/>
    <w:rsid w:val="001501B5"/>
    <w:rsid w:val="00150271"/>
    <w:rsid w:val="00150387"/>
    <w:rsid w:val="001503D7"/>
    <w:rsid w:val="001503F6"/>
    <w:rsid w:val="00150474"/>
    <w:rsid w:val="00150574"/>
    <w:rsid w:val="001505A9"/>
    <w:rsid w:val="001505AF"/>
    <w:rsid w:val="001505B1"/>
    <w:rsid w:val="00150613"/>
    <w:rsid w:val="00150685"/>
    <w:rsid w:val="001506EA"/>
    <w:rsid w:val="0015094A"/>
    <w:rsid w:val="00150B51"/>
    <w:rsid w:val="00150BAE"/>
    <w:rsid w:val="00150CAD"/>
    <w:rsid w:val="00150D91"/>
    <w:rsid w:val="00150E2F"/>
    <w:rsid w:val="00150FB6"/>
    <w:rsid w:val="00150FDA"/>
    <w:rsid w:val="0015111E"/>
    <w:rsid w:val="0015125B"/>
    <w:rsid w:val="00151270"/>
    <w:rsid w:val="001513C4"/>
    <w:rsid w:val="001513EF"/>
    <w:rsid w:val="001513FC"/>
    <w:rsid w:val="0015159A"/>
    <w:rsid w:val="0015159E"/>
    <w:rsid w:val="00151679"/>
    <w:rsid w:val="0015175E"/>
    <w:rsid w:val="00151800"/>
    <w:rsid w:val="00151927"/>
    <w:rsid w:val="00151984"/>
    <w:rsid w:val="001519E4"/>
    <w:rsid w:val="00151B91"/>
    <w:rsid w:val="00151BA7"/>
    <w:rsid w:val="00151D00"/>
    <w:rsid w:val="00151DE7"/>
    <w:rsid w:val="00151DFB"/>
    <w:rsid w:val="00152035"/>
    <w:rsid w:val="00152083"/>
    <w:rsid w:val="001520B8"/>
    <w:rsid w:val="001522DA"/>
    <w:rsid w:val="00152360"/>
    <w:rsid w:val="00152390"/>
    <w:rsid w:val="001523E6"/>
    <w:rsid w:val="001524B2"/>
    <w:rsid w:val="00152507"/>
    <w:rsid w:val="001525B5"/>
    <w:rsid w:val="0015272A"/>
    <w:rsid w:val="0015280C"/>
    <w:rsid w:val="00152B4A"/>
    <w:rsid w:val="00152BBD"/>
    <w:rsid w:val="00152CCB"/>
    <w:rsid w:val="00152CEE"/>
    <w:rsid w:val="00152DA7"/>
    <w:rsid w:val="00152E56"/>
    <w:rsid w:val="00152E89"/>
    <w:rsid w:val="00152EA9"/>
    <w:rsid w:val="00152EB5"/>
    <w:rsid w:val="00152EEA"/>
    <w:rsid w:val="00152F2E"/>
    <w:rsid w:val="00152FB5"/>
    <w:rsid w:val="001530B3"/>
    <w:rsid w:val="001531D6"/>
    <w:rsid w:val="0015333E"/>
    <w:rsid w:val="00153419"/>
    <w:rsid w:val="001535BD"/>
    <w:rsid w:val="001536A9"/>
    <w:rsid w:val="001536DD"/>
    <w:rsid w:val="001537C4"/>
    <w:rsid w:val="00153803"/>
    <w:rsid w:val="001538F1"/>
    <w:rsid w:val="00153959"/>
    <w:rsid w:val="001539E3"/>
    <w:rsid w:val="00153A40"/>
    <w:rsid w:val="00153A6A"/>
    <w:rsid w:val="00153B9F"/>
    <w:rsid w:val="00153C73"/>
    <w:rsid w:val="00153C91"/>
    <w:rsid w:val="00153D19"/>
    <w:rsid w:val="00153E67"/>
    <w:rsid w:val="00153EF2"/>
    <w:rsid w:val="00153F16"/>
    <w:rsid w:val="00153FDF"/>
    <w:rsid w:val="0015402F"/>
    <w:rsid w:val="00154185"/>
    <w:rsid w:val="00154246"/>
    <w:rsid w:val="001542DD"/>
    <w:rsid w:val="00154388"/>
    <w:rsid w:val="001543A0"/>
    <w:rsid w:val="001543C9"/>
    <w:rsid w:val="001544A0"/>
    <w:rsid w:val="001545B0"/>
    <w:rsid w:val="001545DF"/>
    <w:rsid w:val="001545F7"/>
    <w:rsid w:val="00154602"/>
    <w:rsid w:val="00154612"/>
    <w:rsid w:val="00154649"/>
    <w:rsid w:val="0015475F"/>
    <w:rsid w:val="0015487D"/>
    <w:rsid w:val="0015490B"/>
    <w:rsid w:val="00154958"/>
    <w:rsid w:val="001549E6"/>
    <w:rsid w:val="00154B0E"/>
    <w:rsid w:val="00154BFB"/>
    <w:rsid w:val="00154CF1"/>
    <w:rsid w:val="00154D4B"/>
    <w:rsid w:val="00154DAB"/>
    <w:rsid w:val="00154DB5"/>
    <w:rsid w:val="00154E66"/>
    <w:rsid w:val="00154FF0"/>
    <w:rsid w:val="00155013"/>
    <w:rsid w:val="0015509B"/>
    <w:rsid w:val="0015509C"/>
    <w:rsid w:val="001551B7"/>
    <w:rsid w:val="00155236"/>
    <w:rsid w:val="00155256"/>
    <w:rsid w:val="00155278"/>
    <w:rsid w:val="001552BF"/>
    <w:rsid w:val="001553B7"/>
    <w:rsid w:val="0015555C"/>
    <w:rsid w:val="00155583"/>
    <w:rsid w:val="001555C9"/>
    <w:rsid w:val="0015562A"/>
    <w:rsid w:val="00155658"/>
    <w:rsid w:val="001556BD"/>
    <w:rsid w:val="001556FF"/>
    <w:rsid w:val="001557AC"/>
    <w:rsid w:val="00155862"/>
    <w:rsid w:val="00155957"/>
    <w:rsid w:val="00155A1C"/>
    <w:rsid w:val="00155A61"/>
    <w:rsid w:val="00155ADC"/>
    <w:rsid w:val="00155C21"/>
    <w:rsid w:val="00155C7B"/>
    <w:rsid w:val="00155D1F"/>
    <w:rsid w:val="00155DEE"/>
    <w:rsid w:val="00155E81"/>
    <w:rsid w:val="0015601B"/>
    <w:rsid w:val="00156175"/>
    <w:rsid w:val="0015624B"/>
    <w:rsid w:val="00156275"/>
    <w:rsid w:val="0015630F"/>
    <w:rsid w:val="00156387"/>
    <w:rsid w:val="001563A7"/>
    <w:rsid w:val="001563EF"/>
    <w:rsid w:val="00156534"/>
    <w:rsid w:val="001565B2"/>
    <w:rsid w:val="00156617"/>
    <w:rsid w:val="00156808"/>
    <w:rsid w:val="00156912"/>
    <w:rsid w:val="00156974"/>
    <w:rsid w:val="00156A2A"/>
    <w:rsid w:val="00156A32"/>
    <w:rsid w:val="00156A3A"/>
    <w:rsid w:val="00156AD5"/>
    <w:rsid w:val="00156B9C"/>
    <w:rsid w:val="00156D39"/>
    <w:rsid w:val="00156D58"/>
    <w:rsid w:val="00156D75"/>
    <w:rsid w:val="00156D77"/>
    <w:rsid w:val="00156E49"/>
    <w:rsid w:val="001570A4"/>
    <w:rsid w:val="0015714A"/>
    <w:rsid w:val="00157185"/>
    <w:rsid w:val="00157315"/>
    <w:rsid w:val="00157381"/>
    <w:rsid w:val="0015742D"/>
    <w:rsid w:val="001574EA"/>
    <w:rsid w:val="001576C5"/>
    <w:rsid w:val="001576D8"/>
    <w:rsid w:val="001576E7"/>
    <w:rsid w:val="0015782E"/>
    <w:rsid w:val="00157915"/>
    <w:rsid w:val="00157926"/>
    <w:rsid w:val="0015796F"/>
    <w:rsid w:val="00157B49"/>
    <w:rsid w:val="00157C10"/>
    <w:rsid w:val="00157E39"/>
    <w:rsid w:val="0016017D"/>
    <w:rsid w:val="00160204"/>
    <w:rsid w:val="00160295"/>
    <w:rsid w:val="0016029E"/>
    <w:rsid w:val="001602E9"/>
    <w:rsid w:val="00160414"/>
    <w:rsid w:val="00160477"/>
    <w:rsid w:val="001604EE"/>
    <w:rsid w:val="00160621"/>
    <w:rsid w:val="001606BC"/>
    <w:rsid w:val="0016080A"/>
    <w:rsid w:val="00160ADD"/>
    <w:rsid w:val="00160B20"/>
    <w:rsid w:val="00160C36"/>
    <w:rsid w:val="00160D4C"/>
    <w:rsid w:val="00160E25"/>
    <w:rsid w:val="00160E79"/>
    <w:rsid w:val="00160E86"/>
    <w:rsid w:val="00161038"/>
    <w:rsid w:val="001610ED"/>
    <w:rsid w:val="001611AF"/>
    <w:rsid w:val="00161297"/>
    <w:rsid w:val="001612CB"/>
    <w:rsid w:val="0016150E"/>
    <w:rsid w:val="00161602"/>
    <w:rsid w:val="00161749"/>
    <w:rsid w:val="0016175B"/>
    <w:rsid w:val="001618D8"/>
    <w:rsid w:val="00161A5D"/>
    <w:rsid w:val="00161A69"/>
    <w:rsid w:val="00161B05"/>
    <w:rsid w:val="00161B6B"/>
    <w:rsid w:val="00161C01"/>
    <w:rsid w:val="00161C87"/>
    <w:rsid w:val="00161D6C"/>
    <w:rsid w:val="00161ED1"/>
    <w:rsid w:val="00161F85"/>
    <w:rsid w:val="00161FA1"/>
    <w:rsid w:val="001620DF"/>
    <w:rsid w:val="00162207"/>
    <w:rsid w:val="0016225D"/>
    <w:rsid w:val="001622F5"/>
    <w:rsid w:val="001623B4"/>
    <w:rsid w:val="00162469"/>
    <w:rsid w:val="0016251C"/>
    <w:rsid w:val="00162570"/>
    <w:rsid w:val="001625D1"/>
    <w:rsid w:val="00162AE2"/>
    <w:rsid w:val="00162B88"/>
    <w:rsid w:val="00162B9E"/>
    <w:rsid w:val="00162BD9"/>
    <w:rsid w:val="00162C95"/>
    <w:rsid w:val="00162E7B"/>
    <w:rsid w:val="00162EFB"/>
    <w:rsid w:val="00163046"/>
    <w:rsid w:val="0016312D"/>
    <w:rsid w:val="00163176"/>
    <w:rsid w:val="001631E1"/>
    <w:rsid w:val="00163274"/>
    <w:rsid w:val="00163280"/>
    <w:rsid w:val="00163416"/>
    <w:rsid w:val="00163491"/>
    <w:rsid w:val="001635B1"/>
    <w:rsid w:val="0016363A"/>
    <w:rsid w:val="001636A5"/>
    <w:rsid w:val="001636FD"/>
    <w:rsid w:val="001637A2"/>
    <w:rsid w:val="0016392A"/>
    <w:rsid w:val="00163931"/>
    <w:rsid w:val="00163974"/>
    <w:rsid w:val="00163B87"/>
    <w:rsid w:val="00163C32"/>
    <w:rsid w:val="00163D10"/>
    <w:rsid w:val="00163D1B"/>
    <w:rsid w:val="00163E8F"/>
    <w:rsid w:val="00164157"/>
    <w:rsid w:val="00164198"/>
    <w:rsid w:val="001641A5"/>
    <w:rsid w:val="00164226"/>
    <w:rsid w:val="001642B1"/>
    <w:rsid w:val="0016439D"/>
    <w:rsid w:val="00164514"/>
    <w:rsid w:val="0016453F"/>
    <w:rsid w:val="001645B7"/>
    <w:rsid w:val="0016462D"/>
    <w:rsid w:val="00164643"/>
    <w:rsid w:val="00164665"/>
    <w:rsid w:val="001647FF"/>
    <w:rsid w:val="00164830"/>
    <w:rsid w:val="00164A54"/>
    <w:rsid w:val="00164A76"/>
    <w:rsid w:val="00164A84"/>
    <w:rsid w:val="00164A98"/>
    <w:rsid w:val="00164AEA"/>
    <w:rsid w:val="00164C8B"/>
    <w:rsid w:val="00164CF3"/>
    <w:rsid w:val="00164DA5"/>
    <w:rsid w:val="00164DE9"/>
    <w:rsid w:val="00164DEC"/>
    <w:rsid w:val="00164DFF"/>
    <w:rsid w:val="00164E82"/>
    <w:rsid w:val="00164F54"/>
    <w:rsid w:val="00165030"/>
    <w:rsid w:val="001650D9"/>
    <w:rsid w:val="001650F1"/>
    <w:rsid w:val="001651A5"/>
    <w:rsid w:val="001651CF"/>
    <w:rsid w:val="00165210"/>
    <w:rsid w:val="00165253"/>
    <w:rsid w:val="0016525A"/>
    <w:rsid w:val="0016525F"/>
    <w:rsid w:val="0016535E"/>
    <w:rsid w:val="00165382"/>
    <w:rsid w:val="001653CC"/>
    <w:rsid w:val="00165584"/>
    <w:rsid w:val="001655F5"/>
    <w:rsid w:val="00165617"/>
    <w:rsid w:val="0016561E"/>
    <w:rsid w:val="00165632"/>
    <w:rsid w:val="001656B9"/>
    <w:rsid w:val="001656E1"/>
    <w:rsid w:val="00165729"/>
    <w:rsid w:val="001657A1"/>
    <w:rsid w:val="001658D2"/>
    <w:rsid w:val="00165995"/>
    <w:rsid w:val="001659C5"/>
    <w:rsid w:val="00165A02"/>
    <w:rsid w:val="00165D97"/>
    <w:rsid w:val="00165FDA"/>
    <w:rsid w:val="00165FFD"/>
    <w:rsid w:val="00166061"/>
    <w:rsid w:val="001660AB"/>
    <w:rsid w:val="00166130"/>
    <w:rsid w:val="00166360"/>
    <w:rsid w:val="001663FC"/>
    <w:rsid w:val="0016646A"/>
    <w:rsid w:val="00166499"/>
    <w:rsid w:val="001664AF"/>
    <w:rsid w:val="001664B1"/>
    <w:rsid w:val="00166541"/>
    <w:rsid w:val="001666B4"/>
    <w:rsid w:val="0016681D"/>
    <w:rsid w:val="00166998"/>
    <w:rsid w:val="001669A5"/>
    <w:rsid w:val="00166A63"/>
    <w:rsid w:val="00166A6B"/>
    <w:rsid w:val="00166ACD"/>
    <w:rsid w:val="00166BB1"/>
    <w:rsid w:val="00166BC3"/>
    <w:rsid w:val="00166CCD"/>
    <w:rsid w:val="00166FD0"/>
    <w:rsid w:val="001671AA"/>
    <w:rsid w:val="001673AB"/>
    <w:rsid w:val="00167432"/>
    <w:rsid w:val="0016746B"/>
    <w:rsid w:val="001674EF"/>
    <w:rsid w:val="00167546"/>
    <w:rsid w:val="0016765C"/>
    <w:rsid w:val="00167667"/>
    <w:rsid w:val="0016769E"/>
    <w:rsid w:val="001677D3"/>
    <w:rsid w:val="00167909"/>
    <w:rsid w:val="00167A73"/>
    <w:rsid w:val="00167A87"/>
    <w:rsid w:val="00167C5F"/>
    <w:rsid w:val="00167C69"/>
    <w:rsid w:val="00167D4D"/>
    <w:rsid w:val="00167E5B"/>
    <w:rsid w:val="00167EAE"/>
    <w:rsid w:val="00167FA2"/>
    <w:rsid w:val="001700A1"/>
    <w:rsid w:val="00170139"/>
    <w:rsid w:val="00170190"/>
    <w:rsid w:val="00170282"/>
    <w:rsid w:val="00170336"/>
    <w:rsid w:val="001703AB"/>
    <w:rsid w:val="001703AE"/>
    <w:rsid w:val="001704F4"/>
    <w:rsid w:val="001705C3"/>
    <w:rsid w:val="00170668"/>
    <w:rsid w:val="00170717"/>
    <w:rsid w:val="0017079B"/>
    <w:rsid w:val="00170843"/>
    <w:rsid w:val="00170911"/>
    <w:rsid w:val="001709E9"/>
    <w:rsid w:val="00170A2C"/>
    <w:rsid w:val="00170A34"/>
    <w:rsid w:val="00170B26"/>
    <w:rsid w:val="00170B4D"/>
    <w:rsid w:val="00170BB5"/>
    <w:rsid w:val="00170D1F"/>
    <w:rsid w:val="00170F0E"/>
    <w:rsid w:val="00170F2B"/>
    <w:rsid w:val="00170FF3"/>
    <w:rsid w:val="00170FF4"/>
    <w:rsid w:val="0017111A"/>
    <w:rsid w:val="00171166"/>
    <w:rsid w:val="001711AD"/>
    <w:rsid w:val="0017125D"/>
    <w:rsid w:val="00171345"/>
    <w:rsid w:val="001713D4"/>
    <w:rsid w:val="00171491"/>
    <w:rsid w:val="001714E7"/>
    <w:rsid w:val="001719C0"/>
    <w:rsid w:val="00171A57"/>
    <w:rsid w:val="00171B90"/>
    <w:rsid w:val="00171BA3"/>
    <w:rsid w:val="00171C0A"/>
    <w:rsid w:val="00171DC7"/>
    <w:rsid w:val="00171DCE"/>
    <w:rsid w:val="00171DEE"/>
    <w:rsid w:val="00171DFD"/>
    <w:rsid w:val="00171EFE"/>
    <w:rsid w:val="00171F7D"/>
    <w:rsid w:val="00172008"/>
    <w:rsid w:val="00172023"/>
    <w:rsid w:val="001720F2"/>
    <w:rsid w:val="001722A0"/>
    <w:rsid w:val="0017243C"/>
    <w:rsid w:val="001726F5"/>
    <w:rsid w:val="001727F0"/>
    <w:rsid w:val="00172959"/>
    <w:rsid w:val="00172A46"/>
    <w:rsid w:val="00172B78"/>
    <w:rsid w:val="00172BC4"/>
    <w:rsid w:val="00172C52"/>
    <w:rsid w:val="00172D2F"/>
    <w:rsid w:val="00172E60"/>
    <w:rsid w:val="00173029"/>
    <w:rsid w:val="0017305D"/>
    <w:rsid w:val="001730B4"/>
    <w:rsid w:val="0017311E"/>
    <w:rsid w:val="0017315D"/>
    <w:rsid w:val="0017321F"/>
    <w:rsid w:val="00173271"/>
    <w:rsid w:val="00173369"/>
    <w:rsid w:val="001733CA"/>
    <w:rsid w:val="001733D3"/>
    <w:rsid w:val="001733FF"/>
    <w:rsid w:val="00173520"/>
    <w:rsid w:val="0017358A"/>
    <w:rsid w:val="0017360D"/>
    <w:rsid w:val="00173660"/>
    <w:rsid w:val="00173693"/>
    <w:rsid w:val="0017375B"/>
    <w:rsid w:val="00173782"/>
    <w:rsid w:val="00173786"/>
    <w:rsid w:val="0017385F"/>
    <w:rsid w:val="001738B9"/>
    <w:rsid w:val="00173903"/>
    <w:rsid w:val="00173A75"/>
    <w:rsid w:val="00173BD6"/>
    <w:rsid w:val="00173C76"/>
    <w:rsid w:val="00173D13"/>
    <w:rsid w:val="00173D80"/>
    <w:rsid w:val="00173E2E"/>
    <w:rsid w:val="00173ED9"/>
    <w:rsid w:val="0017402E"/>
    <w:rsid w:val="001740AA"/>
    <w:rsid w:val="001740C6"/>
    <w:rsid w:val="001740C7"/>
    <w:rsid w:val="00174100"/>
    <w:rsid w:val="001742D8"/>
    <w:rsid w:val="00174363"/>
    <w:rsid w:val="00174406"/>
    <w:rsid w:val="0017447C"/>
    <w:rsid w:val="001745C8"/>
    <w:rsid w:val="001746C2"/>
    <w:rsid w:val="0017484F"/>
    <w:rsid w:val="00174A0A"/>
    <w:rsid w:val="00174A51"/>
    <w:rsid w:val="00174A94"/>
    <w:rsid w:val="00174ADD"/>
    <w:rsid w:val="00174B11"/>
    <w:rsid w:val="00174C06"/>
    <w:rsid w:val="00174CC8"/>
    <w:rsid w:val="00174D4D"/>
    <w:rsid w:val="00174DA5"/>
    <w:rsid w:val="00174DDB"/>
    <w:rsid w:val="00174E06"/>
    <w:rsid w:val="0017510F"/>
    <w:rsid w:val="0017515E"/>
    <w:rsid w:val="00175315"/>
    <w:rsid w:val="00175426"/>
    <w:rsid w:val="00175479"/>
    <w:rsid w:val="0017561D"/>
    <w:rsid w:val="00175670"/>
    <w:rsid w:val="00175694"/>
    <w:rsid w:val="00175778"/>
    <w:rsid w:val="001757B5"/>
    <w:rsid w:val="001757BC"/>
    <w:rsid w:val="001757E6"/>
    <w:rsid w:val="00175981"/>
    <w:rsid w:val="001759AE"/>
    <w:rsid w:val="001759B7"/>
    <w:rsid w:val="00175A21"/>
    <w:rsid w:val="00175A7E"/>
    <w:rsid w:val="00175A90"/>
    <w:rsid w:val="00175A9D"/>
    <w:rsid w:val="00175B27"/>
    <w:rsid w:val="00175B40"/>
    <w:rsid w:val="00175CEA"/>
    <w:rsid w:val="001760C9"/>
    <w:rsid w:val="0017612D"/>
    <w:rsid w:val="001761CB"/>
    <w:rsid w:val="0017620F"/>
    <w:rsid w:val="00176271"/>
    <w:rsid w:val="00176273"/>
    <w:rsid w:val="00176281"/>
    <w:rsid w:val="001762D9"/>
    <w:rsid w:val="001762E4"/>
    <w:rsid w:val="0017637A"/>
    <w:rsid w:val="001763B0"/>
    <w:rsid w:val="0017640D"/>
    <w:rsid w:val="0017649D"/>
    <w:rsid w:val="00176669"/>
    <w:rsid w:val="001766E2"/>
    <w:rsid w:val="0017677B"/>
    <w:rsid w:val="00176821"/>
    <w:rsid w:val="00176977"/>
    <w:rsid w:val="0017697F"/>
    <w:rsid w:val="001769C4"/>
    <w:rsid w:val="00176A00"/>
    <w:rsid w:val="00176A64"/>
    <w:rsid w:val="00176AE1"/>
    <w:rsid w:val="00176AF4"/>
    <w:rsid w:val="00176B49"/>
    <w:rsid w:val="00176C8F"/>
    <w:rsid w:val="00176CAA"/>
    <w:rsid w:val="00176DA2"/>
    <w:rsid w:val="00176E03"/>
    <w:rsid w:val="00176EB1"/>
    <w:rsid w:val="00176F7F"/>
    <w:rsid w:val="00176FB3"/>
    <w:rsid w:val="0017706B"/>
    <w:rsid w:val="0017706D"/>
    <w:rsid w:val="0017709F"/>
    <w:rsid w:val="001770AE"/>
    <w:rsid w:val="001771F8"/>
    <w:rsid w:val="00177202"/>
    <w:rsid w:val="00177270"/>
    <w:rsid w:val="0017745D"/>
    <w:rsid w:val="001774CB"/>
    <w:rsid w:val="001774CC"/>
    <w:rsid w:val="001774E6"/>
    <w:rsid w:val="001777C4"/>
    <w:rsid w:val="00177945"/>
    <w:rsid w:val="001779C9"/>
    <w:rsid w:val="00177AE4"/>
    <w:rsid w:val="00177B68"/>
    <w:rsid w:val="00177B82"/>
    <w:rsid w:val="00177C56"/>
    <w:rsid w:val="00177E00"/>
    <w:rsid w:val="00177E55"/>
    <w:rsid w:val="00177E8D"/>
    <w:rsid w:val="00177F1E"/>
    <w:rsid w:val="00177F21"/>
    <w:rsid w:val="00180031"/>
    <w:rsid w:val="00180081"/>
    <w:rsid w:val="00180085"/>
    <w:rsid w:val="00180160"/>
    <w:rsid w:val="001801C6"/>
    <w:rsid w:val="00180244"/>
    <w:rsid w:val="001802F9"/>
    <w:rsid w:val="0018032B"/>
    <w:rsid w:val="0018036E"/>
    <w:rsid w:val="001803A4"/>
    <w:rsid w:val="001804C1"/>
    <w:rsid w:val="001804D1"/>
    <w:rsid w:val="001804EB"/>
    <w:rsid w:val="0018050B"/>
    <w:rsid w:val="00180774"/>
    <w:rsid w:val="00180785"/>
    <w:rsid w:val="00180857"/>
    <w:rsid w:val="00180918"/>
    <w:rsid w:val="00180B28"/>
    <w:rsid w:val="00180C23"/>
    <w:rsid w:val="00180CB6"/>
    <w:rsid w:val="00180CE0"/>
    <w:rsid w:val="00180E50"/>
    <w:rsid w:val="00180E7F"/>
    <w:rsid w:val="00180F0C"/>
    <w:rsid w:val="00181066"/>
    <w:rsid w:val="001810B1"/>
    <w:rsid w:val="00181107"/>
    <w:rsid w:val="0018113C"/>
    <w:rsid w:val="001811FE"/>
    <w:rsid w:val="0018123A"/>
    <w:rsid w:val="0018123F"/>
    <w:rsid w:val="0018127F"/>
    <w:rsid w:val="001812A6"/>
    <w:rsid w:val="0018140E"/>
    <w:rsid w:val="001814D5"/>
    <w:rsid w:val="0018157A"/>
    <w:rsid w:val="00181609"/>
    <w:rsid w:val="001816A9"/>
    <w:rsid w:val="001816C9"/>
    <w:rsid w:val="001816CD"/>
    <w:rsid w:val="0018172C"/>
    <w:rsid w:val="00181753"/>
    <w:rsid w:val="00181789"/>
    <w:rsid w:val="00181793"/>
    <w:rsid w:val="00181837"/>
    <w:rsid w:val="0018187B"/>
    <w:rsid w:val="001818BD"/>
    <w:rsid w:val="0018196D"/>
    <w:rsid w:val="00181B5B"/>
    <w:rsid w:val="00181B5D"/>
    <w:rsid w:val="00181B80"/>
    <w:rsid w:val="00181BA4"/>
    <w:rsid w:val="00181C2C"/>
    <w:rsid w:val="00181D75"/>
    <w:rsid w:val="00181E23"/>
    <w:rsid w:val="00181EB7"/>
    <w:rsid w:val="00181F1A"/>
    <w:rsid w:val="00181F38"/>
    <w:rsid w:val="00181FB7"/>
    <w:rsid w:val="00181FD8"/>
    <w:rsid w:val="0018206C"/>
    <w:rsid w:val="00182163"/>
    <w:rsid w:val="0018228F"/>
    <w:rsid w:val="00182308"/>
    <w:rsid w:val="00182336"/>
    <w:rsid w:val="0018236E"/>
    <w:rsid w:val="0018238D"/>
    <w:rsid w:val="001824D7"/>
    <w:rsid w:val="001826D8"/>
    <w:rsid w:val="001826DA"/>
    <w:rsid w:val="00182705"/>
    <w:rsid w:val="00182783"/>
    <w:rsid w:val="001827CD"/>
    <w:rsid w:val="001828EE"/>
    <w:rsid w:val="00182909"/>
    <w:rsid w:val="00182967"/>
    <w:rsid w:val="0018297A"/>
    <w:rsid w:val="001829CF"/>
    <w:rsid w:val="00182A68"/>
    <w:rsid w:val="00182B17"/>
    <w:rsid w:val="00182BC3"/>
    <w:rsid w:val="00182BD2"/>
    <w:rsid w:val="00182CEB"/>
    <w:rsid w:val="00182E74"/>
    <w:rsid w:val="00182EB8"/>
    <w:rsid w:val="00182F87"/>
    <w:rsid w:val="00183084"/>
    <w:rsid w:val="0018308E"/>
    <w:rsid w:val="001830EA"/>
    <w:rsid w:val="0018310C"/>
    <w:rsid w:val="00183174"/>
    <w:rsid w:val="001832BE"/>
    <w:rsid w:val="001832D5"/>
    <w:rsid w:val="00183390"/>
    <w:rsid w:val="0018345C"/>
    <w:rsid w:val="001834C4"/>
    <w:rsid w:val="001835AA"/>
    <w:rsid w:val="001836D1"/>
    <w:rsid w:val="00183804"/>
    <w:rsid w:val="0018392D"/>
    <w:rsid w:val="00183951"/>
    <w:rsid w:val="0018398F"/>
    <w:rsid w:val="00183A4C"/>
    <w:rsid w:val="00183B85"/>
    <w:rsid w:val="00183BC7"/>
    <w:rsid w:val="00183BC8"/>
    <w:rsid w:val="00183BCF"/>
    <w:rsid w:val="00183D14"/>
    <w:rsid w:val="00183D61"/>
    <w:rsid w:val="00183EF8"/>
    <w:rsid w:val="00183FA4"/>
    <w:rsid w:val="00184023"/>
    <w:rsid w:val="00184078"/>
    <w:rsid w:val="001840EE"/>
    <w:rsid w:val="0018414B"/>
    <w:rsid w:val="00184169"/>
    <w:rsid w:val="00184175"/>
    <w:rsid w:val="001841BF"/>
    <w:rsid w:val="001841C1"/>
    <w:rsid w:val="0018428B"/>
    <w:rsid w:val="001843B7"/>
    <w:rsid w:val="00184462"/>
    <w:rsid w:val="00184504"/>
    <w:rsid w:val="0018451B"/>
    <w:rsid w:val="00184573"/>
    <w:rsid w:val="00184632"/>
    <w:rsid w:val="00184731"/>
    <w:rsid w:val="00184823"/>
    <w:rsid w:val="0018483C"/>
    <w:rsid w:val="001849CB"/>
    <w:rsid w:val="00184A76"/>
    <w:rsid w:val="00184B81"/>
    <w:rsid w:val="00184BA9"/>
    <w:rsid w:val="00184C30"/>
    <w:rsid w:val="00184C8F"/>
    <w:rsid w:val="00184D8E"/>
    <w:rsid w:val="00184E7F"/>
    <w:rsid w:val="00184E9E"/>
    <w:rsid w:val="00184F2E"/>
    <w:rsid w:val="00184F9E"/>
    <w:rsid w:val="00184FDB"/>
    <w:rsid w:val="001852CB"/>
    <w:rsid w:val="001852ED"/>
    <w:rsid w:val="00185300"/>
    <w:rsid w:val="00185436"/>
    <w:rsid w:val="00185565"/>
    <w:rsid w:val="0018560A"/>
    <w:rsid w:val="00185636"/>
    <w:rsid w:val="0018563B"/>
    <w:rsid w:val="0018564E"/>
    <w:rsid w:val="0018568D"/>
    <w:rsid w:val="001856DF"/>
    <w:rsid w:val="001857B1"/>
    <w:rsid w:val="001857CC"/>
    <w:rsid w:val="001857FE"/>
    <w:rsid w:val="001858EC"/>
    <w:rsid w:val="001859C9"/>
    <w:rsid w:val="00185ACE"/>
    <w:rsid w:val="00185C00"/>
    <w:rsid w:val="00185F41"/>
    <w:rsid w:val="00185F98"/>
    <w:rsid w:val="00186008"/>
    <w:rsid w:val="00186188"/>
    <w:rsid w:val="0018621C"/>
    <w:rsid w:val="00186342"/>
    <w:rsid w:val="0018634D"/>
    <w:rsid w:val="00186446"/>
    <w:rsid w:val="00186450"/>
    <w:rsid w:val="0018663F"/>
    <w:rsid w:val="00186954"/>
    <w:rsid w:val="001869A3"/>
    <w:rsid w:val="00186A0E"/>
    <w:rsid w:val="00186A2B"/>
    <w:rsid w:val="00186B6A"/>
    <w:rsid w:val="00186C6D"/>
    <w:rsid w:val="00186CA3"/>
    <w:rsid w:val="00186CD3"/>
    <w:rsid w:val="00186CE9"/>
    <w:rsid w:val="00186D19"/>
    <w:rsid w:val="00186DBF"/>
    <w:rsid w:val="00186DFF"/>
    <w:rsid w:val="00186E44"/>
    <w:rsid w:val="00186EA0"/>
    <w:rsid w:val="00186ECF"/>
    <w:rsid w:val="00186F24"/>
    <w:rsid w:val="00186FDA"/>
    <w:rsid w:val="00186FFE"/>
    <w:rsid w:val="0018703B"/>
    <w:rsid w:val="001870B1"/>
    <w:rsid w:val="00187202"/>
    <w:rsid w:val="001873C7"/>
    <w:rsid w:val="0018740A"/>
    <w:rsid w:val="00187499"/>
    <w:rsid w:val="001875F2"/>
    <w:rsid w:val="00187878"/>
    <w:rsid w:val="00187964"/>
    <w:rsid w:val="0018799F"/>
    <w:rsid w:val="00187A3A"/>
    <w:rsid w:val="00187AB0"/>
    <w:rsid w:val="00187B7A"/>
    <w:rsid w:val="00187BC4"/>
    <w:rsid w:val="00187BE0"/>
    <w:rsid w:val="00187C88"/>
    <w:rsid w:val="00187D4A"/>
    <w:rsid w:val="00187DA8"/>
    <w:rsid w:val="00187E00"/>
    <w:rsid w:val="00187E6E"/>
    <w:rsid w:val="00187EAC"/>
    <w:rsid w:val="0019001C"/>
    <w:rsid w:val="001900A9"/>
    <w:rsid w:val="00190254"/>
    <w:rsid w:val="00190412"/>
    <w:rsid w:val="00190496"/>
    <w:rsid w:val="00190514"/>
    <w:rsid w:val="00190573"/>
    <w:rsid w:val="00190877"/>
    <w:rsid w:val="001908C7"/>
    <w:rsid w:val="00190925"/>
    <w:rsid w:val="001909A5"/>
    <w:rsid w:val="00190A6C"/>
    <w:rsid w:val="00190B07"/>
    <w:rsid w:val="00190BD0"/>
    <w:rsid w:val="00190BDB"/>
    <w:rsid w:val="00190CB9"/>
    <w:rsid w:val="00190DE6"/>
    <w:rsid w:val="00190ED4"/>
    <w:rsid w:val="00190EE9"/>
    <w:rsid w:val="00190EF7"/>
    <w:rsid w:val="00190F2B"/>
    <w:rsid w:val="00190FC4"/>
    <w:rsid w:val="0019103B"/>
    <w:rsid w:val="00191140"/>
    <w:rsid w:val="001911B7"/>
    <w:rsid w:val="00191284"/>
    <w:rsid w:val="001912A5"/>
    <w:rsid w:val="00191346"/>
    <w:rsid w:val="00191382"/>
    <w:rsid w:val="00191426"/>
    <w:rsid w:val="001914BF"/>
    <w:rsid w:val="001915E3"/>
    <w:rsid w:val="001915FC"/>
    <w:rsid w:val="0019160B"/>
    <w:rsid w:val="0019161A"/>
    <w:rsid w:val="00191659"/>
    <w:rsid w:val="0019166D"/>
    <w:rsid w:val="001916A9"/>
    <w:rsid w:val="00191754"/>
    <w:rsid w:val="00191834"/>
    <w:rsid w:val="001919F9"/>
    <w:rsid w:val="00191BE1"/>
    <w:rsid w:val="00191C09"/>
    <w:rsid w:val="00191CBE"/>
    <w:rsid w:val="00191DAA"/>
    <w:rsid w:val="00191E08"/>
    <w:rsid w:val="00191E25"/>
    <w:rsid w:val="00191E61"/>
    <w:rsid w:val="00191F59"/>
    <w:rsid w:val="00192144"/>
    <w:rsid w:val="00192165"/>
    <w:rsid w:val="00192245"/>
    <w:rsid w:val="00192258"/>
    <w:rsid w:val="001923C3"/>
    <w:rsid w:val="001923CD"/>
    <w:rsid w:val="00192404"/>
    <w:rsid w:val="00192465"/>
    <w:rsid w:val="001924A5"/>
    <w:rsid w:val="001925C6"/>
    <w:rsid w:val="00192689"/>
    <w:rsid w:val="001926F8"/>
    <w:rsid w:val="00192B8E"/>
    <w:rsid w:val="00192BCC"/>
    <w:rsid w:val="00192C9E"/>
    <w:rsid w:val="00192DCE"/>
    <w:rsid w:val="00192DD8"/>
    <w:rsid w:val="00192E50"/>
    <w:rsid w:val="00192F58"/>
    <w:rsid w:val="0019304A"/>
    <w:rsid w:val="00193073"/>
    <w:rsid w:val="001930B4"/>
    <w:rsid w:val="001930E5"/>
    <w:rsid w:val="00193119"/>
    <w:rsid w:val="001931F5"/>
    <w:rsid w:val="001931F9"/>
    <w:rsid w:val="0019324E"/>
    <w:rsid w:val="00193257"/>
    <w:rsid w:val="0019331A"/>
    <w:rsid w:val="0019339E"/>
    <w:rsid w:val="001934C3"/>
    <w:rsid w:val="00193521"/>
    <w:rsid w:val="00193565"/>
    <w:rsid w:val="0019371A"/>
    <w:rsid w:val="001937D9"/>
    <w:rsid w:val="00193827"/>
    <w:rsid w:val="001938E4"/>
    <w:rsid w:val="0019399A"/>
    <w:rsid w:val="001939EC"/>
    <w:rsid w:val="001939EE"/>
    <w:rsid w:val="00193A08"/>
    <w:rsid w:val="00193AD5"/>
    <w:rsid w:val="00193AD9"/>
    <w:rsid w:val="00193AF6"/>
    <w:rsid w:val="00193B09"/>
    <w:rsid w:val="00193B13"/>
    <w:rsid w:val="00193C30"/>
    <w:rsid w:val="00193D37"/>
    <w:rsid w:val="00193E47"/>
    <w:rsid w:val="00193EBB"/>
    <w:rsid w:val="00193F48"/>
    <w:rsid w:val="00193F70"/>
    <w:rsid w:val="00194019"/>
    <w:rsid w:val="00194129"/>
    <w:rsid w:val="0019417D"/>
    <w:rsid w:val="00194253"/>
    <w:rsid w:val="0019425C"/>
    <w:rsid w:val="001942E5"/>
    <w:rsid w:val="0019431A"/>
    <w:rsid w:val="001943FE"/>
    <w:rsid w:val="0019463F"/>
    <w:rsid w:val="00194663"/>
    <w:rsid w:val="001946FB"/>
    <w:rsid w:val="00194769"/>
    <w:rsid w:val="00194799"/>
    <w:rsid w:val="0019479E"/>
    <w:rsid w:val="0019487A"/>
    <w:rsid w:val="001948A2"/>
    <w:rsid w:val="001949EC"/>
    <w:rsid w:val="001949F1"/>
    <w:rsid w:val="00194A4A"/>
    <w:rsid w:val="00194B37"/>
    <w:rsid w:val="00194B7C"/>
    <w:rsid w:val="00194C4E"/>
    <w:rsid w:val="00194D29"/>
    <w:rsid w:val="00194D83"/>
    <w:rsid w:val="00194F07"/>
    <w:rsid w:val="00194F16"/>
    <w:rsid w:val="00194FE8"/>
    <w:rsid w:val="001950BE"/>
    <w:rsid w:val="001950E0"/>
    <w:rsid w:val="001951BB"/>
    <w:rsid w:val="00195202"/>
    <w:rsid w:val="001953A4"/>
    <w:rsid w:val="001956FB"/>
    <w:rsid w:val="0019572D"/>
    <w:rsid w:val="00195776"/>
    <w:rsid w:val="0019577A"/>
    <w:rsid w:val="00195984"/>
    <w:rsid w:val="00195C34"/>
    <w:rsid w:val="00195C59"/>
    <w:rsid w:val="00195D01"/>
    <w:rsid w:val="00195D06"/>
    <w:rsid w:val="00195D62"/>
    <w:rsid w:val="00195DE4"/>
    <w:rsid w:val="00195EFC"/>
    <w:rsid w:val="00196032"/>
    <w:rsid w:val="00196298"/>
    <w:rsid w:val="001962CF"/>
    <w:rsid w:val="001964D9"/>
    <w:rsid w:val="0019656C"/>
    <w:rsid w:val="0019662B"/>
    <w:rsid w:val="00196642"/>
    <w:rsid w:val="00196681"/>
    <w:rsid w:val="001967A4"/>
    <w:rsid w:val="00196815"/>
    <w:rsid w:val="001969FA"/>
    <w:rsid w:val="00196A80"/>
    <w:rsid w:val="00196A8D"/>
    <w:rsid w:val="00196B3F"/>
    <w:rsid w:val="00196C0E"/>
    <w:rsid w:val="00196CD7"/>
    <w:rsid w:val="00196D1C"/>
    <w:rsid w:val="00196D93"/>
    <w:rsid w:val="00196EF8"/>
    <w:rsid w:val="00196FCD"/>
    <w:rsid w:val="001970EF"/>
    <w:rsid w:val="00197192"/>
    <w:rsid w:val="00197259"/>
    <w:rsid w:val="001973D8"/>
    <w:rsid w:val="0019758C"/>
    <w:rsid w:val="00197626"/>
    <w:rsid w:val="001976B5"/>
    <w:rsid w:val="001977E2"/>
    <w:rsid w:val="001979E5"/>
    <w:rsid w:val="00197A4F"/>
    <w:rsid w:val="00197ACF"/>
    <w:rsid w:val="00197BD1"/>
    <w:rsid w:val="00197CA2"/>
    <w:rsid w:val="00197D5A"/>
    <w:rsid w:val="00197E55"/>
    <w:rsid w:val="00197E76"/>
    <w:rsid w:val="00197ED9"/>
    <w:rsid w:val="00197F0C"/>
    <w:rsid w:val="001A00C0"/>
    <w:rsid w:val="001A01FC"/>
    <w:rsid w:val="001A0274"/>
    <w:rsid w:val="001A029B"/>
    <w:rsid w:val="001A02D0"/>
    <w:rsid w:val="001A0357"/>
    <w:rsid w:val="001A040F"/>
    <w:rsid w:val="001A0480"/>
    <w:rsid w:val="001A04E1"/>
    <w:rsid w:val="001A0582"/>
    <w:rsid w:val="001A0591"/>
    <w:rsid w:val="001A05DA"/>
    <w:rsid w:val="001A0615"/>
    <w:rsid w:val="001A0655"/>
    <w:rsid w:val="001A083C"/>
    <w:rsid w:val="001A08FB"/>
    <w:rsid w:val="001A0905"/>
    <w:rsid w:val="001A097D"/>
    <w:rsid w:val="001A0A0B"/>
    <w:rsid w:val="001A0A28"/>
    <w:rsid w:val="001A0AA9"/>
    <w:rsid w:val="001A0B0A"/>
    <w:rsid w:val="001A0C16"/>
    <w:rsid w:val="001A0C3B"/>
    <w:rsid w:val="001A0DBB"/>
    <w:rsid w:val="001A0FB4"/>
    <w:rsid w:val="001A0FEA"/>
    <w:rsid w:val="001A1097"/>
    <w:rsid w:val="001A110E"/>
    <w:rsid w:val="001A1124"/>
    <w:rsid w:val="001A1160"/>
    <w:rsid w:val="001A119C"/>
    <w:rsid w:val="001A12E6"/>
    <w:rsid w:val="001A1340"/>
    <w:rsid w:val="001A13CE"/>
    <w:rsid w:val="001A1488"/>
    <w:rsid w:val="001A15C6"/>
    <w:rsid w:val="001A15C9"/>
    <w:rsid w:val="001A1637"/>
    <w:rsid w:val="001A16D0"/>
    <w:rsid w:val="001A17F1"/>
    <w:rsid w:val="001A17F9"/>
    <w:rsid w:val="001A1934"/>
    <w:rsid w:val="001A1AE6"/>
    <w:rsid w:val="001A1BDD"/>
    <w:rsid w:val="001A1C4A"/>
    <w:rsid w:val="001A1D40"/>
    <w:rsid w:val="001A1E81"/>
    <w:rsid w:val="001A1E8A"/>
    <w:rsid w:val="001A1EE9"/>
    <w:rsid w:val="001A1F0E"/>
    <w:rsid w:val="001A206A"/>
    <w:rsid w:val="001A20D5"/>
    <w:rsid w:val="001A20E3"/>
    <w:rsid w:val="001A20EE"/>
    <w:rsid w:val="001A210F"/>
    <w:rsid w:val="001A2124"/>
    <w:rsid w:val="001A213E"/>
    <w:rsid w:val="001A21DB"/>
    <w:rsid w:val="001A224B"/>
    <w:rsid w:val="001A224E"/>
    <w:rsid w:val="001A234D"/>
    <w:rsid w:val="001A2367"/>
    <w:rsid w:val="001A242D"/>
    <w:rsid w:val="001A2507"/>
    <w:rsid w:val="001A2583"/>
    <w:rsid w:val="001A25CE"/>
    <w:rsid w:val="001A2655"/>
    <w:rsid w:val="001A268F"/>
    <w:rsid w:val="001A26D7"/>
    <w:rsid w:val="001A26FD"/>
    <w:rsid w:val="001A2878"/>
    <w:rsid w:val="001A28C6"/>
    <w:rsid w:val="001A2AD2"/>
    <w:rsid w:val="001A2BA4"/>
    <w:rsid w:val="001A2C27"/>
    <w:rsid w:val="001A2D17"/>
    <w:rsid w:val="001A2D56"/>
    <w:rsid w:val="001A2D64"/>
    <w:rsid w:val="001A2EC3"/>
    <w:rsid w:val="001A2F40"/>
    <w:rsid w:val="001A2FE1"/>
    <w:rsid w:val="001A2FED"/>
    <w:rsid w:val="001A305D"/>
    <w:rsid w:val="001A327A"/>
    <w:rsid w:val="001A32AB"/>
    <w:rsid w:val="001A32E2"/>
    <w:rsid w:val="001A3306"/>
    <w:rsid w:val="001A33C9"/>
    <w:rsid w:val="001A3427"/>
    <w:rsid w:val="001A3551"/>
    <w:rsid w:val="001A357D"/>
    <w:rsid w:val="001A3659"/>
    <w:rsid w:val="001A36AA"/>
    <w:rsid w:val="001A387B"/>
    <w:rsid w:val="001A38D5"/>
    <w:rsid w:val="001A3A54"/>
    <w:rsid w:val="001A3B42"/>
    <w:rsid w:val="001A3B87"/>
    <w:rsid w:val="001A3BCB"/>
    <w:rsid w:val="001A3C40"/>
    <w:rsid w:val="001A3CF8"/>
    <w:rsid w:val="001A3D0D"/>
    <w:rsid w:val="001A3D36"/>
    <w:rsid w:val="001A3DBB"/>
    <w:rsid w:val="001A3F29"/>
    <w:rsid w:val="001A401B"/>
    <w:rsid w:val="001A40A7"/>
    <w:rsid w:val="001A4114"/>
    <w:rsid w:val="001A4141"/>
    <w:rsid w:val="001A443D"/>
    <w:rsid w:val="001A449B"/>
    <w:rsid w:val="001A44C6"/>
    <w:rsid w:val="001A44D0"/>
    <w:rsid w:val="001A455E"/>
    <w:rsid w:val="001A4560"/>
    <w:rsid w:val="001A45BC"/>
    <w:rsid w:val="001A45DB"/>
    <w:rsid w:val="001A45FC"/>
    <w:rsid w:val="001A4619"/>
    <w:rsid w:val="001A469A"/>
    <w:rsid w:val="001A47C2"/>
    <w:rsid w:val="001A48E9"/>
    <w:rsid w:val="001A4A97"/>
    <w:rsid w:val="001A4AB7"/>
    <w:rsid w:val="001A4B48"/>
    <w:rsid w:val="001A4BF8"/>
    <w:rsid w:val="001A4DC9"/>
    <w:rsid w:val="001A4F7E"/>
    <w:rsid w:val="001A50AF"/>
    <w:rsid w:val="001A516D"/>
    <w:rsid w:val="001A51BB"/>
    <w:rsid w:val="001A527D"/>
    <w:rsid w:val="001A52AC"/>
    <w:rsid w:val="001A5315"/>
    <w:rsid w:val="001A539B"/>
    <w:rsid w:val="001A53BA"/>
    <w:rsid w:val="001A56C5"/>
    <w:rsid w:val="001A572D"/>
    <w:rsid w:val="001A580A"/>
    <w:rsid w:val="001A586E"/>
    <w:rsid w:val="001A5981"/>
    <w:rsid w:val="001A5A24"/>
    <w:rsid w:val="001A5AEB"/>
    <w:rsid w:val="001A5C89"/>
    <w:rsid w:val="001A5DCA"/>
    <w:rsid w:val="001A5DEA"/>
    <w:rsid w:val="001A5E71"/>
    <w:rsid w:val="001A5EB8"/>
    <w:rsid w:val="001A5EBE"/>
    <w:rsid w:val="001A5FE9"/>
    <w:rsid w:val="001A600D"/>
    <w:rsid w:val="001A6050"/>
    <w:rsid w:val="001A60DA"/>
    <w:rsid w:val="001A61D8"/>
    <w:rsid w:val="001A6249"/>
    <w:rsid w:val="001A6259"/>
    <w:rsid w:val="001A6279"/>
    <w:rsid w:val="001A62B5"/>
    <w:rsid w:val="001A6374"/>
    <w:rsid w:val="001A649A"/>
    <w:rsid w:val="001A64F9"/>
    <w:rsid w:val="001A66AB"/>
    <w:rsid w:val="001A683A"/>
    <w:rsid w:val="001A686B"/>
    <w:rsid w:val="001A6887"/>
    <w:rsid w:val="001A6915"/>
    <w:rsid w:val="001A6A8B"/>
    <w:rsid w:val="001A6C8E"/>
    <w:rsid w:val="001A6DD3"/>
    <w:rsid w:val="001A6E1C"/>
    <w:rsid w:val="001A6F03"/>
    <w:rsid w:val="001A6F9C"/>
    <w:rsid w:val="001A6FEB"/>
    <w:rsid w:val="001A713B"/>
    <w:rsid w:val="001A723C"/>
    <w:rsid w:val="001A7291"/>
    <w:rsid w:val="001A730D"/>
    <w:rsid w:val="001A776D"/>
    <w:rsid w:val="001A78A3"/>
    <w:rsid w:val="001A7997"/>
    <w:rsid w:val="001A79B7"/>
    <w:rsid w:val="001A7A0F"/>
    <w:rsid w:val="001A7A3F"/>
    <w:rsid w:val="001A7B1E"/>
    <w:rsid w:val="001A7B43"/>
    <w:rsid w:val="001A7D78"/>
    <w:rsid w:val="001A7D98"/>
    <w:rsid w:val="001A7DBA"/>
    <w:rsid w:val="001A7EBE"/>
    <w:rsid w:val="001A7F05"/>
    <w:rsid w:val="001A7FEA"/>
    <w:rsid w:val="001B02D3"/>
    <w:rsid w:val="001B0452"/>
    <w:rsid w:val="001B04B6"/>
    <w:rsid w:val="001B04BA"/>
    <w:rsid w:val="001B055B"/>
    <w:rsid w:val="001B059C"/>
    <w:rsid w:val="001B05C7"/>
    <w:rsid w:val="001B063E"/>
    <w:rsid w:val="001B0713"/>
    <w:rsid w:val="001B075B"/>
    <w:rsid w:val="001B0A8B"/>
    <w:rsid w:val="001B0B52"/>
    <w:rsid w:val="001B0D15"/>
    <w:rsid w:val="001B0D2E"/>
    <w:rsid w:val="001B0D73"/>
    <w:rsid w:val="001B0DF8"/>
    <w:rsid w:val="001B0E46"/>
    <w:rsid w:val="001B0EA9"/>
    <w:rsid w:val="001B0ED4"/>
    <w:rsid w:val="001B0EE5"/>
    <w:rsid w:val="001B0F14"/>
    <w:rsid w:val="001B0F63"/>
    <w:rsid w:val="001B0F94"/>
    <w:rsid w:val="001B105A"/>
    <w:rsid w:val="001B108D"/>
    <w:rsid w:val="001B10F9"/>
    <w:rsid w:val="001B112B"/>
    <w:rsid w:val="001B120F"/>
    <w:rsid w:val="001B12BC"/>
    <w:rsid w:val="001B1348"/>
    <w:rsid w:val="001B1380"/>
    <w:rsid w:val="001B13A8"/>
    <w:rsid w:val="001B13B7"/>
    <w:rsid w:val="001B1421"/>
    <w:rsid w:val="001B14E8"/>
    <w:rsid w:val="001B1585"/>
    <w:rsid w:val="001B1607"/>
    <w:rsid w:val="001B161B"/>
    <w:rsid w:val="001B16DB"/>
    <w:rsid w:val="001B1713"/>
    <w:rsid w:val="001B1783"/>
    <w:rsid w:val="001B17C3"/>
    <w:rsid w:val="001B17FF"/>
    <w:rsid w:val="001B18E7"/>
    <w:rsid w:val="001B1AED"/>
    <w:rsid w:val="001B1C3E"/>
    <w:rsid w:val="001B1D48"/>
    <w:rsid w:val="001B1D59"/>
    <w:rsid w:val="001B1E85"/>
    <w:rsid w:val="001B1E8C"/>
    <w:rsid w:val="001B1E9E"/>
    <w:rsid w:val="001B1ECB"/>
    <w:rsid w:val="001B1EE4"/>
    <w:rsid w:val="001B1F15"/>
    <w:rsid w:val="001B1F30"/>
    <w:rsid w:val="001B1F70"/>
    <w:rsid w:val="001B20E0"/>
    <w:rsid w:val="001B2127"/>
    <w:rsid w:val="001B21A2"/>
    <w:rsid w:val="001B21C2"/>
    <w:rsid w:val="001B228B"/>
    <w:rsid w:val="001B22B1"/>
    <w:rsid w:val="001B22B2"/>
    <w:rsid w:val="001B2397"/>
    <w:rsid w:val="001B23E6"/>
    <w:rsid w:val="001B2422"/>
    <w:rsid w:val="001B2521"/>
    <w:rsid w:val="001B2692"/>
    <w:rsid w:val="001B278F"/>
    <w:rsid w:val="001B2881"/>
    <w:rsid w:val="001B2AA0"/>
    <w:rsid w:val="001B2B29"/>
    <w:rsid w:val="001B2BFF"/>
    <w:rsid w:val="001B2CD6"/>
    <w:rsid w:val="001B2F15"/>
    <w:rsid w:val="001B3019"/>
    <w:rsid w:val="001B3043"/>
    <w:rsid w:val="001B3054"/>
    <w:rsid w:val="001B3091"/>
    <w:rsid w:val="001B30EB"/>
    <w:rsid w:val="001B3108"/>
    <w:rsid w:val="001B311E"/>
    <w:rsid w:val="001B314E"/>
    <w:rsid w:val="001B31FB"/>
    <w:rsid w:val="001B32F3"/>
    <w:rsid w:val="001B33A2"/>
    <w:rsid w:val="001B33CF"/>
    <w:rsid w:val="001B3421"/>
    <w:rsid w:val="001B347C"/>
    <w:rsid w:val="001B35F2"/>
    <w:rsid w:val="001B369E"/>
    <w:rsid w:val="001B3772"/>
    <w:rsid w:val="001B37E3"/>
    <w:rsid w:val="001B37F0"/>
    <w:rsid w:val="001B37FB"/>
    <w:rsid w:val="001B3827"/>
    <w:rsid w:val="001B3957"/>
    <w:rsid w:val="001B3961"/>
    <w:rsid w:val="001B3A4B"/>
    <w:rsid w:val="001B3BF9"/>
    <w:rsid w:val="001B3D53"/>
    <w:rsid w:val="001B3D6C"/>
    <w:rsid w:val="001B3DA7"/>
    <w:rsid w:val="001B3DAD"/>
    <w:rsid w:val="001B3DB5"/>
    <w:rsid w:val="001B3E8A"/>
    <w:rsid w:val="001B3EEF"/>
    <w:rsid w:val="001B3F05"/>
    <w:rsid w:val="001B3F22"/>
    <w:rsid w:val="001B3F4F"/>
    <w:rsid w:val="001B4010"/>
    <w:rsid w:val="001B401F"/>
    <w:rsid w:val="001B4125"/>
    <w:rsid w:val="001B41E5"/>
    <w:rsid w:val="001B4265"/>
    <w:rsid w:val="001B426A"/>
    <w:rsid w:val="001B43B6"/>
    <w:rsid w:val="001B46DA"/>
    <w:rsid w:val="001B4858"/>
    <w:rsid w:val="001B494B"/>
    <w:rsid w:val="001B4A92"/>
    <w:rsid w:val="001B4C3E"/>
    <w:rsid w:val="001B4CA2"/>
    <w:rsid w:val="001B4D30"/>
    <w:rsid w:val="001B4E9E"/>
    <w:rsid w:val="001B4F32"/>
    <w:rsid w:val="001B4F42"/>
    <w:rsid w:val="001B4FBF"/>
    <w:rsid w:val="001B501D"/>
    <w:rsid w:val="001B5027"/>
    <w:rsid w:val="001B5385"/>
    <w:rsid w:val="001B53C6"/>
    <w:rsid w:val="001B53D5"/>
    <w:rsid w:val="001B53E7"/>
    <w:rsid w:val="001B54CB"/>
    <w:rsid w:val="001B5503"/>
    <w:rsid w:val="001B5579"/>
    <w:rsid w:val="001B56F0"/>
    <w:rsid w:val="001B5837"/>
    <w:rsid w:val="001B58EF"/>
    <w:rsid w:val="001B58F8"/>
    <w:rsid w:val="001B5900"/>
    <w:rsid w:val="001B5942"/>
    <w:rsid w:val="001B59C6"/>
    <w:rsid w:val="001B59DE"/>
    <w:rsid w:val="001B5A0B"/>
    <w:rsid w:val="001B5CEC"/>
    <w:rsid w:val="001B5D44"/>
    <w:rsid w:val="001B5DFC"/>
    <w:rsid w:val="001B61B5"/>
    <w:rsid w:val="001B61E0"/>
    <w:rsid w:val="001B61F6"/>
    <w:rsid w:val="001B6288"/>
    <w:rsid w:val="001B62A6"/>
    <w:rsid w:val="001B6384"/>
    <w:rsid w:val="001B63AC"/>
    <w:rsid w:val="001B63AF"/>
    <w:rsid w:val="001B64A6"/>
    <w:rsid w:val="001B6798"/>
    <w:rsid w:val="001B67A8"/>
    <w:rsid w:val="001B6A42"/>
    <w:rsid w:val="001B6AE6"/>
    <w:rsid w:val="001B6CA5"/>
    <w:rsid w:val="001B6CD3"/>
    <w:rsid w:val="001B6D7D"/>
    <w:rsid w:val="001B6EAC"/>
    <w:rsid w:val="001B6FC3"/>
    <w:rsid w:val="001B6FD0"/>
    <w:rsid w:val="001B710A"/>
    <w:rsid w:val="001B7183"/>
    <w:rsid w:val="001B7219"/>
    <w:rsid w:val="001B7234"/>
    <w:rsid w:val="001B72F9"/>
    <w:rsid w:val="001B7406"/>
    <w:rsid w:val="001B767C"/>
    <w:rsid w:val="001B76AB"/>
    <w:rsid w:val="001B7711"/>
    <w:rsid w:val="001B7831"/>
    <w:rsid w:val="001B785F"/>
    <w:rsid w:val="001B7BF0"/>
    <w:rsid w:val="001B7C3E"/>
    <w:rsid w:val="001B7C43"/>
    <w:rsid w:val="001B7C8B"/>
    <w:rsid w:val="001B7DB1"/>
    <w:rsid w:val="001B7E2E"/>
    <w:rsid w:val="001B7E73"/>
    <w:rsid w:val="001B7E85"/>
    <w:rsid w:val="001B7F30"/>
    <w:rsid w:val="001B7FE6"/>
    <w:rsid w:val="001C0047"/>
    <w:rsid w:val="001C0149"/>
    <w:rsid w:val="001C0201"/>
    <w:rsid w:val="001C060A"/>
    <w:rsid w:val="001C067A"/>
    <w:rsid w:val="001C0746"/>
    <w:rsid w:val="001C07BD"/>
    <w:rsid w:val="001C07F2"/>
    <w:rsid w:val="001C0963"/>
    <w:rsid w:val="001C0A9C"/>
    <w:rsid w:val="001C0AA0"/>
    <w:rsid w:val="001C0AC1"/>
    <w:rsid w:val="001C0CB0"/>
    <w:rsid w:val="001C0E11"/>
    <w:rsid w:val="001C0E2C"/>
    <w:rsid w:val="001C0E57"/>
    <w:rsid w:val="001C0F0E"/>
    <w:rsid w:val="001C1140"/>
    <w:rsid w:val="001C1143"/>
    <w:rsid w:val="001C11B9"/>
    <w:rsid w:val="001C11E2"/>
    <w:rsid w:val="001C1272"/>
    <w:rsid w:val="001C12C0"/>
    <w:rsid w:val="001C12D1"/>
    <w:rsid w:val="001C1336"/>
    <w:rsid w:val="001C13E2"/>
    <w:rsid w:val="001C14C6"/>
    <w:rsid w:val="001C18AA"/>
    <w:rsid w:val="001C194C"/>
    <w:rsid w:val="001C1CE1"/>
    <w:rsid w:val="001C1DE1"/>
    <w:rsid w:val="001C1E52"/>
    <w:rsid w:val="001C1EBE"/>
    <w:rsid w:val="001C1FCF"/>
    <w:rsid w:val="001C2056"/>
    <w:rsid w:val="001C2164"/>
    <w:rsid w:val="001C21A1"/>
    <w:rsid w:val="001C21FE"/>
    <w:rsid w:val="001C2344"/>
    <w:rsid w:val="001C2416"/>
    <w:rsid w:val="001C242E"/>
    <w:rsid w:val="001C249E"/>
    <w:rsid w:val="001C2541"/>
    <w:rsid w:val="001C259E"/>
    <w:rsid w:val="001C2718"/>
    <w:rsid w:val="001C27F7"/>
    <w:rsid w:val="001C27FD"/>
    <w:rsid w:val="001C2855"/>
    <w:rsid w:val="001C28A8"/>
    <w:rsid w:val="001C29DF"/>
    <w:rsid w:val="001C2A6A"/>
    <w:rsid w:val="001C2AC1"/>
    <w:rsid w:val="001C2C07"/>
    <w:rsid w:val="001C2C55"/>
    <w:rsid w:val="001C2C7D"/>
    <w:rsid w:val="001C2EEF"/>
    <w:rsid w:val="001C2F8B"/>
    <w:rsid w:val="001C302E"/>
    <w:rsid w:val="001C307E"/>
    <w:rsid w:val="001C3203"/>
    <w:rsid w:val="001C326B"/>
    <w:rsid w:val="001C32FF"/>
    <w:rsid w:val="001C3307"/>
    <w:rsid w:val="001C3381"/>
    <w:rsid w:val="001C3388"/>
    <w:rsid w:val="001C345C"/>
    <w:rsid w:val="001C34A2"/>
    <w:rsid w:val="001C35C7"/>
    <w:rsid w:val="001C372A"/>
    <w:rsid w:val="001C37E6"/>
    <w:rsid w:val="001C3819"/>
    <w:rsid w:val="001C3821"/>
    <w:rsid w:val="001C38F1"/>
    <w:rsid w:val="001C3AA3"/>
    <w:rsid w:val="001C3B6F"/>
    <w:rsid w:val="001C3BB3"/>
    <w:rsid w:val="001C3BC7"/>
    <w:rsid w:val="001C3BD2"/>
    <w:rsid w:val="001C3BD5"/>
    <w:rsid w:val="001C3C3D"/>
    <w:rsid w:val="001C3F76"/>
    <w:rsid w:val="001C4119"/>
    <w:rsid w:val="001C4151"/>
    <w:rsid w:val="001C4222"/>
    <w:rsid w:val="001C45E8"/>
    <w:rsid w:val="001C46C6"/>
    <w:rsid w:val="001C47C3"/>
    <w:rsid w:val="001C489F"/>
    <w:rsid w:val="001C4AB4"/>
    <w:rsid w:val="001C4B04"/>
    <w:rsid w:val="001C4BED"/>
    <w:rsid w:val="001C4CC4"/>
    <w:rsid w:val="001C4CE1"/>
    <w:rsid w:val="001C4E5B"/>
    <w:rsid w:val="001C4FB0"/>
    <w:rsid w:val="001C512E"/>
    <w:rsid w:val="001C5193"/>
    <w:rsid w:val="001C5294"/>
    <w:rsid w:val="001C52B8"/>
    <w:rsid w:val="001C52E2"/>
    <w:rsid w:val="001C533F"/>
    <w:rsid w:val="001C5377"/>
    <w:rsid w:val="001C53A5"/>
    <w:rsid w:val="001C53FD"/>
    <w:rsid w:val="001C54EB"/>
    <w:rsid w:val="001C5580"/>
    <w:rsid w:val="001C56BA"/>
    <w:rsid w:val="001C56E0"/>
    <w:rsid w:val="001C5746"/>
    <w:rsid w:val="001C574B"/>
    <w:rsid w:val="001C5793"/>
    <w:rsid w:val="001C5814"/>
    <w:rsid w:val="001C58C1"/>
    <w:rsid w:val="001C5A95"/>
    <w:rsid w:val="001C5AC9"/>
    <w:rsid w:val="001C5ADD"/>
    <w:rsid w:val="001C5B6F"/>
    <w:rsid w:val="001C5B71"/>
    <w:rsid w:val="001C5DA8"/>
    <w:rsid w:val="001C5DE4"/>
    <w:rsid w:val="001C5F36"/>
    <w:rsid w:val="001C5F62"/>
    <w:rsid w:val="001C5F97"/>
    <w:rsid w:val="001C60AE"/>
    <w:rsid w:val="001C60C9"/>
    <w:rsid w:val="001C620D"/>
    <w:rsid w:val="001C62DA"/>
    <w:rsid w:val="001C6341"/>
    <w:rsid w:val="001C6370"/>
    <w:rsid w:val="001C637C"/>
    <w:rsid w:val="001C644A"/>
    <w:rsid w:val="001C64AF"/>
    <w:rsid w:val="001C655F"/>
    <w:rsid w:val="001C658F"/>
    <w:rsid w:val="001C65DB"/>
    <w:rsid w:val="001C6769"/>
    <w:rsid w:val="001C67B0"/>
    <w:rsid w:val="001C6814"/>
    <w:rsid w:val="001C68DC"/>
    <w:rsid w:val="001C68ED"/>
    <w:rsid w:val="001C6950"/>
    <w:rsid w:val="001C69F1"/>
    <w:rsid w:val="001C69F2"/>
    <w:rsid w:val="001C6A35"/>
    <w:rsid w:val="001C6A52"/>
    <w:rsid w:val="001C6B3D"/>
    <w:rsid w:val="001C6BD8"/>
    <w:rsid w:val="001C6BFC"/>
    <w:rsid w:val="001C6C29"/>
    <w:rsid w:val="001C6CB8"/>
    <w:rsid w:val="001C6D08"/>
    <w:rsid w:val="001C6E9D"/>
    <w:rsid w:val="001C71F6"/>
    <w:rsid w:val="001C7255"/>
    <w:rsid w:val="001C72AE"/>
    <w:rsid w:val="001C7318"/>
    <w:rsid w:val="001C73C0"/>
    <w:rsid w:val="001C7408"/>
    <w:rsid w:val="001C7666"/>
    <w:rsid w:val="001C772B"/>
    <w:rsid w:val="001C7753"/>
    <w:rsid w:val="001C77C7"/>
    <w:rsid w:val="001C7896"/>
    <w:rsid w:val="001C7953"/>
    <w:rsid w:val="001C79C0"/>
    <w:rsid w:val="001C7A3D"/>
    <w:rsid w:val="001C7C78"/>
    <w:rsid w:val="001C7D02"/>
    <w:rsid w:val="001C7E32"/>
    <w:rsid w:val="001C7E68"/>
    <w:rsid w:val="001C7E97"/>
    <w:rsid w:val="001D0296"/>
    <w:rsid w:val="001D03F6"/>
    <w:rsid w:val="001D048B"/>
    <w:rsid w:val="001D0516"/>
    <w:rsid w:val="001D0525"/>
    <w:rsid w:val="001D0761"/>
    <w:rsid w:val="001D0762"/>
    <w:rsid w:val="001D07AD"/>
    <w:rsid w:val="001D07B1"/>
    <w:rsid w:val="001D093D"/>
    <w:rsid w:val="001D097E"/>
    <w:rsid w:val="001D09EF"/>
    <w:rsid w:val="001D0A3D"/>
    <w:rsid w:val="001D0A93"/>
    <w:rsid w:val="001D0ACE"/>
    <w:rsid w:val="001D0B85"/>
    <w:rsid w:val="001D0BF2"/>
    <w:rsid w:val="001D0CEF"/>
    <w:rsid w:val="001D0CFF"/>
    <w:rsid w:val="001D0E8C"/>
    <w:rsid w:val="001D0F77"/>
    <w:rsid w:val="001D0FF4"/>
    <w:rsid w:val="001D100C"/>
    <w:rsid w:val="001D1012"/>
    <w:rsid w:val="001D1053"/>
    <w:rsid w:val="001D10C7"/>
    <w:rsid w:val="001D12C8"/>
    <w:rsid w:val="001D12D2"/>
    <w:rsid w:val="001D12E9"/>
    <w:rsid w:val="001D1324"/>
    <w:rsid w:val="001D1415"/>
    <w:rsid w:val="001D141E"/>
    <w:rsid w:val="001D150E"/>
    <w:rsid w:val="001D1534"/>
    <w:rsid w:val="001D1535"/>
    <w:rsid w:val="001D153A"/>
    <w:rsid w:val="001D155A"/>
    <w:rsid w:val="001D15B4"/>
    <w:rsid w:val="001D1620"/>
    <w:rsid w:val="001D1672"/>
    <w:rsid w:val="001D175D"/>
    <w:rsid w:val="001D1802"/>
    <w:rsid w:val="001D1824"/>
    <w:rsid w:val="001D182A"/>
    <w:rsid w:val="001D186F"/>
    <w:rsid w:val="001D1888"/>
    <w:rsid w:val="001D1962"/>
    <w:rsid w:val="001D1A60"/>
    <w:rsid w:val="001D1B4C"/>
    <w:rsid w:val="001D1BA8"/>
    <w:rsid w:val="001D1D13"/>
    <w:rsid w:val="001D1D9C"/>
    <w:rsid w:val="001D1F5A"/>
    <w:rsid w:val="001D1F5B"/>
    <w:rsid w:val="001D216E"/>
    <w:rsid w:val="001D22EB"/>
    <w:rsid w:val="001D2686"/>
    <w:rsid w:val="001D2739"/>
    <w:rsid w:val="001D2742"/>
    <w:rsid w:val="001D27B7"/>
    <w:rsid w:val="001D2864"/>
    <w:rsid w:val="001D2928"/>
    <w:rsid w:val="001D29C3"/>
    <w:rsid w:val="001D29F6"/>
    <w:rsid w:val="001D2BE3"/>
    <w:rsid w:val="001D2CCC"/>
    <w:rsid w:val="001D2D8E"/>
    <w:rsid w:val="001D2E2A"/>
    <w:rsid w:val="001D2F37"/>
    <w:rsid w:val="001D3015"/>
    <w:rsid w:val="001D3032"/>
    <w:rsid w:val="001D311E"/>
    <w:rsid w:val="001D312E"/>
    <w:rsid w:val="001D3165"/>
    <w:rsid w:val="001D318F"/>
    <w:rsid w:val="001D3295"/>
    <w:rsid w:val="001D32A8"/>
    <w:rsid w:val="001D32B0"/>
    <w:rsid w:val="001D3370"/>
    <w:rsid w:val="001D33EE"/>
    <w:rsid w:val="001D35C2"/>
    <w:rsid w:val="001D368C"/>
    <w:rsid w:val="001D3732"/>
    <w:rsid w:val="001D377D"/>
    <w:rsid w:val="001D395A"/>
    <w:rsid w:val="001D3C5B"/>
    <w:rsid w:val="001D3D15"/>
    <w:rsid w:val="001D3D5D"/>
    <w:rsid w:val="001D3F27"/>
    <w:rsid w:val="001D405F"/>
    <w:rsid w:val="001D4146"/>
    <w:rsid w:val="001D42A3"/>
    <w:rsid w:val="001D4319"/>
    <w:rsid w:val="001D4327"/>
    <w:rsid w:val="001D439A"/>
    <w:rsid w:val="001D43B4"/>
    <w:rsid w:val="001D4406"/>
    <w:rsid w:val="001D485C"/>
    <w:rsid w:val="001D4C88"/>
    <w:rsid w:val="001D4CFC"/>
    <w:rsid w:val="001D4D37"/>
    <w:rsid w:val="001D4D69"/>
    <w:rsid w:val="001D4E21"/>
    <w:rsid w:val="001D4E72"/>
    <w:rsid w:val="001D4EF5"/>
    <w:rsid w:val="001D4F38"/>
    <w:rsid w:val="001D4F78"/>
    <w:rsid w:val="001D4F79"/>
    <w:rsid w:val="001D5049"/>
    <w:rsid w:val="001D5095"/>
    <w:rsid w:val="001D50C2"/>
    <w:rsid w:val="001D50F4"/>
    <w:rsid w:val="001D5145"/>
    <w:rsid w:val="001D51CB"/>
    <w:rsid w:val="001D51F7"/>
    <w:rsid w:val="001D5229"/>
    <w:rsid w:val="001D5249"/>
    <w:rsid w:val="001D527E"/>
    <w:rsid w:val="001D5322"/>
    <w:rsid w:val="001D5345"/>
    <w:rsid w:val="001D57B0"/>
    <w:rsid w:val="001D57E0"/>
    <w:rsid w:val="001D57FF"/>
    <w:rsid w:val="001D5AAA"/>
    <w:rsid w:val="001D5AEE"/>
    <w:rsid w:val="001D5D4B"/>
    <w:rsid w:val="001D5DBE"/>
    <w:rsid w:val="001D5E84"/>
    <w:rsid w:val="001D5E97"/>
    <w:rsid w:val="001D5F77"/>
    <w:rsid w:val="001D6074"/>
    <w:rsid w:val="001D6077"/>
    <w:rsid w:val="001D607C"/>
    <w:rsid w:val="001D6114"/>
    <w:rsid w:val="001D61B2"/>
    <w:rsid w:val="001D61FB"/>
    <w:rsid w:val="001D620F"/>
    <w:rsid w:val="001D62C5"/>
    <w:rsid w:val="001D6394"/>
    <w:rsid w:val="001D6445"/>
    <w:rsid w:val="001D64CA"/>
    <w:rsid w:val="001D6506"/>
    <w:rsid w:val="001D6529"/>
    <w:rsid w:val="001D6622"/>
    <w:rsid w:val="001D6677"/>
    <w:rsid w:val="001D6765"/>
    <w:rsid w:val="001D68B3"/>
    <w:rsid w:val="001D69BD"/>
    <w:rsid w:val="001D6A14"/>
    <w:rsid w:val="001D6B32"/>
    <w:rsid w:val="001D6B72"/>
    <w:rsid w:val="001D6B9E"/>
    <w:rsid w:val="001D6C3C"/>
    <w:rsid w:val="001D6C71"/>
    <w:rsid w:val="001D6CC8"/>
    <w:rsid w:val="001D6D6C"/>
    <w:rsid w:val="001D6D8A"/>
    <w:rsid w:val="001D6DF6"/>
    <w:rsid w:val="001D6E3A"/>
    <w:rsid w:val="001D6E4F"/>
    <w:rsid w:val="001D6F3F"/>
    <w:rsid w:val="001D7035"/>
    <w:rsid w:val="001D7083"/>
    <w:rsid w:val="001D70B3"/>
    <w:rsid w:val="001D710D"/>
    <w:rsid w:val="001D7122"/>
    <w:rsid w:val="001D71A5"/>
    <w:rsid w:val="001D71AD"/>
    <w:rsid w:val="001D7294"/>
    <w:rsid w:val="001D7390"/>
    <w:rsid w:val="001D74CB"/>
    <w:rsid w:val="001D75C1"/>
    <w:rsid w:val="001D7688"/>
    <w:rsid w:val="001D76DD"/>
    <w:rsid w:val="001D76EF"/>
    <w:rsid w:val="001D776F"/>
    <w:rsid w:val="001D788A"/>
    <w:rsid w:val="001D7932"/>
    <w:rsid w:val="001D794F"/>
    <w:rsid w:val="001D7967"/>
    <w:rsid w:val="001D79C6"/>
    <w:rsid w:val="001D79EA"/>
    <w:rsid w:val="001D7B29"/>
    <w:rsid w:val="001D7EEC"/>
    <w:rsid w:val="001D7FB3"/>
    <w:rsid w:val="001D7FC4"/>
    <w:rsid w:val="001DA719"/>
    <w:rsid w:val="001E0013"/>
    <w:rsid w:val="001E0083"/>
    <w:rsid w:val="001E0187"/>
    <w:rsid w:val="001E02F4"/>
    <w:rsid w:val="001E03C5"/>
    <w:rsid w:val="001E03CC"/>
    <w:rsid w:val="001E051D"/>
    <w:rsid w:val="001E061C"/>
    <w:rsid w:val="001E0634"/>
    <w:rsid w:val="001E0640"/>
    <w:rsid w:val="001E06BF"/>
    <w:rsid w:val="001E0778"/>
    <w:rsid w:val="001E07E7"/>
    <w:rsid w:val="001E085F"/>
    <w:rsid w:val="001E0899"/>
    <w:rsid w:val="001E0975"/>
    <w:rsid w:val="001E0A86"/>
    <w:rsid w:val="001E0B5D"/>
    <w:rsid w:val="001E0BFD"/>
    <w:rsid w:val="001E0D02"/>
    <w:rsid w:val="001E0D04"/>
    <w:rsid w:val="001E0E2F"/>
    <w:rsid w:val="001E0E5E"/>
    <w:rsid w:val="001E0EA7"/>
    <w:rsid w:val="001E0F82"/>
    <w:rsid w:val="001E0F83"/>
    <w:rsid w:val="001E0FB4"/>
    <w:rsid w:val="001E12B3"/>
    <w:rsid w:val="001E146E"/>
    <w:rsid w:val="001E14EA"/>
    <w:rsid w:val="001E15E3"/>
    <w:rsid w:val="001E162D"/>
    <w:rsid w:val="001E165C"/>
    <w:rsid w:val="001E174E"/>
    <w:rsid w:val="001E1884"/>
    <w:rsid w:val="001E18DB"/>
    <w:rsid w:val="001E1AC1"/>
    <w:rsid w:val="001E1B16"/>
    <w:rsid w:val="001E1B5C"/>
    <w:rsid w:val="001E1C5D"/>
    <w:rsid w:val="001E1D67"/>
    <w:rsid w:val="001E1D88"/>
    <w:rsid w:val="001E1DC6"/>
    <w:rsid w:val="001E1E94"/>
    <w:rsid w:val="001E1F34"/>
    <w:rsid w:val="001E1F51"/>
    <w:rsid w:val="001E1FE9"/>
    <w:rsid w:val="001E2039"/>
    <w:rsid w:val="001E2084"/>
    <w:rsid w:val="001E216B"/>
    <w:rsid w:val="001E22AE"/>
    <w:rsid w:val="001E266E"/>
    <w:rsid w:val="001E269F"/>
    <w:rsid w:val="001E26F7"/>
    <w:rsid w:val="001E2703"/>
    <w:rsid w:val="001E272E"/>
    <w:rsid w:val="001E2767"/>
    <w:rsid w:val="001E280F"/>
    <w:rsid w:val="001E28C6"/>
    <w:rsid w:val="001E2A1D"/>
    <w:rsid w:val="001E2B7F"/>
    <w:rsid w:val="001E2BD5"/>
    <w:rsid w:val="001E2C1B"/>
    <w:rsid w:val="001E2C1D"/>
    <w:rsid w:val="001E2CA0"/>
    <w:rsid w:val="001E2D85"/>
    <w:rsid w:val="001E2DAA"/>
    <w:rsid w:val="001E2E81"/>
    <w:rsid w:val="001E2E82"/>
    <w:rsid w:val="001E2EA1"/>
    <w:rsid w:val="001E2F23"/>
    <w:rsid w:val="001E2F8B"/>
    <w:rsid w:val="001E3169"/>
    <w:rsid w:val="001E358C"/>
    <w:rsid w:val="001E3595"/>
    <w:rsid w:val="001E35AE"/>
    <w:rsid w:val="001E363F"/>
    <w:rsid w:val="001E378E"/>
    <w:rsid w:val="001E3820"/>
    <w:rsid w:val="001E38B0"/>
    <w:rsid w:val="001E3907"/>
    <w:rsid w:val="001E3986"/>
    <w:rsid w:val="001E3988"/>
    <w:rsid w:val="001E3A62"/>
    <w:rsid w:val="001E3A69"/>
    <w:rsid w:val="001E3A89"/>
    <w:rsid w:val="001E3A9F"/>
    <w:rsid w:val="001E3AAF"/>
    <w:rsid w:val="001E3B04"/>
    <w:rsid w:val="001E3B22"/>
    <w:rsid w:val="001E3B2E"/>
    <w:rsid w:val="001E3B4F"/>
    <w:rsid w:val="001E3CA3"/>
    <w:rsid w:val="001E3CE2"/>
    <w:rsid w:val="001E3D61"/>
    <w:rsid w:val="001E3E71"/>
    <w:rsid w:val="001E3ECE"/>
    <w:rsid w:val="001E3F31"/>
    <w:rsid w:val="001E3F7B"/>
    <w:rsid w:val="001E4041"/>
    <w:rsid w:val="001E4080"/>
    <w:rsid w:val="001E40B7"/>
    <w:rsid w:val="001E4108"/>
    <w:rsid w:val="001E4120"/>
    <w:rsid w:val="001E41D8"/>
    <w:rsid w:val="001E421B"/>
    <w:rsid w:val="001E4277"/>
    <w:rsid w:val="001E42FF"/>
    <w:rsid w:val="001E43BD"/>
    <w:rsid w:val="001E44B7"/>
    <w:rsid w:val="001E44EF"/>
    <w:rsid w:val="001E4501"/>
    <w:rsid w:val="001E4598"/>
    <w:rsid w:val="001E4608"/>
    <w:rsid w:val="001E4625"/>
    <w:rsid w:val="001E4655"/>
    <w:rsid w:val="001E4696"/>
    <w:rsid w:val="001E46C6"/>
    <w:rsid w:val="001E473B"/>
    <w:rsid w:val="001E48A8"/>
    <w:rsid w:val="001E4A39"/>
    <w:rsid w:val="001E4B6E"/>
    <w:rsid w:val="001E4C1A"/>
    <w:rsid w:val="001E4C2F"/>
    <w:rsid w:val="001E4CD3"/>
    <w:rsid w:val="001E4DA8"/>
    <w:rsid w:val="001E4F44"/>
    <w:rsid w:val="001E4FCC"/>
    <w:rsid w:val="001E4FDA"/>
    <w:rsid w:val="001E5074"/>
    <w:rsid w:val="001E50DF"/>
    <w:rsid w:val="001E515F"/>
    <w:rsid w:val="001E5201"/>
    <w:rsid w:val="001E5246"/>
    <w:rsid w:val="001E5293"/>
    <w:rsid w:val="001E532E"/>
    <w:rsid w:val="001E539A"/>
    <w:rsid w:val="001E53AA"/>
    <w:rsid w:val="001E53DB"/>
    <w:rsid w:val="001E547C"/>
    <w:rsid w:val="001E5542"/>
    <w:rsid w:val="001E5618"/>
    <w:rsid w:val="001E568B"/>
    <w:rsid w:val="001E56B1"/>
    <w:rsid w:val="001E5730"/>
    <w:rsid w:val="001E5782"/>
    <w:rsid w:val="001E589D"/>
    <w:rsid w:val="001E58AD"/>
    <w:rsid w:val="001E58D2"/>
    <w:rsid w:val="001E5928"/>
    <w:rsid w:val="001E597C"/>
    <w:rsid w:val="001E5A00"/>
    <w:rsid w:val="001E5A27"/>
    <w:rsid w:val="001E5B24"/>
    <w:rsid w:val="001E5B5D"/>
    <w:rsid w:val="001E5B99"/>
    <w:rsid w:val="001E5BAC"/>
    <w:rsid w:val="001E5D78"/>
    <w:rsid w:val="001E5E50"/>
    <w:rsid w:val="001E5E86"/>
    <w:rsid w:val="001E5F6B"/>
    <w:rsid w:val="001E5FA5"/>
    <w:rsid w:val="001E5FA6"/>
    <w:rsid w:val="001E6009"/>
    <w:rsid w:val="001E60D5"/>
    <w:rsid w:val="001E614E"/>
    <w:rsid w:val="001E6174"/>
    <w:rsid w:val="001E618D"/>
    <w:rsid w:val="001E621D"/>
    <w:rsid w:val="001E62D8"/>
    <w:rsid w:val="001E63A5"/>
    <w:rsid w:val="001E645F"/>
    <w:rsid w:val="001E647F"/>
    <w:rsid w:val="001E6486"/>
    <w:rsid w:val="001E64C8"/>
    <w:rsid w:val="001E655D"/>
    <w:rsid w:val="001E65AC"/>
    <w:rsid w:val="001E660D"/>
    <w:rsid w:val="001E66A2"/>
    <w:rsid w:val="001E66C8"/>
    <w:rsid w:val="001E66F5"/>
    <w:rsid w:val="001E685E"/>
    <w:rsid w:val="001E68DA"/>
    <w:rsid w:val="001E6A25"/>
    <w:rsid w:val="001E6A68"/>
    <w:rsid w:val="001E6AA6"/>
    <w:rsid w:val="001E6AA9"/>
    <w:rsid w:val="001E6AC7"/>
    <w:rsid w:val="001E6B55"/>
    <w:rsid w:val="001E6B5A"/>
    <w:rsid w:val="001E6DAF"/>
    <w:rsid w:val="001E6E6A"/>
    <w:rsid w:val="001E6F49"/>
    <w:rsid w:val="001E6F87"/>
    <w:rsid w:val="001E6F9D"/>
    <w:rsid w:val="001E6FB9"/>
    <w:rsid w:val="001E7022"/>
    <w:rsid w:val="001E7080"/>
    <w:rsid w:val="001E7136"/>
    <w:rsid w:val="001E718B"/>
    <w:rsid w:val="001E71C2"/>
    <w:rsid w:val="001E71DE"/>
    <w:rsid w:val="001E730B"/>
    <w:rsid w:val="001E747B"/>
    <w:rsid w:val="001E749B"/>
    <w:rsid w:val="001E74EF"/>
    <w:rsid w:val="001E7502"/>
    <w:rsid w:val="001E7542"/>
    <w:rsid w:val="001E769B"/>
    <w:rsid w:val="001E7788"/>
    <w:rsid w:val="001E7B59"/>
    <w:rsid w:val="001E7B96"/>
    <w:rsid w:val="001E7C1B"/>
    <w:rsid w:val="001E7D33"/>
    <w:rsid w:val="001E7DD0"/>
    <w:rsid w:val="001E7DD1"/>
    <w:rsid w:val="001E7E7A"/>
    <w:rsid w:val="001E7F6F"/>
    <w:rsid w:val="001F0016"/>
    <w:rsid w:val="001F0127"/>
    <w:rsid w:val="001F023A"/>
    <w:rsid w:val="001F033A"/>
    <w:rsid w:val="001F0362"/>
    <w:rsid w:val="001F04C2"/>
    <w:rsid w:val="001F04D7"/>
    <w:rsid w:val="001F075E"/>
    <w:rsid w:val="001F07CC"/>
    <w:rsid w:val="001F0827"/>
    <w:rsid w:val="001F0958"/>
    <w:rsid w:val="001F09A0"/>
    <w:rsid w:val="001F0A63"/>
    <w:rsid w:val="001F0B16"/>
    <w:rsid w:val="001F0B79"/>
    <w:rsid w:val="001F0B7A"/>
    <w:rsid w:val="001F0DA8"/>
    <w:rsid w:val="001F0DF5"/>
    <w:rsid w:val="001F0E93"/>
    <w:rsid w:val="001F0EC5"/>
    <w:rsid w:val="001F0EE9"/>
    <w:rsid w:val="001F0FE9"/>
    <w:rsid w:val="001F11DE"/>
    <w:rsid w:val="001F11F5"/>
    <w:rsid w:val="001F1271"/>
    <w:rsid w:val="001F1283"/>
    <w:rsid w:val="001F13AC"/>
    <w:rsid w:val="001F1597"/>
    <w:rsid w:val="001F15A4"/>
    <w:rsid w:val="001F1622"/>
    <w:rsid w:val="001F1645"/>
    <w:rsid w:val="001F1739"/>
    <w:rsid w:val="001F1891"/>
    <w:rsid w:val="001F1933"/>
    <w:rsid w:val="001F1B4D"/>
    <w:rsid w:val="001F1D42"/>
    <w:rsid w:val="001F1DC5"/>
    <w:rsid w:val="001F1E4F"/>
    <w:rsid w:val="001F1F2E"/>
    <w:rsid w:val="001F1F50"/>
    <w:rsid w:val="001F213C"/>
    <w:rsid w:val="001F216E"/>
    <w:rsid w:val="001F2241"/>
    <w:rsid w:val="001F2386"/>
    <w:rsid w:val="001F25D1"/>
    <w:rsid w:val="001F2859"/>
    <w:rsid w:val="001F289D"/>
    <w:rsid w:val="001F291F"/>
    <w:rsid w:val="001F2946"/>
    <w:rsid w:val="001F299D"/>
    <w:rsid w:val="001F29A1"/>
    <w:rsid w:val="001F2AF9"/>
    <w:rsid w:val="001F2B2E"/>
    <w:rsid w:val="001F2BCA"/>
    <w:rsid w:val="001F2BFF"/>
    <w:rsid w:val="001F2C52"/>
    <w:rsid w:val="001F2D85"/>
    <w:rsid w:val="001F2EA0"/>
    <w:rsid w:val="001F2EAD"/>
    <w:rsid w:val="001F2F39"/>
    <w:rsid w:val="001F2FCB"/>
    <w:rsid w:val="001F3027"/>
    <w:rsid w:val="001F3073"/>
    <w:rsid w:val="001F310B"/>
    <w:rsid w:val="001F31E5"/>
    <w:rsid w:val="001F35BC"/>
    <w:rsid w:val="001F3AF1"/>
    <w:rsid w:val="001F3B3A"/>
    <w:rsid w:val="001F3CCE"/>
    <w:rsid w:val="001F3DD3"/>
    <w:rsid w:val="001F3E24"/>
    <w:rsid w:val="001F3E35"/>
    <w:rsid w:val="001F3E58"/>
    <w:rsid w:val="001F3E70"/>
    <w:rsid w:val="001F3EAD"/>
    <w:rsid w:val="001F3F30"/>
    <w:rsid w:val="001F3FFD"/>
    <w:rsid w:val="001F4087"/>
    <w:rsid w:val="001F40BA"/>
    <w:rsid w:val="001F4230"/>
    <w:rsid w:val="001F427B"/>
    <w:rsid w:val="001F429B"/>
    <w:rsid w:val="001F42E3"/>
    <w:rsid w:val="001F4357"/>
    <w:rsid w:val="001F43E8"/>
    <w:rsid w:val="001F44AB"/>
    <w:rsid w:val="001F44C7"/>
    <w:rsid w:val="001F473E"/>
    <w:rsid w:val="001F4796"/>
    <w:rsid w:val="001F4949"/>
    <w:rsid w:val="001F499D"/>
    <w:rsid w:val="001F49D6"/>
    <w:rsid w:val="001F4A0B"/>
    <w:rsid w:val="001F4AED"/>
    <w:rsid w:val="001F4B61"/>
    <w:rsid w:val="001F4C10"/>
    <w:rsid w:val="001F4C91"/>
    <w:rsid w:val="001F4CA9"/>
    <w:rsid w:val="001F4CBA"/>
    <w:rsid w:val="001F4CDB"/>
    <w:rsid w:val="001F4D32"/>
    <w:rsid w:val="001F4DDD"/>
    <w:rsid w:val="001F4E0C"/>
    <w:rsid w:val="001F4E70"/>
    <w:rsid w:val="001F4EA0"/>
    <w:rsid w:val="001F5073"/>
    <w:rsid w:val="001F50A3"/>
    <w:rsid w:val="001F514B"/>
    <w:rsid w:val="001F515D"/>
    <w:rsid w:val="001F5165"/>
    <w:rsid w:val="001F5187"/>
    <w:rsid w:val="001F538B"/>
    <w:rsid w:val="001F53A2"/>
    <w:rsid w:val="001F540A"/>
    <w:rsid w:val="001F546B"/>
    <w:rsid w:val="001F5476"/>
    <w:rsid w:val="001F5847"/>
    <w:rsid w:val="001F58C4"/>
    <w:rsid w:val="001F58DE"/>
    <w:rsid w:val="001F59B3"/>
    <w:rsid w:val="001F59D2"/>
    <w:rsid w:val="001F5A69"/>
    <w:rsid w:val="001F5AEB"/>
    <w:rsid w:val="001F5D65"/>
    <w:rsid w:val="001F5F63"/>
    <w:rsid w:val="001F5F9A"/>
    <w:rsid w:val="001F5F9C"/>
    <w:rsid w:val="001F5FF9"/>
    <w:rsid w:val="001F6004"/>
    <w:rsid w:val="001F61E1"/>
    <w:rsid w:val="001F6274"/>
    <w:rsid w:val="001F632A"/>
    <w:rsid w:val="001F633C"/>
    <w:rsid w:val="001F64F0"/>
    <w:rsid w:val="001F6567"/>
    <w:rsid w:val="001F673B"/>
    <w:rsid w:val="001F677C"/>
    <w:rsid w:val="001F6866"/>
    <w:rsid w:val="001F68FD"/>
    <w:rsid w:val="001F6982"/>
    <w:rsid w:val="001F6B1F"/>
    <w:rsid w:val="001F6BC1"/>
    <w:rsid w:val="001F6C6D"/>
    <w:rsid w:val="001F6CAB"/>
    <w:rsid w:val="001F6D9A"/>
    <w:rsid w:val="001F6DEA"/>
    <w:rsid w:val="001F6F99"/>
    <w:rsid w:val="001F6FCB"/>
    <w:rsid w:val="001F712B"/>
    <w:rsid w:val="001F7194"/>
    <w:rsid w:val="001F722D"/>
    <w:rsid w:val="001F72CC"/>
    <w:rsid w:val="001F72CF"/>
    <w:rsid w:val="001F733F"/>
    <w:rsid w:val="001F736C"/>
    <w:rsid w:val="001F7377"/>
    <w:rsid w:val="001F73CF"/>
    <w:rsid w:val="001F742B"/>
    <w:rsid w:val="001F7625"/>
    <w:rsid w:val="001F76B9"/>
    <w:rsid w:val="001F76C4"/>
    <w:rsid w:val="001F7709"/>
    <w:rsid w:val="001F775C"/>
    <w:rsid w:val="001F776D"/>
    <w:rsid w:val="001F7863"/>
    <w:rsid w:val="001F797D"/>
    <w:rsid w:val="001F79CD"/>
    <w:rsid w:val="001F7AA3"/>
    <w:rsid w:val="001F7AEC"/>
    <w:rsid w:val="001F7AF3"/>
    <w:rsid w:val="001F7AF4"/>
    <w:rsid w:val="001F7AF8"/>
    <w:rsid w:val="001F7B3B"/>
    <w:rsid w:val="001F7BE4"/>
    <w:rsid w:val="001F7CBF"/>
    <w:rsid w:val="001F7CE3"/>
    <w:rsid w:val="001F7DD3"/>
    <w:rsid w:val="001F7F19"/>
    <w:rsid w:val="001F7F37"/>
    <w:rsid w:val="001F7F6A"/>
    <w:rsid w:val="001F7F98"/>
    <w:rsid w:val="001FAB58"/>
    <w:rsid w:val="0020000B"/>
    <w:rsid w:val="0020002C"/>
    <w:rsid w:val="00200040"/>
    <w:rsid w:val="00200062"/>
    <w:rsid w:val="002000D9"/>
    <w:rsid w:val="002001D3"/>
    <w:rsid w:val="00200230"/>
    <w:rsid w:val="002002F6"/>
    <w:rsid w:val="002003FA"/>
    <w:rsid w:val="002003FC"/>
    <w:rsid w:val="002004D3"/>
    <w:rsid w:val="002005F5"/>
    <w:rsid w:val="0020065D"/>
    <w:rsid w:val="00200676"/>
    <w:rsid w:val="0020070E"/>
    <w:rsid w:val="00200789"/>
    <w:rsid w:val="002007A5"/>
    <w:rsid w:val="00200805"/>
    <w:rsid w:val="0020084D"/>
    <w:rsid w:val="00200868"/>
    <w:rsid w:val="00200875"/>
    <w:rsid w:val="00200896"/>
    <w:rsid w:val="002008A9"/>
    <w:rsid w:val="00200A3B"/>
    <w:rsid w:val="00200C4D"/>
    <w:rsid w:val="00200C94"/>
    <w:rsid w:val="00200CE8"/>
    <w:rsid w:val="00200CF3"/>
    <w:rsid w:val="00200F31"/>
    <w:rsid w:val="00200F48"/>
    <w:rsid w:val="00201055"/>
    <w:rsid w:val="0020119D"/>
    <w:rsid w:val="0020124B"/>
    <w:rsid w:val="0020124E"/>
    <w:rsid w:val="002012C1"/>
    <w:rsid w:val="002013C5"/>
    <w:rsid w:val="00201427"/>
    <w:rsid w:val="0020142B"/>
    <w:rsid w:val="00201481"/>
    <w:rsid w:val="00201521"/>
    <w:rsid w:val="002015FC"/>
    <w:rsid w:val="00201728"/>
    <w:rsid w:val="0020176A"/>
    <w:rsid w:val="0020178B"/>
    <w:rsid w:val="00201792"/>
    <w:rsid w:val="00201853"/>
    <w:rsid w:val="002019BC"/>
    <w:rsid w:val="00201A7B"/>
    <w:rsid w:val="00201AA5"/>
    <w:rsid w:val="00201BBB"/>
    <w:rsid w:val="00201D5C"/>
    <w:rsid w:val="00201DF2"/>
    <w:rsid w:val="00201EE2"/>
    <w:rsid w:val="00202104"/>
    <w:rsid w:val="00202112"/>
    <w:rsid w:val="002023D2"/>
    <w:rsid w:val="0020246D"/>
    <w:rsid w:val="0020249F"/>
    <w:rsid w:val="00202529"/>
    <w:rsid w:val="0020254E"/>
    <w:rsid w:val="002025D4"/>
    <w:rsid w:val="0020262E"/>
    <w:rsid w:val="002028ED"/>
    <w:rsid w:val="002029C0"/>
    <w:rsid w:val="002029E7"/>
    <w:rsid w:val="00202A67"/>
    <w:rsid w:val="00202A89"/>
    <w:rsid w:val="00202C41"/>
    <w:rsid w:val="00202D85"/>
    <w:rsid w:val="00202DBC"/>
    <w:rsid w:val="00202E1C"/>
    <w:rsid w:val="00202EAC"/>
    <w:rsid w:val="00202EB7"/>
    <w:rsid w:val="002030EF"/>
    <w:rsid w:val="002031B2"/>
    <w:rsid w:val="0020326B"/>
    <w:rsid w:val="002032FE"/>
    <w:rsid w:val="0020342E"/>
    <w:rsid w:val="00203483"/>
    <w:rsid w:val="00203584"/>
    <w:rsid w:val="00203631"/>
    <w:rsid w:val="0020375A"/>
    <w:rsid w:val="002037CF"/>
    <w:rsid w:val="002037E6"/>
    <w:rsid w:val="0020382E"/>
    <w:rsid w:val="00203905"/>
    <w:rsid w:val="00203912"/>
    <w:rsid w:val="00203974"/>
    <w:rsid w:val="0020398A"/>
    <w:rsid w:val="00203A7F"/>
    <w:rsid w:val="00203B40"/>
    <w:rsid w:val="00203BC4"/>
    <w:rsid w:val="00203BF7"/>
    <w:rsid w:val="00203C98"/>
    <w:rsid w:val="00203CF7"/>
    <w:rsid w:val="00203E0E"/>
    <w:rsid w:val="00203E62"/>
    <w:rsid w:val="0020433F"/>
    <w:rsid w:val="0020439D"/>
    <w:rsid w:val="002043DB"/>
    <w:rsid w:val="00204447"/>
    <w:rsid w:val="00204501"/>
    <w:rsid w:val="002045C5"/>
    <w:rsid w:val="002045E2"/>
    <w:rsid w:val="0020461A"/>
    <w:rsid w:val="00204697"/>
    <w:rsid w:val="00204727"/>
    <w:rsid w:val="002047A9"/>
    <w:rsid w:val="00204860"/>
    <w:rsid w:val="00204895"/>
    <w:rsid w:val="00204930"/>
    <w:rsid w:val="002049A8"/>
    <w:rsid w:val="00204ADB"/>
    <w:rsid w:val="00204C48"/>
    <w:rsid w:val="00204CD0"/>
    <w:rsid w:val="00204D05"/>
    <w:rsid w:val="00204D79"/>
    <w:rsid w:val="00204DB2"/>
    <w:rsid w:val="00204F30"/>
    <w:rsid w:val="00204F78"/>
    <w:rsid w:val="00204FE6"/>
    <w:rsid w:val="0020508E"/>
    <w:rsid w:val="002050E9"/>
    <w:rsid w:val="0020525D"/>
    <w:rsid w:val="00205467"/>
    <w:rsid w:val="00205555"/>
    <w:rsid w:val="0020579B"/>
    <w:rsid w:val="00205815"/>
    <w:rsid w:val="00205969"/>
    <w:rsid w:val="002059F1"/>
    <w:rsid w:val="00205AD2"/>
    <w:rsid w:val="00205B46"/>
    <w:rsid w:val="00205C55"/>
    <w:rsid w:val="00205C9E"/>
    <w:rsid w:val="00205D23"/>
    <w:rsid w:val="00205EB3"/>
    <w:rsid w:val="00205FA1"/>
    <w:rsid w:val="002060C9"/>
    <w:rsid w:val="00206138"/>
    <w:rsid w:val="00206186"/>
    <w:rsid w:val="002062C3"/>
    <w:rsid w:val="00206333"/>
    <w:rsid w:val="002063A3"/>
    <w:rsid w:val="002063C4"/>
    <w:rsid w:val="002064C8"/>
    <w:rsid w:val="00206666"/>
    <w:rsid w:val="002066AE"/>
    <w:rsid w:val="00206713"/>
    <w:rsid w:val="002067FC"/>
    <w:rsid w:val="00206825"/>
    <w:rsid w:val="0020682E"/>
    <w:rsid w:val="00206833"/>
    <w:rsid w:val="00206A81"/>
    <w:rsid w:val="00206C58"/>
    <w:rsid w:val="00206C8B"/>
    <w:rsid w:val="00206E6A"/>
    <w:rsid w:val="00206FDC"/>
    <w:rsid w:val="00207184"/>
    <w:rsid w:val="0020726D"/>
    <w:rsid w:val="002072E5"/>
    <w:rsid w:val="002073E7"/>
    <w:rsid w:val="00207474"/>
    <w:rsid w:val="002074F3"/>
    <w:rsid w:val="00207507"/>
    <w:rsid w:val="0020764D"/>
    <w:rsid w:val="002076E6"/>
    <w:rsid w:val="002076F7"/>
    <w:rsid w:val="0020770A"/>
    <w:rsid w:val="00207740"/>
    <w:rsid w:val="002077D0"/>
    <w:rsid w:val="0020786A"/>
    <w:rsid w:val="0020789D"/>
    <w:rsid w:val="002078B7"/>
    <w:rsid w:val="002079ED"/>
    <w:rsid w:val="00207AE3"/>
    <w:rsid w:val="00207AF7"/>
    <w:rsid w:val="00207B0E"/>
    <w:rsid w:val="00207B6C"/>
    <w:rsid w:val="00207EAF"/>
    <w:rsid w:val="00210017"/>
    <w:rsid w:val="0021007A"/>
    <w:rsid w:val="002100CD"/>
    <w:rsid w:val="002100F6"/>
    <w:rsid w:val="002100FC"/>
    <w:rsid w:val="00210186"/>
    <w:rsid w:val="002101C3"/>
    <w:rsid w:val="002101DF"/>
    <w:rsid w:val="002102A6"/>
    <w:rsid w:val="002103E1"/>
    <w:rsid w:val="0021043D"/>
    <w:rsid w:val="0021047D"/>
    <w:rsid w:val="002104C1"/>
    <w:rsid w:val="002104FD"/>
    <w:rsid w:val="002105CA"/>
    <w:rsid w:val="0021063D"/>
    <w:rsid w:val="00210648"/>
    <w:rsid w:val="00210693"/>
    <w:rsid w:val="002106D1"/>
    <w:rsid w:val="0021088F"/>
    <w:rsid w:val="002109AB"/>
    <w:rsid w:val="00210B60"/>
    <w:rsid w:val="00210BC8"/>
    <w:rsid w:val="00210E40"/>
    <w:rsid w:val="00210E8A"/>
    <w:rsid w:val="00210E97"/>
    <w:rsid w:val="00210F0C"/>
    <w:rsid w:val="0021108B"/>
    <w:rsid w:val="002110F2"/>
    <w:rsid w:val="002111F0"/>
    <w:rsid w:val="0021124F"/>
    <w:rsid w:val="0021135A"/>
    <w:rsid w:val="0021143A"/>
    <w:rsid w:val="0021161E"/>
    <w:rsid w:val="0021169E"/>
    <w:rsid w:val="00211777"/>
    <w:rsid w:val="00211805"/>
    <w:rsid w:val="00211830"/>
    <w:rsid w:val="00211999"/>
    <w:rsid w:val="002119D2"/>
    <w:rsid w:val="002119F3"/>
    <w:rsid w:val="00211A39"/>
    <w:rsid w:val="00211A64"/>
    <w:rsid w:val="00211AF1"/>
    <w:rsid w:val="00211B46"/>
    <w:rsid w:val="00211BCE"/>
    <w:rsid w:val="00211C21"/>
    <w:rsid w:val="00211C22"/>
    <w:rsid w:val="00211DD6"/>
    <w:rsid w:val="00211DEE"/>
    <w:rsid w:val="00211EBF"/>
    <w:rsid w:val="00211F47"/>
    <w:rsid w:val="0021210C"/>
    <w:rsid w:val="00212238"/>
    <w:rsid w:val="00212239"/>
    <w:rsid w:val="0021223B"/>
    <w:rsid w:val="002122B5"/>
    <w:rsid w:val="002123BE"/>
    <w:rsid w:val="002124E4"/>
    <w:rsid w:val="002124F4"/>
    <w:rsid w:val="0021252E"/>
    <w:rsid w:val="00212644"/>
    <w:rsid w:val="0021265B"/>
    <w:rsid w:val="0021269A"/>
    <w:rsid w:val="00212789"/>
    <w:rsid w:val="00212AF7"/>
    <w:rsid w:val="00212C32"/>
    <w:rsid w:val="00212C9F"/>
    <w:rsid w:val="00212DC9"/>
    <w:rsid w:val="00212E36"/>
    <w:rsid w:val="00212ECF"/>
    <w:rsid w:val="00212F3C"/>
    <w:rsid w:val="00212F4B"/>
    <w:rsid w:val="00213025"/>
    <w:rsid w:val="002130B8"/>
    <w:rsid w:val="002130DE"/>
    <w:rsid w:val="0021319C"/>
    <w:rsid w:val="0021332B"/>
    <w:rsid w:val="00213506"/>
    <w:rsid w:val="002135A9"/>
    <w:rsid w:val="002136D8"/>
    <w:rsid w:val="002137ED"/>
    <w:rsid w:val="00213871"/>
    <w:rsid w:val="0021388C"/>
    <w:rsid w:val="0021388D"/>
    <w:rsid w:val="0021389E"/>
    <w:rsid w:val="002139E1"/>
    <w:rsid w:val="00213A83"/>
    <w:rsid w:val="00213AA4"/>
    <w:rsid w:val="00213AAE"/>
    <w:rsid w:val="00213B2C"/>
    <w:rsid w:val="00213BA9"/>
    <w:rsid w:val="00213BD7"/>
    <w:rsid w:val="00213CCF"/>
    <w:rsid w:val="00213E2F"/>
    <w:rsid w:val="00213F1D"/>
    <w:rsid w:val="00213F37"/>
    <w:rsid w:val="00213FEC"/>
    <w:rsid w:val="0021414E"/>
    <w:rsid w:val="00214208"/>
    <w:rsid w:val="002142AF"/>
    <w:rsid w:val="002142C7"/>
    <w:rsid w:val="00214492"/>
    <w:rsid w:val="0021449A"/>
    <w:rsid w:val="00214628"/>
    <w:rsid w:val="00214675"/>
    <w:rsid w:val="00214680"/>
    <w:rsid w:val="00214856"/>
    <w:rsid w:val="00214901"/>
    <w:rsid w:val="002149F7"/>
    <w:rsid w:val="00214A79"/>
    <w:rsid w:val="00214C73"/>
    <w:rsid w:val="00214CB6"/>
    <w:rsid w:val="00214D36"/>
    <w:rsid w:val="00214E2C"/>
    <w:rsid w:val="00214E73"/>
    <w:rsid w:val="00214F11"/>
    <w:rsid w:val="00214F4F"/>
    <w:rsid w:val="0021516C"/>
    <w:rsid w:val="002151C3"/>
    <w:rsid w:val="0021528F"/>
    <w:rsid w:val="002152E7"/>
    <w:rsid w:val="00215428"/>
    <w:rsid w:val="00215494"/>
    <w:rsid w:val="002155DB"/>
    <w:rsid w:val="002156DB"/>
    <w:rsid w:val="002158D4"/>
    <w:rsid w:val="002158DE"/>
    <w:rsid w:val="00215A1C"/>
    <w:rsid w:val="00215B71"/>
    <w:rsid w:val="00215BAE"/>
    <w:rsid w:val="00215C59"/>
    <w:rsid w:val="00215DA2"/>
    <w:rsid w:val="00215E76"/>
    <w:rsid w:val="00215E83"/>
    <w:rsid w:val="00215ED8"/>
    <w:rsid w:val="00215EE9"/>
    <w:rsid w:val="00215F00"/>
    <w:rsid w:val="00215FC8"/>
    <w:rsid w:val="00215FF2"/>
    <w:rsid w:val="00216146"/>
    <w:rsid w:val="0021619A"/>
    <w:rsid w:val="00216205"/>
    <w:rsid w:val="0021625E"/>
    <w:rsid w:val="002164DB"/>
    <w:rsid w:val="00216518"/>
    <w:rsid w:val="00216657"/>
    <w:rsid w:val="0021668C"/>
    <w:rsid w:val="00216780"/>
    <w:rsid w:val="002167DA"/>
    <w:rsid w:val="00216A86"/>
    <w:rsid w:val="00216C2A"/>
    <w:rsid w:val="00216CBB"/>
    <w:rsid w:val="00216DB5"/>
    <w:rsid w:val="00216DEB"/>
    <w:rsid w:val="00216E16"/>
    <w:rsid w:val="00216E40"/>
    <w:rsid w:val="00216E5B"/>
    <w:rsid w:val="00216F32"/>
    <w:rsid w:val="00216F7A"/>
    <w:rsid w:val="00216FD3"/>
    <w:rsid w:val="00217154"/>
    <w:rsid w:val="00217186"/>
    <w:rsid w:val="0021719B"/>
    <w:rsid w:val="002172A3"/>
    <w:rsid w:val="002172CC"/>
    <w:rsid w:val="0021742C"/>
    <w:rsid w:val="0021745B"/>
    <w:rsid w:val="0021756B"/>
    <w:rsid w:val="00217590"/>
    <w:rsid w:val="0021759A"/>
    <w:rsid w:val="002175A8"/>
    <w:rsid w:val="00217656"/>
    <w:rsid w:val="00217680"/>
    <w:rsid w:val="0021771C"/>
    <w:rsid w:val="002177A8"/>
    <w:rsid w:val="0021793D"/>
    <w:rsid w:val="00217A81"/>
    <w:rsid w:val="00217C2F"/>
    <w:rsid w:val="00217C72"/>
    <w:rsid w:val="00217CEC"/>
    <w:rsid w:val="00217DC8"/>
    <w:rsid w:val="00217F75"/>
    <w:rsid w:val="00217F95"/>
    <w:rsid w:val="00217FB4"/>
    <w:rsid w:val="002200A0"/>
    <w:rsid w:val="002200BC"/>
    <w:rsid w:val="0022016E"/>
    <w:rsid w:val="002201F3"/>
    <w:rsid w:val="0022027D"/>
    <w:rsid w:val="002202E8"/>
    <w:rsid w:val="00220302"/>
    <w:rsid w:val="00220400"/>
    <w:rsid w:val="0022061B"/>
    <w:rsid w:val="00220797"/>
    <w:rsid w:val="002207F4"/>
    <w:rsid w:val="00220905"/>
    <w:rsid w:val="00220A70"/>
    <w:rsid w:val="00220CF5"/>
    <w:rsid w:val="00220D54"/>
    <w:rsid w:val="00220E6D"/>
    <w:rsid w:val="00220F09"/>
    <w:rsid w:val="00220FC7"/>
    <w:rsid w:val="00221014"/>
    <w:rsid w:val="0022120A"/>
    <w:rsid w:val="00221248"/>
    <w:rsid w:val="00221303"/>
    <w:rsid w:val="002213F0"/>
    <w:rsid w:val="0022151B"/>
    <w:rsid w:val="0022151D"/>
    <w:rsid w:val="00221684"/>
    <w:rsid w:val="0022179C"/>
    <w:rsid w:val="002217AE"/>
    <w:rsid w:val="0022195C"/>
    <w:rsid w:val="0022197E"/>
    <w:rsid w:val="00221C75"/>
    <w:rsid w:val="00221CCC"/>
    <w:rsid w:val="00221CF5"/>
    <w:rsid w:val="00221E64"/>
    <w:rsid w:val="00222155"/>
    <w:rsid w:val="0022223C"/>
    <w:rsid w:val="00222322"/>
    <w:rsid w:val="002223AA"/>
    <w:rsid w:val="002223EF"/>
    <w:rsid w:val="0022246F"/>
    <w:rsid w:val="00222508"/>
    <w:rsid w:val="0022262E"/>
    <w:rsid w:val="002226E0"/>
    <w:rsid w:val="00222765"/>
    <w:rsid w:val="002227A2"/>
    <w:rsid w:val="00222806"/>
    <w:rsid w:val="00222854"/>
    <w:rsid w:val="002228DC"/>
    <w:rsid w:val="0022292D"/>
    <w:rsid w:val="002229FC"/>
    <w:rsid w:val="00222A9B"/>
    <w:rsid w:val="00222B73"/>
    <w:rsid w:val="00222C02"/>
    <w:rsid w:val="00222D90"/>
    <w:rsid w:val="00222F33"/>
    <w:rsid w:val="00223030"/>
    <w:rsid w:val="0022303F"/>
    <w:rsid w:val="00223060"/>
    <w:rsid w:val="0022325F"/>
    <w:rsid w:val="00223283"/>
    <w:rsid w:val="0022328A"/>
    <w:rsid w:val="00223291"/>
    <w:rsid w:val="002232A5"/>
    <w:rsid w:val="0022333C"/>
    <w:rsid w:val="002234F1"/>
    <w:rsid w:val="00223526"/>
    <w:rsid w:val="00223555"/>
    <w:rsid w:val="00223587"/>
    <w:rsid w:val="002236AD"/>
    <w:rsid w:val="0022370D"/>
    <w:rsid w:val="0022378E"/>
    <w:rsid w:val="002237B6"/>
    <w:rsid w:val="002239E2"/>
    <w:rsid w:val="00223A6B"/>
    <w:rsid w:val="00223BBA"/>
    <w:rsid w:val="00223BF4"/>
    <w:rsid w:val="00223DC1"/>
    <w:rsid w:val="00223DE4"/>
    <w:rsid w:val="00223E33"/>
    <w:rsid w:val="00223E49"/>
    <w:rsid w:val="00223F67"/>
    <w:rsid w:val="00223FFD"/>
    <w:rsid w:val="002241AE"/>
    <w:rsid w:val="00224250"/>
    <w:rsid w:val="00224448"/>
    <w:rsid w:val="00224498"/>
    <w:rsid w:val="00224603"/>
    <w:rsid w:val="00224674"/>
    <w:rsid w:val="00224697"/>
    <w:rsid w:val="00224723"/>
    <w:rsid w:val="0022484F"/>
    <w:rsid w:val="0022485C"/>
    <w:rsid w:val="00224883"/>
    <w:rsid w:val="002248BD"/>
    <w:rsid w:val="002248C0"/>
    <w:rsid w:val="002248EB"/>
    <w:rsid w:val="002248FB"/>
    <w:rsid w:val="00224A62"/>
    <w:rsid w:val="00224BCD"/>
    <w:rsid w:val="00224D3E"/>
    <w:rsid w:val="00224D41"/>
    <w:rsid w:val="00224D59"/>
    <w:rsid w:val="00224E01"/>
    <w:rsid w:val="00224FF0"/>
    <w:rsid w:val="00224FF4"/>
    <w:rsid w:val="00225009"/>
    <w:rsid w:val="00225105"/>
    <w:rsid w:val="0022533A"/>
    <w:rsid w:val="00225351"/>
    <w:rsid w:val="0022538D"/>
    <w:rsid w:val="002253BD"/>
    <w:rsid w:val="002253F5"/>
    <w:rsid w:val="002255BD"/>
    <w:rsid w:val="002255F8"/>
    <w:rsid w:val="00225623"/>
    <w:rsid w:val="002259CD"/>
    <w:rsid w:val="002259EE"/>
    <w:rsid w:val="00225AB7"/>
    <w:rsid w:val="00225AEA"/>
    <w:rsid w:val="00225B68"/>
    <w:rsid w:val="00225BD6"/>
    <w:rsid w:val="00225C8B"/>
    <w:rsid w:val="00225E58"/>
    <w:rsid w:val="00225F65"/>
    <w:rsid w:val="00225FA5"/>
    <w:rsid w:val="00225FD0"/>
    <w:rsid w:val="00225FF5"/>
    <w:rsid w:val="00226024"/>
    <w:rsid w:val="002260C4"/>
    <w:rsid w:val="002260D9"/>
    <w:rsid w:val="0022615C"/>
    <w:rsid w:val="00226182"/>
    <w:rsid w:val="00226209"/>
    <w:rsid w:val="0022626F"/>
    <w:rsid w:val="002262E7"/>
    <w:rsid w:val="002262FF"/>
    <w:rsid w:val="0022632D"/>
    <w:rsid w:val="00226391"/>
    <w:rsid w:val="002263FD"/>
    <w:rsid w:val="00226401"/>
    <w:rsid w:val="00226463"/>
    <w:rsid w:val="002264E6"/>
    <w:rsid w:val="0022659D"/>
    <w:rsid w:val="00226627"/>
    <w:rsid w:val="0022663D"/>
    <w:rsid w:val="002266ED"/>
    <w:rsid w:val="002267AF"/>
    <w:rsid w:val="002268D1"/>
    <w:rsid w:val="0022697C"/>
    <w:rsid w:val="002269DC"/>
    <w:rsid w:val="002269FB"/>
    <w:rsid w:val="00226A60"/>
    <w:rsid w:val="00226BE8"/>
    <w:rsid w:val="00226D3D"/>
    <w:rsid w:val="00226D9F"/>
    <w:rsid w:val="00226E8C"/>
    <w:rsid w:val="00226F02"/>
    <w:rsid w:val="00226FF2"/>
    <w:rsid w:val="0022703E"/>
    <w:rsid w:val="00227112"/>
    <w:rsid w:val="00227125"/>
    <w:rsid w:val="002272A2"/>
    <w:rsid w:val="002273FC"/>
    <w:rsid w:val="002274DD"/>
    <w:rsid w:val="00227544"/>
    <w:rsid w:val="0022764E"/>
    <w:rsid w:val="002279F7"/>
    <w:rsid w:val="00227A49"/>
    <w:rsid w:val="00227AB8"/>
    <w:rsid w:val="00227B34"/>
    <w:rsid w:val="00227BA7"/>
    <w:rsid w:val="00227FEB"/>
    <w:rsid w:val="00230071"/>
    <w:rsid w:val="0023015E"/>
    <w:rsid w:val="00230187"/>
    <w:rsid w:val="00230201"/>
    <w:rsid w:val="002302B5"/>
    <w:rsid w:val="00230337"/>
    <w:rsid w:val="002303AF"/>
    <w:rsid w:val="002303DB"/>
    <w:rsid w:val="00230602"/>
    <w:rsid w:val="002306AE"/>
    <w:rsid w:val="002306CA"/>
    <w:rsid w:val="002306EE"/>
    <w:rsid w:val="00230783"/>
    <w:rsid w:val="0023097C"/>
    <w:rsid w:val="002309B1"/>
    <w:rsid w:val="00230A73"/>
    <w:rsid w:val="00230ABF"/>
    <w:rsid w:val="00230AC3"/>
    <w:rsid w:val="00230AF0"/>
    <w:rsid w:val="00230C0D"/>
    <w:rsid w:val="00230CBB"/>
    <w:rsid w:val="00230D88"/>
    <w:rsid w:val="00230E1D"/>
    <w:rsid w:val="00230E61"/>
    <w:rsid w:val="00230F6D"/>
    <w:rsid w:val="00230FCA"/>
    <w:rsid w:val="00230FCE"/>
    <w:rsid w:val="00231062"/>
    <w:rsid w:val="002310E2"/>
    <w:rsid w:val="002310F8"/>
    <w:rsid w:val="0023118D"/>
    <w:rsid w:val="00231323"/>
    <w:rsid w:val="00231477"/>
    <w:rsid w:val="002314D3"/>
    <w:rsid w:val="0023176D"/>
    <w:rsid w:val="0023186B"/>
    <w:rsid w:val="002319F0"/>
    <w:rsid w:val="00231C02"/>
    <w:rsid w:val="00231C92"/>
    <w:rsid w:val="00231CD6"/>
    <w:rsid w:val="00231CE9"/>
    <w:rsid w:val="00231D55"/>
    <w:rsid w:val="00231F00"/>
    <w:rsid w:val="002320AD"/>
    <w:rsid w:val="002320B6"/>
    <w:rsid w:val="002320BA"/>
    <w:rsid w:val="002321CF"/>
    <w:rsid w:val="002321D7"/>
    <w:rsid w:val="00232257"/>
    <w:rsid w:val="00232270"/>
    <w:rsid w:val="00232317"/>
    <w:rsid w:val="00232334"/>
    <w:rsid w:val="00232349"/>
    <w:rsid w:val="0023244A"/>
    <w:rsid w:val="00232485"/>
    <w:rsid w:val="002325CB"/>
    <w:rsid w:val="002325E4"/>
    <w:rsid w:val="0023263E"/>
    <w:rsid w:val="002326B5"/>
    <w:rsid w:val="002326F4"/>
    <w:rsid w:val="00232711"/>
    <w:rsid w:val="00232715"/>
    <w:rsid w:val="0023274D"/>
    <w:rsid w:val="0023284F"/>
    <w:rsid w:val="002328F2"/>
    <w:rsid w:val="00232934"/>
    <w:rsid w:val="0023294C"/>
    <w:rsid w:val="0023294E"/>
    <w:rsid w:val="002329A2"/>
    <w:rsid w:val="00232B8E"/>
    <w:rsid w:val="00232BA9"/>
    <w:rsid w:val="00232BBC"/>
    <w:rsid w:val="00232C12"/>
    <w:rsid w:val="00232C3A"/>
    <w:rsid w:val="00232E26"/>
    <w:rsid w:val="00232EB6"/>
    <w:rsid w:val="00232FB0"/>
    <w:rsid w:val="00232FE4"/>
    <w:rsid w:val="00232FF0"/>
    <w:rsid w:val="00233076"/>
    <w:rsid w:val="002330FD"/>
    <w:rsid w:val="0023316A"/>
    <w:rsid w:val="00233197"/>
    <w:rsid w:val="00233222"/>
    <w:rsid w:val="002332D6"/>
    <w:rsid w:val="002332F5"/>
    <w:rsid w:val="002333AB"/>
    <w:rsid w:val="002333AC"/>
    <w:rsid w:val="002333D9"/>
    <w:rsid w:val="00233409"/>
    <w:rsid w:val="002334E7"/>
    <w:rsid w:val="002336C4"/>
    <w:rsid w:val="0023377B"/>
    <w:rsid w:val="002339D2"/>
    <w:rsid w:val="002339FA"/>
    <w:rsid w:val="00233A35"/>
    <w:rsid w:val="00233A74"/>
    <w:rsid w:val="00233BCC"/>
    <w:rsid w:val="00233C2E"/>
    <w:rsid w:val="00233D5C"/>
    <w:rsid w:val="00233DA3"/>
    <w:rsid w:val="00233DA5"/>
    <w:rsid w:val="00233DB4"/>
    <w:rsid w:val="00233EA6"/>
    <w:rsid w:val="00233F01"/>
    <w:rsid w:val="00233FCE"/>
    <w:rsid w:val="0023421F"/>
    <w:rsid w:val="0023429C"/>
    <w:rsid w:val="00234300"/>
    <w:rsid w:val="00234308"/>
    <w:rsid w:val="00234461"/>
    <w:rsid w:val="002345A3"/>
    <w:rsid w:val="002345BA"/>
    <w:rsid w:val="0023463A"/>
    <w:rsid w:val="00234681"/>
    <w:rsid w:val="002346C1"/>
    <w:rsid w:val="00234794"/>
    <w:rsid w:val="002347C0"/>
    <w:rsid w:val="002347FE"/>
    <w:rsid w:val="00234824"/>
    <w:rsid w:val="00234A91"/>
    <w:rsid w:val="00234C6A"/>
    <w:rsid w:val="00234E0B"/>
    <w:rsid w:val="00234E4B"/>
    <w:rsid w:val="00234E60"/>
    <w:rsid w:val="00234E8D"/>
    <w:rsid w:val="00234F98"/>
    <w:rsid w:val="002350C1"/>
    <w:rsid w:val="00235247"/>
    <w:rsid w:val="0023528A"/>
    <w:rsid w:val="002352CE"/>
    <w:rsid w:val="00235358"/>
    <w:rsid w:val="00235362"/>
    <w:rsid w:val="00235434"/>
    <w:rsid w:val="002354AF"/>
    <w:rsid w:val="00235569"/>
    <w:rsid w:val="0023556B"/>
    <w:rsid w:val="00235637"/>
    <w:rsid w:val="00235671"/>
    <w:rsid w:val="0023567E"/>
    <w:rsid w:val="00235686"/>
    <w:rsid w:val="00235A14"/>
    <w:rsid w:val="00235B21"/>
    <w:rsid w:val="00235BA0"/>
    <w:rsid w:val="00235C45"/>
    <w:rsid w:val="00235C85"/>
    <w:rsid w:val="00235CA1"/>
    <w:rsid w:val="00235D8D"/>
    <w:rsid w:val="00235DF9"/>
    <w:rsid w:val="00235E0B"/>
    <w:rsid w:val="00235FD4"/>
    <w:rsid w:val="002360AC"/>
    <w:rsid w:val="0023612B"/>
    <w:rsid w:val="002361AF"/>
    <w:rsid w:val="002361E6"/>
    <w:rsid w:val="00236243"/>
    <w:rsid w:val="0023635D"/>
    <w:rsid w:val="0023636E"/>
    <w:rsid w:val="00236523"/>
    <w:rsid w:val="002366CC"/>
    <w:rsid w:val="0023680D"/>
    <w:rsid w:val="00236936"/>
    <w:rsid w:val="0023694C"/>
    <w:rsid w:val="002369B0"/>
    <w:rsid w:val="00236A23"/>
    <w:rsid w:val="00236AA9"/>
    <w:rsid w:val="00236B56"/>
    <w:rsid w:val="00236B89"/>
    <w:rsid w:val="00236D2D"/>
    <w:rsid w:val="00236DB9"/>
    <w:rsid w:val="00236DD6"/>
    <w:rsid w:val="00236E5F"/>
    <w:rsid w:val="00236E6E"/>
    <w:rsid w:val="00236FF7"/>
    <w:rsid w:val="00237106"/>
    <w:rsid w:val="0023711E"/>
    <w:rsid w:val="0023712C"/>
    <w:rsid w:val="0023712D"/>
    <w:rsid w:val="002371B6"/>
    <w:rsid w:val="002371C1"/>
    <w:rsid w:val="00237279"/>
    <w:rsid w:val="002372B3"/>
    <w:rsid w:val="0023736F"/>
    <w:rsid w:val="00237437"/>
    <w:rsid w:val="0023745A"/>
    <w:rsid w:val="00237487"/>
    <w:rsid w:val="00237602"/>
    <w:rsid w:val="00237657"/>
    <w:rsid w:val="002376D5"/>
    <w:rsid w:val="00237A06"/>
    <w:rsid w:val="00237AD6"/>
    <w:rsid w:val="00237B28"/>
    <w:rsid w:val="00237BDD"/>
    <w:rsid w:val="00237BEA"/>
    <w:rsid w:val="00237CC1"/>
    <w:rsid w:val="00237E84"/>
    <w:rsid w:val="00237F1C"/>
    <w:rsid w:val="00237FCA"/>
    <w:rsid w:val="00237FD2"/>
    <w:rsid w:val="00237FD6"/>
    <w:rsid w:val="002400BA"/>
    <w:rsid w:val="00240243"/>
    <w:rsid w:val="00240362"/>
    <w:rsid w:val="0024039A"/>
    <w:rsid w:val="00240454"/>
    <w:rsid w:val="002407A2"/>
    <w:rsid w:val="00240864"/>
    <w:rsid w:val="002408AF"/>
    <w:rsid w:val="002408C8"/>
    <w:rsid w:val="002409A8"/>
    <w:rsid w:val="002409ED"/>
    <w:rsid w:val="00240C36"/>
    <w:rsid w:val="00240C4E"/>
    <w:rsid w:val="00240D05"/>
    <w:rsid w:val="00240D14"/>
    <w:rsid w:val="00240E42"/>
    <w:rsid w:val="00240EEC"/>
    <w:rsid w:val="00240EF5"/>
    <w:rsid w:val="00240F09"/>
    <w:rsid w:val="00240F72"/>
    <w:rsid w:val="00240FA1"/>
    <w:rsid w:val="00240FFB"/>
    <w:rsid w:val="00241080"/>
    <w:rsid w:val="0024109B"/>
    <w:rsid w:val="00241146"/>
    <w:rsid w:val="002413AE"/>
    <w:rsid w:val="00241436"/>
    <w:rsid w:val="002414CC"/>
    <w:rsid w:val="00241530"/>
    <w:rsid w:val="00241602"/>
    <w:rsid w:val="0024160A"/>
    <w:rsid w:val="0024160B"/>
    <w:rsid w:val="00241732"/>
    <w:rsid w:val="0024177B"/>
    <w:rsid w:val="0024182A"/>
    <w:rsid w:val="00241915"/>
    <w:rsid w:val="0024193C"/>
    <w:rsid w:val="00241982"/>
    <w:rsid w:val="002419A3"/>
    <w:rsid w:val="00241AC9"/>
    <w:rsid w:val="00241BB2"/>
    <w:rsid w:val="00241BC0"/>
    <w:rsid w:val="00241DAF"/>
    <w:rsid w:val="00241E45"/>
    <w:rsid w:val="00241E55"/>
    <w:rsid w:val="00241ED7"/>
    <w:rsid w:val="00241FA6"/>
    <w:rsid w:val="00241FC5"/>
    <w:rsid w:val="00242023"/>
    <w:rsid w:val="002420E2"/>
    <w:rsid w:val="002420F1"/>
    <w:rsid w:val="0024218F"/>
    <w:rsid w:val="00242330"/>
    <w:rsid w:val="002425E5"/>
    <w:rsid w:val="00242600"/>
    <w:rsid w:val="0024266E"/>
    <w:rsid w:val="002427F2"/>
    <w:rsid w:val="00242819"/>
    <w:rsid w:val="0024283D"/>
    <w:rsid w:val="00242A5E"/>
    <w:rsid w:val="00242BBD"/>
    <w:rsid w:val="00242E1B"/>
    <w:rsid w:val="00242E95"/>
    <w:rsid w:val="00243046"/>
    <w:rsid w:val="002432F9"/>
    <w:rsid w:val="00243397"/>
    <w:rsid w:val="0024344C"/>
    <w:rsid w:val="0024356B"/>
    <w:rsid w:val="002435F0"/>
    <w:rsid w:val="002437B9"/>
    <w:rsid w:val="00243848"/>
    <w:rsid w:val="0024393A"/>
    <w:rsid w:val="00243A4A"/>
    <w:rsid w:val="00243B17"/>
    <w:rsid w:val="00243CE2"/>
    <w:rsid w:val="00243D26"/>
    <w:rsid w:val="00243D37"/>
    <w:rsid w:val="00243DC2"/>
    <w:rsid w:val="00243E34"/>
    <w:rsid w:val="00243EB3"/>
    <w:rsid w:val="00243F59"/>
    <w:rsid w:val="00244036"/>
    <w:rsid w:val="00244083"/>
    <w:rsid w:val="002441BA"/>
    <w:rsid w:val="002441DB"/>
    <w:rsid w:val="00244208"/>
    <w:rsid w:val="0024425B"/>
    <w:rsid w:val="002442CA"/>
    <w:rsid w:val="00244560"/>
    <w:rsid w:val="00244567"/>
    <w:rsid w:val="002445CE"/>
    <w:rsid w:val="002448B8"/>
    <w:rsid w:val="0024499C"/>
    <w:rsid w:val="002449CF"/>
    <w:rsid w:val="00244A11"/>
    <w:rsid w:val="00244B80"/>
    <w:rsid w:val="00244D2B"/>
    <w:rsid w:val="00244DC0"/>
    <w:rsid w:val="00244E08"/>
    <w:rsid w:val="00244E0F"/>
    <w:rsid w:val="00244FB1"/>
    <w:rsid w:val="00245316"/>
    <w:rsid w:val="0024535C"/>
    <w:rsid w:val="00245409"/>
    <w:rsid w:val="00245474"/>
    <w:rsid w:val="002454C9"/>
    <w:rsid w:val="00245569"/>
    <w:rsid w:val="00245592"/>
    <w:rsid w:val="002455F7"/>
    <w:rsid w:val="002456C9"/>
    <w:rsid w:val="002456E2"/>
    <w:rsid w:val="00245743"/>
    <w:rsid w:val="002457BD"/>
    <w:rsid w:val="00245871"/>
    <w:rsid w:val="00245919"/>
    <w:rsid w:val="002459C2"/>
    <w:rsid w:val="00245A08"/>
    <w:rsid w:val="00245A50"/>
    <w:rsid w:val="00245A68"/>
    <w:rsid w:val="00245B31"/>
    <w:rsid w:val="00245BA8"/>
    <w:rsid w:val="00245BF4"/>
    <w:rsid w:val="00245CC6"/>
    <w:rsid w:val="00245DDB"/>
    <w:rsid w:val="00245DF2"/>
    <w:rsid w:val="00245DFE"/>
    <w:rsid w:val="00245E37"/>
    <w:rsid w:val="00245FD3"/>
    <w:rsid w:val="0024605D"/>
    <w:rsid w:val="00246135"/>
    <w:rsid w:val="002461D2"/>
    <w:rsid w:val="0024637E"/>
    <w:rsid w:val="002463BB"/>
    <w:rsid w:val="002464F7"/>
    <w:rsid w:val="00246586"/>
    <w:rsid w:val="002465A0"/>
    <w:rsid w:val="002466B0"/>
    <w:rsid w:val="002466F3"/>
    <w:rsid w:val="002467B4"/>
    <w:rsid w:val="00246801"/>
    <w:rsid w:val="0024690F"/>
    <w:rsid w:val="0024694C"/>
    <w:rsid w:val="00246AA3"/>
    <w:rsid w:val="00246AC6"/>
    <w:rsid w:val="00246AEE"/>
    <w:rsid w:val="00246B59"/>
    <w:rsid w:val="00246CAE"/>
    <w:rsid w:val="00246D0A"/>
    <w:rsid w:val="00246D51"/>
    <w:rsid w:val="00246D81"/>
    <w:rsid w:val="00246DBB"/>
    <w:rsid w:val="00247132"/>
    <w:rsid w:val="0024724F"/>
    <w:rsid w:val="00247292"/>
    <w:rsid w:val="002473CC"/>
    <w:rsid w:val="002478B1"/>
    <w:rsid w:val="0024793D"/>
    <w:rsid w:val="00247A0F"/>
    <w:rsid w:val="00247A22"/>
    <w:rsid w:val="00247A9F"/>
    <w:rsid w:val="00247AB0"/>
    <w:rsid w:val="00247AB7"/>
    <w:rsid w:val="00247B5D"/>
    <w:rsid w:val="00247C12"/>
    <w:rsid w:val="00247D0A"/>
    <w:rsid w:val="00247D5C"/>
    <w:rsid w:val="00247D6C"/>
    <w:rsid w:val="00247E64"/>
    <w:rsid w:val="00250029"/>
    <w:rsid w:val="00250115"/>
    <w:rsid w:val="0025011B"/>
    <w:rsid w:val="0025019F"/>
    <w:rsid w:val="00250362"/>
    <w:rsid w:val="002503B5"/>
    <w:rsid w:val="002503D7"/>
    <w:rsid w:val="00250586"/>
    <w:rsid w:val="0025058C"/>
    <w:rsid w:val="00250652"/>
    <w:rsid w:val="0025070E"/>
    <w:rsid w:val="00250836"/>
    <w:rsid w:val="00250ACB"/>
    <w:rsid w:val="00250B3D"/>
    <w:rsid w:val="00250BF1"/>
    <w:rsid w:val="00250DA0"/>
    <w:rsid w:val="00250E5F"/>
    <w:rsid w:val="00250F62"/>
    <w:rsid w:val="00250F68"/>
    <w:rsid w:val="00251049"/>
    <w:rsid w:val="00251085"/>
    <w:rsid w:val="0025117C"/>
    <w:rsid w:val="002511DD"/>
    <w:rsid w:val="00251230"/>
    <w:rsid w:val="00251288"/>
    <w:rsid w:val="0025139E"/>
    <w:rsid w:val="002513A5"/>
    <w:rsid w:val="00251410"/>
    <w:rsid w:val="0025141F"/>
    <w:rsid w:val="002516DA"/>
    <w:rsid w:val="002516E9"/>
    <w:rsid w:val="002516F0"/>
    <w:rsid w:val="0025172F"/>
    <w:rsid w:val="00251751"/>
    <w:rsid w:val="002517A0"/>
    <w:rsid w:val="002517DE"/>
    <w:rsid w:val="002517F1"/>
    <w:rsid w:val="0025198E"/>
    <w:rsid w:val="002519BC"/>
    <w:rsid w:val="00251B42"/>
    <w:rsid w:val="00251BC8"/>
    <w:rsid w:val="00251BF8"/>
    <w:rsid w:val="00251CB4"/>
    <w:rsid w:val="00251F1C"/>
    <w:rsid w:val="00251F5F"/>
    <w:rsid w:val="00251FBA"/>
    <w:rsid w:val="00251FD9"/>
    <w:rsid w:val="0025209E"/>
    <w:rsid w:val="002520E4"/>
    <w:rsid w:val="002520FB"/>
    <w:rsid w:val="002520FD"/>
    <w:rsid w:val="00252128"/>
    <w:rsid w:val="002521F1"/>
    <w:rsid w:val="0025221D"/>
    <w:rsid w:val="002522FE"/>
    <w:rsid w:val="0025230D"/>
    <w:rsid w:val="00252377"/>
    <w:rsid w:val="0025239C"/>
    <w:rsid w:val="002524F4"/>
    <w:rsid w:val="0025251A"/>
    <w:rsid w:val="0025276F"/>
    <w:rsid w:val="002527C8"/>
    <w:rsid w:val="0025284A"/>
    <w:rsid w:val="00252994"/>
    <w:rsid w:val="00252998"/>
    <w:rsid w:val="002529A7"/>
    <w:rsid w:val="00252AA4"/>
    <w:rsid w:val="00252B46"/>
    <w:rsid w:val="00252C98"/>
    <w:rsid w:val="00252D0A"/>
    <w:rsid w:val="00252D83"/>
    <w:rsid w:val="00252DAF"/>
    <w:rsid w:val="00252DCC"/>
    <w:rsid w:val="00252DF1"/>
    <w:rsid w:val="00252DFF"/>
    <w:rsid w:val="00252ED3"/>
    <w:rsid w:val="00252EF0"/>
    <w:rsid w:val="00252FCE"/>
    <w:rsid w:val="0025300A"/>
    <w:rsid w:val="002530FE"/>
    <w:rsid w:val="00253199"/>
    <w:rsid w:val="00253219"/>
    <w:rsid w:val="00253277"/>
    <w:rsid w:val="00253290"/>
    <w:rsid w:val="00253294"/>
    <w:rsid w:val="002532E0"/>
    <w:rsid w:val="0025336E"/>
    <w:rsid w:val="00253411"/>
    <w:rsid w:val="0025352E"/>
    <w:rsid w:val="0025367C"/>
    <w:rsid w:val="00253695"/>
    <w:rsid w:val="002536EA"/>
    <w:rsid w:val="00253705"/>
    <w:rsid w:val="0025371D"/>
    <w:rsid w:val="0025377A"/>
    <w:rsid w:val="00253780"/>
    <w:rsid w:val="002537B6"/>
    <w:rsid w:val="00253874"/>
    <w:rsid w:val="00253944"/>
    <w:rsid w:val="002539CE"/>
    <w:rsid w:val="002539F9"/>
    <w:rsid w:val="00253B61"/>
    <w:rsid w:val="00253CF4"/>
    <w:rsid w:val="00253D5B"/>
    <w:rsid w:val="00253D7A"/>
    <w:rsid w:val="00253D89"/>
    <w:rsid w:val="00253E19"/>
    <w:rsid w:val="00253E6F"/>
    <w:rsid w:val="00253F1B"/>
    <w:rsid w:val="00253F2C"/>
    <w:rsid w:val="00253F55"/>
    <w:rsid w:val="00254013"/>
    <w:rsid w:val="0025404F"/>
    <w:rsid w:val="0025408A"/>
    <w:rsid w:val="00254096"/>
    <w:rsid w:val="00254123"/>
    <w:rsid w:val="00254207"/>
    <w:rsid w:val="0025422D"/>
    <w:rsid w:val="00254280"/>
    <w:rsid w:val="00254334"/>
    <w:rsid w:val="002543ED"/>
    <w:rsid w:val="00254485"/>
    <w:rsid w:val="002544EE"/>
    <w:rsid w:val="002545EE"/>
    <w:rsid w:val="002545F2"/>
    <w:rsid w:val="00254639"/>
    <w:rsid w:val="0025470A"/>
    <w:rsid w:val="00254762"/>
    <w:rsid w:val="00254930"/>
    <w:rsid w:val="002549F6"/>
    <w:rsid w:val="00254B71"/>
    <w:rsid w:val="00254D47"/>
    <w:rsid w:val="00254D6D"/>
    <w:rsid w:val="00254DE5"/>
    <w:rsid w:val="00254ECD"/>
    <w:rsid w:val="00254FF5"/>
    <w:rsid w:val="0025514F"/>
    <w:rsid w:val="002552A3"/>
    <w:rsid w:val="00255307"/>
    <w:rsid w:val="0025534C"/>
    <w:rsid w:val="002554CC"/>
    <w:rsid w:val="002555CF"/>
    <w:rsid w:val="002555DE"/>
    <w:rsid w:val="00255832"/>
    <w:rsid w:val="0025584D"/>
    <w:rsid w:val="00255903"/>
    <w:rsid w:val="0025593C"/>
    <w:rsid w:val="002559A7"/>
    <w:rsid w:val="00255A76"/>
    <w:rsid w:val="00255CCA"/>
    <w:rsid w:val="00255CDF"/>
    <w:rsid w:val="00255CF4"/>
    <w:rsid w:val="00255D10"/>
    <w:rsid w:val="00255D85"/>
    <w:rsid w:val="00255E29"/>
    <w:rsid w:val="002560E7"/>
    <w:rsid w:val="00256179"/>
    <w:rsid w:val="0025622B"/>
    <w:rsid w:val="0025631E"/>
    <w:rsid w:val="00256434"/>
    <w:rsid w:val="0025660A"/>
    <w:rsid w:val="002566D0"/>
    <w:rsid w:val="002566DE"/>
    <w:rsid w:val="00256766"/>
    <w:rsid w:val="002567D6"/>
    <w:rsid w:val="002567E0"/>
    <w:rsid w:val="00256838"/>
    <w:rsid w:val="00256847"/>
    <w:rsid w:val="002568F9"/>
    <w:rsid w:val="0025696D"/>
    <w:rsid w:val="00256A3F"/>
    <w:rsid w:val="00256A7C"/>
    <w:rsid w:val="00256A88"/>
    <w:rsid w:val="00256AEE"/>
    <w:rsid w:val="00256CB9"/>
    <w:rsid w:val="00256F7E"/>
    <w:rsid w:val="002570B5"/>
    <w:rsid w:val="002571C2"/>
    <w:rsid w:val="00257247"/>
    <w:rsid w:val="00257299"/>
    <w:rsid w:val="0025738C"/>
    <w:rsid w:val="0025741E"/>
    <w:rsid w:val="00257716"/>
    <w:rsid w:val="00257786"/>
    <w:rsid w:val="002577F4"/>
    <w:rsid w:val="00257862"/>
    <w:rsid w:val="0025791C"/>
    <w:rsid w:val="00257941"/>
    <w:rsid w:val="00257BF4"/>
    <w:rsid w:val="00257CBC"/>
    <w:rsid w:val="00257D71"/>
    <w:rsid w:val="00257DA5"/>
    <w:rsid w:val="00257E8F"/>
    <w:rsid w:val="00257E99"/>
    <w:rsid w:val="00257EC1"/>
    <w:rsid w:val="00257FDA"/>
    <w:rsid w:val="002601CC"/>
    <w:rsid w:val="0026029E"/>
    <w:rsid w:val="0026032C"/>
    <w:rsid w:val="002603D2"/>
    <w:rsid w:val="002603F0"/>
    <w:rsid w:val="00260590"/>
    <w:rsid w:val="002605B0"/>
    <w:rsid w:val="002605C9"/>
    <w:rsid w:val="002605F0"/>
    <w:rsid w:val="00260651"/>
    <w:rsid w:val="00260695"/>
    <w:rsid w:val="002606FA"/>
    <w:rsid w:val="00260701"/>
    <w:rsid w:val="0026082C"/>
    <w:rsid w:val="00260947"/>
    <w:rsid w:val="00260A3C"/>
    <w:rsid w:val="00260A50"/>
    <w:rsid w:val="00260B23"/>
    <w:rsid w:val="00260C24"/>
    <w:rsid w:val="00260C9A"/>
    <w:rsid w:val="00260D07"/>
    <w:rsid w:val="00260D40"/>
    <w:rsid w:val="00260D78"/>
    <w:rsid w:val="00260D8D"/>
    <w:rsid w:val="00260F12"/>
    <w:rsid w:val="00260F43"/>
    <w:rsid w:val="0026109E"/>
    <w:rsid w:val="00261389"/>
    <w:rsid w:val="0026143C"/>
    <w:rsid w:val="002614B1"/>
    <w:rsid w:val="002614CD"/>
    <w:rsid w:val="00261573"/>
    <w:rsid w:val="0026165F"/>
    <w:rsid w:val="002616D8"/>
    <w:rsid w:val="00261787"/>
    <w:rsid w:val="00261849"/>
    <w:rsid w:val="002619CE"/>
    <w:rsid w:val="00261A82"/>
    <w:rsid w:val="00261B02"/>
    <w:rsid w:val="00261B9E"/>
    <w:rsid w:val="00261BB7"/>
    <w:rsid w:val="00261E38"/>
    <w:rsid w:val="00261E93"/>
    <w:rsid w:val="00261F6C"/>
    <w:rsid w:val="00261FFE"/>
    <w:rsid w:val="0026201B"/>
    <w:rsid w:val="00262053"/>
    <w:rsid w:val="00262270"/>
    <w:rsid w:val="002622AF"/>
    <w:rsid w:val="002622BE"/>
    <w:rsid w:val="002622CF"/>
    <w:rsid w:val="002622FC"/>
    <w:rsid w:val="00262308"/>
    <w:rsid w:val="002623D5"/>
    <w:rsid w:val="00262431"/>
    <w:rsid w:val="00262507"/>
    <w:rsid w:val="002625DB"/>
    <w:rsid w:val="00262641"/>
    <w:rsid w:val="0026264D"/>
    <w:rsid w:val="00262770"/>
    <w:rsid w:val="00262775"/>
    <w:rsid w:val="0026293B"/>
    <w:rsid w:val="00262A08"/>
    <w:rsid w:val="00262AFA"/>
    <w:rsid w:val="00262B06"/>
    <w:rsid w:val="00262B67"/>
    <w:rsid w:val="00262BF8"/>
    <w:rsid w:val="00262F2B"/>
    <w:rsid w:val="00262FF0"/>
    <w:rsid w:val="0026311B"/>
    <w:rsid w:val="00263199"/>
    <w:rsid w:val="00263204"/>
    <w:rsid w:val="00263220"/>
    <w:rsid w:val="002632A6"/>
    <w:rsid w:val="0026331F"/>
    <w:rsid w:val="00263325"/>
    <w:rsid w:val="002633D6"/>
    <w:rsid w:val="0026340D"/>
    <w:rsid w:val="002634B4"/>
    <w:rsid w:val="00263505"/>
    <w:rsid w:val="0026364C"/>
    <w:rsid w:val="0026366C"/>
    <w:rsid w:val="002636AB"/>
    <w:rsid w:val="00263991"/>
    <w:rsid w:val="002639CF"/>
    <w:rsid w:val="00263A11"/>
    <w:rsid w:val="00263A94"/>
    <w:rsid w:val="00263B4A"/>
    <w:rsid w:val="00263C41"/>
    <w:rsid w:val="00263C51"/>
    <w:rsid w:val="00263C62"/>
    <w:rsid w:val="00263D17"/>
    <w:rsid w:val="00263DB8"/>
    <w:rsid w:val="00263E39"/>
    <w:rsid w:val="00263ED8"/>
    <w:rsid w:val="00263EF4"/>
    <w:rsid w:val="00263F16"/>
    <w:rsid w:val="00263F48"/>
    <w:rsid w:val="00263FAB"/>
    <w:rsid w:val="00263FC6"/>
    <w:rsid w:val="0026404C"/>
    <w:rsid w:val="002640B7"/>
    <w:rsid w:val="002641F8"/>
    <w:rsid w:val="00264274"/>
    <w:rsid w:val="002642FE"/>
    <w:rsid w:val="00264387"/>
    <w:rsid w:val="002643BB"/>
    <w:rsid w:val="0026440E"/>
    <w:rsid w:val="002644B6"/>
    <w:rsid w:val="002644D3"/>
    <w:rsid w:val="00264506"/>
    <w:rsid w:val="0026467E"/>
    <w:rsid w:val="002647B1"/>
    <w:rsid w:val="0026498D"/>
    <w:rsid w:val="00264A1D"/>
    <w:rsid w:val="00264BE6"/>
    <w:rsid w:val="00264BF6"/>
    <w:rsid w:val="00264C77"/>
    <w:rsid w:val="00264CD3"/>
    <w:rsid w:val="00264EC4"/>
    <w:rsid w:val="00264FCD"/>
    <w:rsid w:val="002650B7"/>
    <w:rsid w:val="002652CB"/>
    <w:rsid w:val="00265495"/>
    <w:rsid w:val="00265563"/>
    <w:rsid w:val="002655D1"/>
    <w:rsid w:val="00265719"/>
    <w:rsid w:val="002657FD"/>
    <w:rsid w:val="0026592A"/>
    <w:rsid w:val="002659E0"/>
    <w:rsid w:val="00265A0E"/>
    <w:rsid w:val="00265C09"/>
    <w:rsid w:val="00265CAF"/>
    <w:rsid w:val="00265D75"/>
    <w:rsid w:val="00265DFC"/>
    <w:rsid w:val="00265F5D"/>
    <w:rsid w:val="00266091"/>
    <w:rsid w:val="002660B8"/>
    <w:rsid w:val="002660E9"/>
    <w:rsid w:val="00266295"/>
    <w:rsid w:val="0026640C"/>
    <w:rsid w:val="00266520"/>
    <w:rsid w:val="002665DA"/>
    <w:rsid w:val="00266761"/>
    <w:rsid w:val="002667AC"/>
    <w:rsid w:val="00266913"/>
    <w:rsid w:val="00266975"/>
    <w:rsid w:val="002669D8"/>
    <w:rsid w:val="002669E4"/>
    <w:rsid w:val="00266A02"/>
    <w:rsid w:val="00266AF0"/>
    <w:rsid w:val="00266B12"/>
    <w:rsid w:val="00266B92"/>
    <w:rsid w:val="00266BE2"/>
    <w:rsid w:val="00266C01"/>
    <w:rsid w:val="00266C64"/>
    <w:rsid w:val="00267041"/>
    <w:rsid w:val="0026705A"/>
    <w:rsid w:val="00267116"/>
    <w:rsid w:val="00267260"/>
    <w:rsid w:val="002672EF"/>
    <w:rsid w:val="002673E6"/>
    <w:rsid w:val="00267402"/>
    <w:rsid w:val="0026744F"/>
    <w:rsid w:val="00267532"/>
    <w:rsid w:val="00267705"/>
    <w:rsid w:val="002677E9"/>
    <w:rsid w:val="00267903"/>
    <w:rsid w:val="00267AFD"/>
    <w:rsid w:val="00267B8B"/>
    <w:rsid w:val="00267B9A"/>
    <w:rsid w:val="00267BCA"/>
    <w:rsid w:val="00267D46"/>
    <w:rsid w:val="00267E22"/>
    <w:rsid w:val="00267E30"/>
    <w:rsid w:val="00267F33"/>
    <w:rsid w:val="00267FB7"/>
    <w:rsid w:val="00267FD9"/>
    <w:rsid w:val="002701A6"/>
    <w:rsid w:val="00270219"/>
    <w:rsid w:val="0027021A"/>
    <w:rsid w:val="002702EB"/>
    <w:rsid w:val="002703EA"/>
    <w:rsid w:val="0027041B"/>
    <w:rsid w:val="00270489"/>
    <w:rsid w:val="00270524"/>
    <w:rsid w:val="002706F5"/>
    <w:rsid w:val="002707F8"/>
    <w:rsid w:val="00270812"/>
    <w:rsid w:val="002709EC"/>
    <w:rsid w:val="00270C18"/>
    <w:rsid w:val="00270C23"/>
    <w:rsid w:val="00270C4E"/>
    <w:rsid w:val="00270C9C"/>
    <w:rsid w:val="00270DA7"/>
    <w:rsid w:val="00270E48"/>
    <w:rsid w:val="00270E50"/>
    <w:rsid w:val="00270E7E"/>
    <w:rsid w:val="00270EEE"/>
    <w:rsid w:val="00270F89"/>
    <w:rsid w:val="00270FD0"/>
    <w:rsid w:val="002711DC"/>
    <w:rsid w:val="002712CA"/>
    <w:rsid w:val="002712DF"/>
    <w:rsid w:val="00271548"/>
    <w:rsid w:val="0027155B"/>
    <w:rsid w:val="00271635"/>
    <w:rsid w:val="00271745"/>
    <w:rsid w:val="002717BA"/>
    <w:rsid w:val="00271882"/>
    <w:rsid w:val="00271A09"/>
    <w:rsid w:val="00271B32"/>
    <w:rsid w:val="00271B7A"/>
    <w:rsid w:val="00271CD4"/>
    <w:rsid w:val="00271D34"/>
    <w:rsid w:val="00271D9D"/>
    <w:rsid w:val="00271E22"/>
    <w:rsid w:val="00271E24"/>
    <w:rsid w:val="00271F2F"/>
    <w:rsid w:val="00271FBE"/>
    <w:rsid w:val="00272020"/>
    <w:rsid w:val="002722EA"/>
    <w:rsid w:val="00272313"/>
    <w:rsid w:val="00272472"/>
    <w:rsid w:val="00272528"/>
    <w:rsid w:val="0027255E"/>
    <w:rsid w:val="00272780"/>
    <w:rsid w:val="00272853"/>
    <w:rsid w:val="00272B1D"/>
    <w:rsid w:val="00272BE9"/>
    <w:rsid w:val="00272C9A"/>
    <w:rsid w:val="00272D04"/>
    <w:rsid w:val="00272D23"/>
    <w:rsid w:val="00272E47"/>
    <w:rsid w:val="00272E6F"/>
    <w:rsid w:val="00272EF7"/>
    <w:rsid w:val="00272F27"/>
    <w:rsid w:val="00272F96"/>
    <w:rsid w:val="00273109"/>
    <w:rsid w:val="002732EB"/>
    <w:rsid w:val="00273348"/>
    <w:rsid w:val="00273524"/>
    <w:rsid w:val="00273542"/>
    <w:rsid w:val="00273586"/>
    <w:rsid w:val="002736A0"/>
    <w:rsid w:val="00273745"/>
    <w:rsid w:val="0027383E"/>
    <w:rsid w:val="002738D6"/>
    <w:rsid w:val="002739D8"/>
    <w:rsid w:val="00273A2B"/>
    <w:rsid w:val="00273A65"/>
    <w:rsid w:val="00273B36"/>
    <w:rsid w:val="00273BC0"/>
    <w:rsid w:val="00273C5A"/>
    <w:rsid w:val="00273F15"/>
    <w:rsid w:val="00273F28"/>
    <w:rsid w:val="00273FF7"/>
    <w:rsid w:val="0027410D"/>
    <w:rsid w:val="0027413B"/>
    <w:rsid w:val="00274216"/>
    <w:rsid w:val="002743A4"/>
    <w:rsid w:val="002745B3"/>
    <w:rsid w:val="002745B5"/>
    <w:rsid w:val="00274703"/>
    <w:rsid w:val="002747FE"/>
    <w:rsid w:val="00274B0D"/>
    <w:rsid w:val="00274B71"/>
    <w:rsid w:val="00274BDB"/>
    <w:rsid w:val="00274C34"/>
    <w:rsid w:val="00274CA6"/>
    <w:rsid w:val="00274D93"/>
    <w:rsid w:val="00274DE5"/>
    <w:rsid w:val="00274EAD"/>
    <w:rsid w:val="00274F93"/>
    <w:rsid w:val="00274FFD"/>
    <w:rsid w:val="00275052"/>
    <w:rsid w:val="002751C4"/>
    <w:rsid w:val="00275228"/>
    <w:rsid w:val="0027551A"/>
    <w:rsid w:val="0027558A"/>
    <w:rsid w:val="002755E1"/>
    <w:rsid w:val="00275649"/>
    <w:rsid w:val="00275731"/>
    <w:rsid w:val="00275763"/>
    <w:rsid w:val="00275794"/>
    <w:rsid w:val="002757D8"/>
    <w:rsid w:val="00275821"/>
    <w:rsid w:val="0027582B"/>
    <w:rsid w:val="00275875"/>
    <w:rsid w:val="002758D9"/>
    <w:rsid w:val="002758E2"/>
    <w:rsid w:val="002759DF"/>
    <w:rsid w:val="002759E9"/>
    <w:rsid w:val="00275B0C"/>
    <w:rsid w:val="00275BA5"/>
    <w:rsid w:val="00275CD0"/>
    <w:rsid w:val="00275E2D"/>
    <w:rsid w:val="00275E8B"/>
    <w:rsid w:val="00275F0A"/>
    <w:rsid w:val="00275F2D"/>
    <w:rsid w:val="00276002"/>
    <w:rsid w:val="00276015"/>
    <w:rsid w:val="00276147"/>
    <w:rsid w:val="00276157"/>
    <w:rsid w:val="00276177"/>
    <w:rsid w:val="002761F8"/>
    <w:rsid w:val="00276293"/>
    <w:rsid w:val="0027629D"/>
    <w:rsid w:val="00276300"/>
    <w:rsid w:val="0027656B"/>
    <w:rsid w:val="0027659C"/>
    <w:rsid w:val="00276610"/>
    <w:rsid w:val="0027663B"/>
    <w:rsid w:val="002768A5"/>
    <w:rsid w:val="002768A6"/>
    <w:rsid w:val="00276A60"/>
    <w:rsid w:val="00276AB5"/>
    <w:rsid w:val="00276B52"/>
    <w:rsid w:val="00276B61"/>
    <w:rsid w:val="00276B88"/>
    <w:rsid w:val="00276CD0"/>
    <w:rsid w:val="00276CFD"/>
    <w:rsid w:val="00276DB6"/>
    <w:rsid w:val="00276E94"/>
    <w:rsid w:val="00276EAB"/>
    <w:rsid w:val="00276F4F"/>
    <w:rsid w:val="00276F5B"/>
    <w:rsid w:val="00277013"/>
    <w:rsid w:val="00277067"/>
    <w:rsid w:val="002770F6"/>
    <w:rsid w:val="00277160"/>
    <w:rsid w:val="002771DE"/>
    <w:rsid w:val="002772BA"/>
    <w:rsid w:val="00277312"/>
    <w:rsid w:val="002773BB"/>
    <w:rsid w:val="00277413"/>
    <w:rsid w:val="002774D1"/>
    <w:rsid w:val="002774E1"/>
    <w:rsid w:val="00277616"/>
    <w:rsid w:val="0027766E"/>
    <w:rsid w:val="0027767F"/>
    <w:rsid w:val="0027782C"/>
    <w:rsid w:val="00277881"/>
    <w:rsid w:val="002779C8"/>
    <w:rsid w:val="00277B51"/>
    <w:rsid w:val="00277D20"/>
    <w:rsid w:val="00277DD9"/>
    <w:rsid w:val="00277DE2"/>
    <w:rsid w:val="00277E7D"/>
    <w:rsid w:val="00277F33"/>
    <w:rsid w:val="00277F58"/>
    <w:rsid w:val="00277FAC"/>
    <w:rsid w:val="002800D6"/>
    <w:rsid w:val="00280115"/>
    <w:rsid w:val="00280168"/>
    <w:rsid w:val="00280198"/>
    <w:rsid w:val="00280270"/>
    <w:rsid w:val="0028043A"/>
    <w:rsid w:val="002804C2"/>
    <w:rsid w:val="002805C4"/>
    <w:rsid w:val="002807F1"/>
    <w:rsid w:val="0028082E"/>
    <w:rsid w:val="0028083D"/>
    <w:rsid w:val="00280843"/>
    <w:rsid w:val="002808AB"/>
    <w:rsid w:val="0028090D"/>
    <w:rsid w:val="002809A1"/>
    <w:rsid w:val="002809AB"/>
    <w:rsid w:val="00280A0E"/>
    <w:rsid w:val="00280A77"/>
    <w:rsid w:val="00280AB3"/>
    <w:rsid w:val="00280AB5"/>
    <w:rsid w:val="00280BA3"/>
    <w:rsid w:val="00280E28"/>
    <w:rsid w:val="00280EA2"/>
    <w:rsid w:val="00280ECC"/>
    <w:rsid w:val="00280F01"/>
    <w:rsid w:val="00280FA7"/>
    <w:rsid w:val="00281040"/>
    <w:rsid w:val="002811A4"/>
    <w:rsid w:val="002811D6"/>
    <w:rsid w:val="00281273"/>
    <w:rsid w:val="00281283"/>
    <w:rsid w:val="002812FF"/>
    <w:rsid w:val="00281300"/>
    <w:rsid w:val="00281433"/>
    <w:rsid w:val="002814BD"/>
    <w:rsid w:val="002814F8"/>
    <w:rsid w:val="0028158D"/>
    <w:rsid w:val="002815D6"/>
    <w:rsid w:val="00281626"/>
    <w:rsid w:val="002816C3"/>
    <w:rsid w:val="002816D9"/>
    <w:rsid w:val="0028175B"/>
    <w:rsid w:val="002817D1"/>
    <w:rsid w:val="00281813"/>
    <w:rsid w:val="0028184B"/>
    <w:rsid w:val="0028185A"/>
    <w:rsid w:val="002818C1"/>
    <w:rsid w:val="002819C0"/>
    <w:rsid w:val="00281B97"/>
    <w:rsid w:val="00281C09"/>
    <w:rsid w:val="00281C74"/>
    <w:rsid w:val="00281C80"/>
    <w:rsid w:val="00281CBA"/>
    <w:rsid w:val="00281D50"/>
    <w:rsid w:val="00281DF9"/>
    <w:rsid w:val="00281EAB"/>
    <w:rsid w:val="00281FB7"/>
    <w:rsid w:val="00282167"/>
    <w:rsid w:val="00282225"/>
    <w:rsid w:val="0028224D"/>
    <w:rsid w:val="002822CA"/>
    <w:rsid w:val="002823EB"/>
    <w:rsid w:val="00282424"/>
    <w:rsid w:val="00282520"/>
    <w:rsid w:val="0028260B"/>
    <w:rsid w:val="0028272E"/>
    <w:rsid w:val="0028272F"/>
    <w:rsid w:val="0028278F"/>
    <w:rsid w:val="002827B2"/>
    <w:rsid w:val="002827BD"/>
    <w:rsid w:val="00282811"/>
    <w:rsid w:val="0028285F"/>
    <w:rsid w:val="00282927"/>
    <w:rsid w:val="00282AB4"/>
    <w:rsid w:val="00282B12"/>
    <w:rsid w:val="00282B82"/>
    <w:rsid w:val="00282BB3"/>
    <w:rsid w:val="00282C10"/>
    <w:rsid w:val="00282CC5"/>
    <w:rsid w:val="00282CD5"/>
    <w:rsid w:val="00282DD7"/>
    <w:rsid w:val="00282E19"/>
    <w:rsid w:val="00282E51"/>
    <w:rsid w:val="00282F2F"/>
    <w:rsid w:val="00283008"/>
    <w:rsid w:val="00283009"/>
    <w:rsid w:val="002830A3"/>
    <w:rsid w:val="00283192"/>
    <w:rsid w:val="002831B0"/>
    <w:rsid w:val="002831D7"/>
    <w:rsid w:val="00283278"/>
    <w:rsid w:val="00283296"/>
    <w:rsid w:val="002833AC"/>
    <w:rsid w:val="0028382B"/>
    <w:rsid w:val="00283889"/>
    <w:rsid w:val="00283B25"/>
    <w:rsid w:val="00283B5F"/>
    <w:rsid w:val="00283D2A"/>
    <w:rsid w:val="00283D35"/>
    <w:rsid w:val="00283D93"/>
    <w:rsid w:val="00283E39"/>
    <w:rsid w:val="00283E82"/>
    <w:rsid w:val="00283EAA"/>
    <w:rsid w:val="00283F5D"/>
    <w:rsid w:val="0028411E"/>
    <w:rsid w:val="00284164"/>
    <w:rsid w:val="0028416F"/>
    <w:rsid w:val="002841C6"/>
    <w:rsid w:val="002841EE"/>
    <w:rsid w:val="00284252"/>
    <w:rsid w:val="0028439B"/>
    <w:rsid w:val="002844A7"/>
    <w:rsid w:val="002845B4"/>
    <w:rsid w:val="002845F8"/>
    <w:rsid w:val="00284965"/>
    <w:rsid w:val="00284B2A"/>
    <w:rsid w:val="00284CCF"/>
    <w:rsid w:val="00284E35"/>
    <w:rsid w:val="00284E3C"/>
    <w:rsid w:val="00284E57"/>
    <w:rsid w:val="00284EC8"/>
    <w:rsid w:val="00285069"/>
    <w:rsid w:val="00285215"/>
    <w:rsid w:val="0028526B"/>
    <w:rsid w:val="0028559A"/>
    <w:rsid w:val="00285651"/>
    <w:rsid w:val="00285719"/>
    <w:rsid w:val="0028579F"/>
    <w:rsid w:val="002857AF"/>
    <w:rsid w:val="00285A72"/>
    <w:rsid w:val="00285B3D"/>
    <w:rsid w:val="00285CA1"/>
    <w:rsid w:val="00285D3E"/>
    <w:rsid w:val="00285D7B"/>
    <w:rsid w:val="00285DDE"/>
    <w:rsid w:val="00285DE3"/>
    <w:rsid w:val="00285EC7"/>
    <w:rsid w:val="00285F51"/>
    <w:rsid w:val="0028603D"/>
    <w:rsid w:val="0028617D"/>
    <w:rsid w:val="0028622C"/>
    <w:rsid w:val="00286249"/>
    <w:rsid w:val="0028633C"/>
    <w:rsid w:val="00286401"/>
    <w:rsid w:val="0028646E"/>
    <w:rsid w:val="002864C3"/>
    <w:rsid w:val="00286599"/>
    <w:rsid w:val="002865D4"/>
    <w:rsid w:val="00286685"/>
    <w:rsid w:val="002866FB"/>
    <w:rsid w:val="0028680B"/>
    <w:rsid w:val="0028696D"/>
    <w:rsid w:val="00286A67"/>
    <w:rsid w:val="00286A6B"/>
    <w:rsid w:val="00286A88"/>
    <w:rsid w:val="00286B60"/>
    <w:rsid w:val="00286BC4"/>
    <w:rsid w:val="00286DD5"/>
    <w:rsid w:val="00286E94"/>
    <w:rsid w:val="00286F9A"/>
    <w:rsid w:val="00286FD9"/>
    <w:rsid w:val="0028704B"/>
    <w:rsid w:val="002870E2"/>
    <w:rsid w:val="00287244"/>
    <w:rsid w:val="002872C2"/>
    <w:rsid w:val="002872D5"/>
    <w:rsid w:val="0028733C"/>
    <w:rsid w:val="00287405"/>
    <w:rsid w:val="00287445"/>
    <w:rsid w:val="00287582"/>
    <w:rsid w:val="002875F8"/>
    <w:rsid w:val="0028764C"/>
    <w:rsid w:val="002876BB"/>
    <w:rsid w:val="00287967"/>
    <w:rsid w:val="0028798C"/>
    <w:rsid w:val="00287B4A"/>
    <w:rsid w:val="00287B65"/>
    <w:rsid w:val="00287BFD"/>
    <w:rsid w:val="00287C11"/>
    <w:rsid w:val="00287C3E"/>
    <w:rsid w:val="00287CA0"/>
    <w:rsid w:val="00287D21"/>
    <w:rsid w:val="00287E57"/>
    <w:rsid w:val="00287F8C"/>
    <w:rsid w:val="00290095"/>
    <w:rsid w:val="00290276"/>
    <w:rsid w:val="0029034F"/>
    <w:rsid w:val="00290378"/>
    <w:rsid w:val="0029038D"/>
    <w:rsid w:val="002903BE"/>
    <w:rsid w:val="002903DD"/>
    <w:rsid w:val="002903E8"/>
    <w:rsid w:val="00290479"/>
    <w:rsid w:val="002904CE"/>
    <w:rsid w:val="002905F1"/>
    <w:rsid w:val="00290600"/>
    <w:rsid w:val="00290715"/>
    <w:rsid w:val="00290720"/>
    <w:rsid w:val="0029074A"/>
    <w:rsid w:val="0029093A"/>
    <w:rsid w:val="00290955"/>
    <w:rsid w:val="002909EB"/>
    <w:rsid w:val="00290B9A"/>
    <w:rsid w:val="00290D74"/>
    <w:rsid w:val="00290DE2"/>
    <w:rsid w:val="00290F21"/>
    <w:rsid w:val="00290F5D"/>
    <w:rsid w:val="00290F66"/>
    <w:rsid w:val="00290FC4"/>
    <w:rsid w:val="0029112F"/>
    <w:rsid w:val="00291168"/>
    <w:rsid w:val="002911B2"/>
    <w:rsid w:val="002911D0"/>
    <w:rsid w:val="002911EE"/>
    <w:rsid w:val="002912AF"/>
    <w:rsid w:val="002912FE"/>
    <w:rsid w:val="00291322"/>
    <w:rsid w:val="002914C2"/>
    <w:rsid w:val="002915B4"/>
    <w:rsid w:val="0029174E"/>
    <w:rsid w:val="002917F1"/>
    <w:rsid w:val="00291987"/>
    <w:rsid w:val="00291999"/>
    <w:rsid w:val="00291AB5"/>
    <w:rsid w:val="00291B05"/>
    <w:rsid w:val="00291B28"/>
    <w:rsid w:val="00291B7A"/>
    <w:rsid w:val="00291C5B"/>
    <w:rsid w:val="00291D3D"/>
    <w:rsid w:val="00291D74"/>
    <w:rsid w:val="00291EBB"/>
    <w:rsid w:val="00291FD2"/>
    <w:rsid w:val="00292057"/>
    <w:rsid w:val="00292225"/>
    <w:rsid w:val="00292293"/>
    <w:rsid w:val="00292358"/>
    <w:rsid w:val="002923A7"/>
    <w:rsid w:val="0029248B"/>
    <w:rsid w:val="00292514"/>
    <w:rsid w:val="00292527"/>
    <w:rsid w:val="0029258C"/>
    <w:rsid w:val="00292655"/>
    <w:rsid w:val="0029269F"/>
    <w:rsid w:val="0029270C"/>
    <w:rsid w:val="0029279D"/>
    <w:rsid w:val="002927C7"/>
    <w:rsid w:val="002927D4"/>
    <w:rsid w:val="0029285E"/>
    <w:rsid w:val="002928C5"/>
    <w:rsid w:val="00292AAF"/>
    <w:rsid w:val="00292BB8"/>
    <w:rsid w:val="00292BBF"/>
    <w:rsid w:val="00292C33"/>
    <w:rsid w:val="00292C6F"/>
    <w:rsid w:val="00292C87"/>
    <w:rsid w:val="00292E6F"/>
    <w:rsid w:val="00292E7F"/>
    <w:rsid w:val="00292F18"/>
    <w:rsid w:val="00292F4B"/>
    <w:rsid w:val="00292FCD"/>
    <w:rsid w:val="00292FEF"/>
    <w:rsid w:val="00293015"/>
    <w:rsid w:val="00293073"/>
    <w:rsid w:val="00293081"/>
    <w:rsid w:val="002930DC"/>
    <w:rsid w:val="002931A1"/>
    <w:rsid w:val="002932A7"/>
    <w:rsid w:val="00293300"/>
    <w:rsid w:val="00293305"/>
    <w:rsid w:val="002933D0"/>
    <w:rsid w:val="00293443"/>
    <w:rsid w:val="002934E7"/>
    <w:rsid w:val="002934EC"/>
    <w:rsid w:val="00293507"/>
    <w:rsid w:val="00293681"/>
    <w:rsid w:val="0029369B"/>
    <w:rsid w:val="00293840"/>
    <w:rsid w:val="00293868"/>
    <w:rsid w:val="0029386B"/>
    <w:rsid w:val="0029386D"/>
    <w:rsid w:val="002938A5"/>
    <w:rsid w:val="00293949"/>
    <w:rsid w:val="00293A4B"/>
    <w:rsid w:val="00293AA9"/>
    <w:rsid w:val="00293B39"/>
    <w:rsid w:val="00293B78"/>
    <w:rsid w:val="00293C50"/>
    <w:rsid w:val="00293CE4"/>
    <w:rsid w:val="00293D73"/>
    <w:rsid w:val="00293E12"/>
    <w:rsid w:val="00293E9C"/>
    <w:rsid w:val="00293EEF"/>
    <w:rsid w:val="0029409C"/>
    <w:rsid w:val="002941E6"/>
    <w:rsid w:val="00294236"/>
    <w:rsid w:val="002942A2"/>
    <w:rsid w:val="002942C7"/>
    <w:rsid w:val="0029435C"/>
    <w:rsid w:val="002943C8"/>
    <w:rsid w:val="00294405"/>
    <w:rsid w:val="002944BB"/>
    <w:rsid w:val="002944D7"/>
    <w:rsid w:val="00294635"/>
    <w:rsid w:val="002946D8"/>
    <w:rsid w:val="00294872"/>
    <w:rsid w:val="00294873"/>
    <w:rsid w:val="002949FB"/>
    <w:rsid w:val="00294A5A"/>
    <w:rsid w:val="00294AF1"/>
    <w:rsid w:val="00294AFD"/>
    <w:rsid w:val="00294B4E"/>
    <w:rsid w:val="00294B94"/>
    <w:rsid w:val="00294C02"/>
    <w:rsid w:val="00294C86"/>
    <w:rsid w:val="00294CB6"/>
    <w:rsid w:val="00294F02"/>
    <w:rsid w:val="00294F4C"/>
    <w:rsid w:val="00294FCD"/>
    <w:rsid w:val="00294FD0"/>
    <w:rsid w:val="0029515E"/>
    <w:rsid w:val="00295172"/>
    <w:rsid w:val="00295294"/>
    <w:rsid w:val="002952B0"/>
    <w:rsid w:val="002952BA"/>
    <w:rsid w:val="00295384"/>
    <w:rsid w:val="002953FE"/>
    <w:rsid w:val="002953FF"/>
    <w:rsid w:val="00295445"/>
    <w:rsid w:val="002954FE"/>
    <w:rsid w:val="0029563E"/>
    <w:rsid w:val="00295711"/>
    <w:rsid w:val="00295840"/>
    <w:rsid w:val="00295962"/>
    <w:rsid w:val="002959C9"/>
    <w:rsid w:val="00295AEA"/>
    <w:rsid w:val="00295B17"/>
    <w:rsid w:val="00295B72"/>
    <w:rsid w:val="00295BF0"/>
    <w:rsid w:val="00295BF2"/>
    <w:rsid w:val="00295CC3"/>
    <w:rsid w:val="00295D1A"/>
    <w:rsid w:val="00295D45"/>
    <w:rsid w:val="00295D48"/>
    <w:rsid w:val="00295D86"/>
    <w:rsid w:val="00295DB8"/>
    <w:rsid w:val="00295E43"/>
    <w:rsid w:val="00295E9A"/>
    <w:rsid w:val="00295ED6"/>
    <w:rsid w:val="00295EDB"/>
    <w:rsid w:val="00296012"/>
    <w:rsid w:val="00296077"/>
    <w:rsid w:val="002961C2"/>
    <w:rsid w:val="00296326"/>
    <w:rsid w:val="0029633D"/>
    <w:rsid w:val="0029645E"/>
    <w:rsid w:val="002964C0"/>
    <w:rsid w:val="002964FE"/>
    <w:rsid w:val="002965A6"/>
    <w:rsid w:val="0029669B"/>
    <w:rsid w:val="00296794"/>
    <w:rsid w:val="002968D1"/>
    <w:rsid w:val="002968F6"/>
    <w:rsid w:val="00296B84"/>
    <w:rsid w:val="00296B8D"/>
    <w:rsid w:val="00296C25"/>
    <w:rsid w:val="00296F16"/>
    <w:rsid w:val="00296FB5"/>
    <w:rsid w:val="00296FB7"/>
    <w:rsid w:val="0029706F"/>
    <w:rsid w:val="002970F3"/>
    <w:rsid w:val="00297100"/>
    <w:rsid w:val="0029722D"/>
    <w:rsid w:val="00297333"/>
    <w:rsid w:val="0029735D"/>
    <w:rsid w:val="002973B5"/>
    <w:rsid w:val="0029745D"/>
    <w:rsid w:val="002974C0"/>
    <w:rsid w:val="002974E2"/>
    <w:rsid w:val="00297504"/>
    <w:rsid w:val="0029766B"/>
    <w:rsid w:val="002976A7"/>
    <w:rsid w:val="00297778"/>
    <w:rsid w:val="00297809"/>
    <w:rsid w:val="0029798C"/>
    <w:rsid w:val="00297B58"/>
    <w:rsid w:val="00297BA9"/>
    <w:rsid w:val="00297BC1"/>
    <w:rsid w:val="00297BF4"/>
    <w:rsid w:val="00297D3C"/>
    <w:rsid w:val="00297D41"/>
    <w:rsid w:val="00297DFB"/>
    <w:rsid w:val="00297E9B"/>
    <w:rsid w:val="00297ED8"/>
    <w:rsid w:val="00297F3B"/>
    <w:rsid w:val="00297FAA"/>
    <w:rsid w:val="00297FDB"/>
    <w:rsid w:val="002A0014"/>
    <w:rsid w:val="002A00F9"/>
    <w:rsid w:val="002A0259"/>
    <w:rsid w:val="002A0457"/>
    <w:rsid w:val="002A049E"/>
    <w:rsid w:val="002A05AE"/>
    <w:rsid w:val="002A05B7"/>
    <w:rsid w:val="002A05EC"/>
    <w:rsid w:val="002A060B"/>
    <w:rsid w:val="002A0776"/>
    <w:rsid w:val="002A07D8"/>
    <w:rsid w:val="002A0825"/>
    <w:rsid w:val="002A095A"/>
    <w:rsid w:val="002A09BA"/>
    <w:rsid w:val="002A0AB2"/>
    <w:rsid w:val="002A0B73"/>
    <w:rsid w:val="002A0C37"/>
    <w:rsid w:val="002A0C82"/>
    <w:rsid w:val="002A0C8B"/>
    <w:rsid w:val="002A0CF4"/>
    <w:rsid w:val="002A0D0A"/>
    <w:rsid w:val="002A0D56"/>
    <w:rsid w:val="002A0DA8"/>
    <w:rsid w:val="002A0EF3"/>
    <w:rsid w:val="002A0FBA"/>
    <w:rsid w:val="002A1002"/>
    <w:rsid w:val="002A1020"/>
    <w:rsid w:val="002A113F"/>
    <w:rsid w:val="002A1298"/>
    <w:rsid w:val="002A138F"/>
    <w:rsid w:val="002A141B"/>
    <w:rsid w:val="002A1574"/>
    <w:rsid w:val="002A15C9"/>
    <w:rsid w:val="002A1656"/>
    <w:rsid w:val="002A1677"/>
    <w:rsid w:val="002A16BA"/>
    <w:rsid w:val="002A178E"/>
    <w:rsid w:val="002A18A4"/>
    <w:rsid w:val="002A18AD"/>
    <w:rsid w:val="002A18E3"/>
    <w:rsid w:val="002A194A"/>
    <w:rsid w:val="002A1965"/>
    <w:rsid w:val="002A1A89"/>
    <w:rsid w:val="002A1A9A"/>
    <w:rsid w:val="002A1C09"/>
    <w:rsid w:val="002A1C4D"/>
    <w:rsid w:val="002A1C64"/>
    <w:rsid w:val="002A1CA5"/>
    <w:rsid w:val="002A1D0C"/>
    <w:rsid w:val="002A1DB7"/>
    <w:rsid w:val="002A1EBD"/>
    <w:rsid w:val="002A2225"/>
    <w:rsid w:val="002A2233"/>
    <w:rsid w:val="002A231B"/>
    <w:rsid w:val="002A23C4"/>
    <w:rsid w:val="002A23DA"/>
    <w:rsid w:val="002A2405"/>
    <w:rsid w:val="002A24EF"/>
    <w:rsid w:val="002A2597"/>
    <w:rsid w:val="002A25BC"/>
    <w:rsid w:val="002A25C6"/>
    <w:rsid w:val="002A27FC"/>
    <w:rsid w:val="002A2881"/>
    <w:rsid w:val="002A28E8"/>
    <w:rsid w:val="002A2AAF"/>
    <w:rsid w:val="002A2ABC"/>
    <w:rsid w:val="002A2B5A"/>
    <w:rsid w:val="002A2CD2"/>
    <w:rsid w:val="002A2D16"/>
    <w:rsid w:val="002A2D91"/>
    <w:rsid w:val="002A2D95"/>
    <w:rsid w:val="002A2DFB"/>
    <w:rsid w:val="002A2F02"/>
    <w:rsid w:val="002A2F6D"/>
    <w:rsid w:val="002A3054"/>
    <w:rsid w:val="002A30B6"/>
    <w:rsid w:val="002A30D0"/>
    <w:rsid w:val="002A3102"/>
    <w:rsid w:val="002A3158"/>
    <w:rsid w:val="002A3210"/>
    <w:rsid w:val="002A342B"/>
    <w:rsid w:val="002A345E"/>
    <w:rsid w:val="002A3568"/>
    <w:rsid w:val="002A357E"/>
    <w:rsid w:val="002A35C7"/>
    <w:rsid w:val="002A35F3"/>
    <w:rsid w:val="002A3616"/>
    <w:rsid w:val="002A3755"/>
    <w:rsid w:val="002A3774"/>
    <w:rsid w:val="002A3775"/>
    <w:rsid w:val="002A378A"/>
    <w:rsid w:val="002A38BA"/>
    <w:rsid w:val="002A3A37"/>
    <w:rsid w:val="002A3A9B"/>
    <w:rsid w:val="002A3AAE"/>
    <w:rsid w:val="002A3B15"/>
    <w:rsid w:val="002A3C11"/>
    <w:rsid w:val="002A3C8F"/>
    <w:rsid w:val="002A3C92"/>
    <w:rsid w:val="002A3DB7"/>
    <w:rsid w:val="002A3DC6"/>
    <w:rsid w:val="002A3F28"/>
    <w:rsid w:val="002A4060"/>
    <w:rsid w:val="002A4090"/>
    <w:rsid w:val="002A40A2"/>
    <w:rsid w:val="002A4155"/>
    <w:rsid w:val="002A41C4"/>
    <w:rsid w:val="002A41E4"/>
    <w:rsid w:val="002A4232"/>
    <w:rsid w:val="002A42C8"/>
    <w:rsid w:val="002A42E9"/>
    <w:rsid w:val="002A4341"/>
    <w:rsid w:val="002A4344"/>
    <w:rsid w:val="002A4418"/>
    <w:rsid w:val="002A44EC"/>
    <w:rsid w:val="002A45BD"/>
    <w:rsid w:val="002A4603"/>
    <w:rsid w:val="002A47F4"/>
    <w:rsid w:val="002A48DA"/>
    <w:rsid w:val="002A48EC"/>
    <w:rsid w:val="002A49C7"/>
    <w:rsid w:val="002A4B63"/>
    <w:rsid w:val="002A4BF5"/>
    <w:rsid w:val="002A4D21"/>
    <w:rsid w:val="002A4D78"/>
    <w:rsid w:val="002A4FCE"/>
    <w:rsid w:val="002A504E"/>
    <w:rsid w:val="002A50C3"/>
    <w:rsid w:val="002A50EE"/>
    <w:rsid w:val="002A5129"/>
    <w:rsid w:val="002A51C7"/>
    <w:rsid w:val="002A5225"/>
    <w:rsid w:val="002A5227"/>
    <w:rsid w:val="002A5383"/>
    <w:rsid w:val="002A53DF"/>
    <w:rsid w:val="002A53F6"/>
    <w:rsid w:val="002A5604"/>
    <w:rsid w:val="002A5628"/>
    <w:rsid w:val="002A5700"/>
    <w:rsid w:val="002A57F2"/>
    <w:rsid w:val="002A58BE"/>
    <w:rsid w:val="002A58E6"/>
    <w:rsid w:val="002A5939"/>
    <w:rsid w:val="002A596B"/>
    <w:rsid w:val="002A59C1"/>
    <w:rsid w:val="002A5A46"/>
    <w:rsid w:val="002A5ABD"/>
    <w:rsid w:val="002A5B9A"/>
    <w:rsid w:val="002A5C87"/>
    <w:rsid w:val="002A5CEB"/>
    <w:rsid w:val="002A5D3B"/>
    <w:rsid w:val="002A5D7A"/>
    <w:rsid w:val="002A5E27"/>
    <w:rsid w:val="002A5F09"/>
    <w:rsid w:val="002A5F22"/>
    <w:rsid w:val="002A5F30"/>
    <w:rsid w:val="002A5FD7"/>
    <w:rsid w:val="002A6116"/>
    <w:rsid w:val="002A61EB"/>
    <w:rsid w:val="002A61F9"/>
    <w:rsid w:val="002A626A"/>
    <w:rsid w:val="002A6435"/>
    <w:rsid w:val="002A64CD"/>
    <w:rsid w:val="002A6592"/>
    <w:rsid w:val="002A6730"/>
    <w:rsid w:val="002A679C"/>
    <w:rsid w:val="002A67A3"/>
    <w:rsid w:val="002A67B9"/>
    <w:rsid w:val="002A680C"/>
    <w:rsid w:val="002A6987"/>
    <w:rsid w:val="002A6ADA"/>
    <w:rsid w:val="002A6B09"/>
    <w:rsid w:val="002A6B10"/>
    <w:rsid w:val="002A6C7E"/>
    <w:rsid w:val="002A6CCA"/>
    <w:rsid w:val="002A6EC1"/>
    <w:rsid w:val="002A6F53"/>
    <w:rsid w:val="002A6FE1"/>
    <w:rsid w:val="002A70AD"/>
    <w:rsid w:val="002A71FC"/>
    <w:rsid w:val="002A724F"/>
    <w:rsid w:val="002A7274"/>
    <w:rsid w:val="002A72F5"/>
    <w:rsid w:val="002A7323"/>
    <w:rsid w:val="002A737A"/>
    <w:rsid w:val="002A73FF"/>
    <w:rsid w:val="002A7408"/>
    <w:rsid w:val="002A7423"/>
    <w:rsid w:val="002A7603"/>
    <w:rsid w:val="002A77DD"/>
    <w:rsid w:val="002A789C"/>
    <w:rsid w:val="002A794B"/>
    <w:rsid w:val="002A795A"/>
    <w:rsid w:val="002A7977"/>
    <w:rsid w:val="002A7B50"/>
    <w:rsid w:val="002A7C28"/>
    <w:rsid w:val="002A7C38"/>
    <w:rsid w:val="002A7CF3"/>
    <w:rsid w:val="002A7D9B"/>
    <w:rsid w:val="002A7E35"/>
    <w:rsid w:val="002A7EBA"/>
    <w:rsid w:val="002A7F73"/>
    <w:rsid w:val="002A7FE3"/>
    <w:rsid w:val="002B0044"/>
    <w:rsid w:val="002B024A"/>
    <w:rsid w:val="002B0466"/>
    <w:rsid w:val="002B0541"/>
    <w:rsid w:val="002B0607"/>
    <w:rsid w:val="002B0765"/>
    <w:rsid w:val="002B08F3"/>
    <w:rsid w:val="002B095B"/>
    <w:rsid w:val="002B0985"/>
    <w:rsid w:val="002B0AEF"/>
    <w:rsid w:val="002B0B30"/>
    <w:rsid w:val="002B0CA8"/>
    <w:rsid w:val="002B0CD8"/>
    <w:rsid w:val="002B0CE5"/>
    <w:rsid w:val="002B0F58"/>
    <w:rsid w:val="002B0FA9"/>
    <w:rsid w:val="002B107B"/>
    <w:rsid w:val="002B118F"/>
    <w:rsid w:val="002B11C7"/>
    <w:rsid w:val="002B11D0"/>
    <w:rsid w:val="002B121D"/>
    <w:rsid w:val="002B1293"/>
    <w:rsid w:val="002B1310"/>
    <w:rsid w:val="002B1329"/>
    <w:rsid w:val="002B137F"/>
    <w:rsid w:val="002B1492"/>
    <w:rsid w:val="002B155E"/>
    <w:rsid w:val="002B1582"/>
    <w:rsid w:val="002B15D3"/>
    <w:rsid w:val="002B16E9"/>
    <w:rsid w:val="002B16EF"/>
    <w:rsid w:val="002B1712"/>
    <w:rsid w:val="002B17B1"/>
    <w:rsid w:val="002B18E1"/>
    <w:rsid w:val="002B1AAE"/>
    <w:rsid w:val="002B1B93"/>
    <w:rsid w:val="002B1B98"/>
    <w:rsid w:val="002B1BDD"/>
    <w:rsid w:val="002B1BED"/>
    <w:rsid w:val="002B1C03"/>
    <w:rsid w:val="002B1CCE"/>
    <w:rsid w:val="002B1D09"/>
    <w:rsid w:val="002B1D0D"/>
    <w:rsid w:val="002B1D6C"/>
    <w:rsid w:val="002B1DAC"/>
    <w:rsid w:val="002B2086"/>
    <w:rsid w:val="002B210C"/>
    <w:rsid w:val="002B2170"/>
    <w:rsid w:val="002B2252"/>
    <w:rsid w:val="002B245D"/>
    <w:rsid w:val="002B2489"/>
    <w:rsid w:val="002B24A9"/>
    <w:rsid w:val="002B2551"/>
    <w:rsid w:val="002B25D6"/>
    <w:rsid w:val="002B2620"/>
    <w:rsid w:val="002B26F8"/>
    <w:rsid w:val="002B2A68"/>
    <w:rsid w:val="002B2A8C"/>
    <w:rsid w:val="002B2B87"/>
    <w:rsid w:val="002B2C09"/>
    <w:rsid w:val="002B2CA5"/>
    <w:rsid w:val="002B2D30"/>
    <w:rsid w:val="002B2DE1"/>
    <w:rsid w:val="002B2DE9"/>
    <w:rsid w:val="002B2E7F"/>
    <w:rsid w:val="002B2EF2"/>
    <w:rsid w:val="002B2FB0"/>
    <w:rsid w:val="002B308A"/>
    <w:rsid w:val="002B30C1"/>
    <w:rsid w:val="002B318F"/>
    <w:rsid w:val="002B32F0"/>
    <w:rsid w:val="002B33AF"/>
    <w:rsid w:val="002B33EB"/>
    <w:rsid w:val="002B3524"/>
    <w:rsid w:val="002B3545"/>
    <w:rsid w:val="002B360A"/>
    <w:rsid w:val="002B3699"/>
    <w:rsid w:val="002B36C2"/>
    <w:rsid w:val="002B3856"/>
    <w:rsid w:val="002B3927"/>
    <w:rsid w:val="002B3967"/>
    <w:rsid w:val="002B3B37"/>
    <w:rsid w:val="002B3C51"/>
    <w:rsid w:val="002B3D36"/>
    <w:rsid w:val="002B3D8D"/>
    <w:rsid w:val="002B3D97"/>
    <w:rsid w:val="002B3E83"/>
    <w:rsid w:val="002B3EF2"/>
    <w:rsid w:val="002B3F6D"/>
    <w:rsid w:val="002B3FAA"/>
    <w:rsid w:val="002B40AA"/>
    <w:rsid w:val="002B42D8"/>
    <w:rsid w:val="002B42EC"/>
    <w:rsid w:val="002B42F7"/>
    <w:rsid w:val="002B4325"/>
    <w:rsid w:val="002B43EF"/>
    <w:rsid w:val="002B4407"/>
    <w:rsid w:val="002B44D2"/>
    <w:rsid w:val="002B452B"/>
    <w:rsid w:val="002B4588"/>
    <w:rsid w:val="002B45C0"/>
    <w:rsid w:val="002B45F1"/>
    <w:rsid w:val="002B4666"/>
    <w:rsid w:val="002B46CA"/>
    <w:rsid w:val="002B4802"/>
    <w:rsid w:val="002B4915"/>
    <w:rsid w:val="002B4931"/>
    <w:rsid w:val="002B4B47"/>
    <w:rsid w:val="002B4BED"/>
    <w:rsid w:val="002B4DA6"/>
    <w:rsid w:val="002B4E49"/>
    <w:rsid w:val="002B4F32"/>
    <w:rsid w:val="002B4F5F"/>
    <w:rsid w:val="002B4F98"/>
    <w:rsid w:val="002B5005"/>
    <w:rsid w:val="002B502D"/>
    <w:rsid w:val="002B50C3"/>
    <w:rsid w:val="002B52FC"/>
    <w:rsid w:val="002B5301"/>
    <w:rsid w:val="002B53A7"/>
    <w:rsid w:val="002B53C8"/>
    <w:rsid w:val="002B54C6"/>
    <w:rsid w:val="002B550C"/>
    <w:rsid w:val="002B552A"/>
    <w:rsid w:val="002B5576"/>
    <w:rsid w:val="002B570D"/>
    <w:rsid w:val="002B5772"/>
    <w:rsid w:val="002B5785"/>
    <w:rsid w:val="002B5892"/>
    <w:rsid w:val="002B58E6"/>
    <w:rsid w:val="002B59A9"/>
    <w:rsid w:val="002B5A03"/>
    <w:rsid w:val="002B5A46"/>
    <w:rsid w:val="002B5AEB"/>
    <w:rsid w:val="002B5B29"/>
    <w:rsid w:val="002B5BED"/>
    <w:rsid w:val="002B5D92"/>
    <w:rsid w:val="002B5DBC"/>
    <w:rsid w:val="002B5DDB"/>
    <w:rsid w:val="002B5F39"/>
    <w:rsid w:val="002B5FBB"/>
    <w:rsid w:val="002B61B3"/>
    <w:rsid w:val="002B61EC"/>
    <w:rsid w:val="002B61F6"/>
    <w:rsid w:val="002B62F0"/>
    <w:rsid w:val="002B6374"/>
    <w:rsid w:val="002B63C5"/>
    <w:rsid w:val="002B6851"/>
    <w:rsid w:val="002B6869"/>
    <w:rsid w:val="002B688A"/>
    <w:rsid w:val="002B6920"/>
    <w:rsid w:val="002B6960"/>
    <w:rsid w:val="002B6B2E"/>
    <w:rsid w:val="002B6C5F"/>
    <w:rsid w:val="002B6CF5"/>
    <w:rsid w:val="002B6D3E"/>
    <w:rsid w:val="002B6D42"/>
    <w:rsid w:val="002B6D53"/>
    <w:rsid w:val="002B6DEA"/>
    <w:rsid w:val="002B6E24"/>
    <w:rsid w:val="002B6F87"/>
    <w:rsid w:val="002B6F91"/>
    <w:rsid w:val="002B70A5"/>
    <w:rsid w:val="002B71A5"/>
    <w:rsid w:val="002B736D"/>
    <w:rsid w:val="002B7395"/>
    <w:rsid w:val="002B7423"/>
    <w:rsid w:val="002B7560"/>
    <w:rsid w:val="002B75C4"/>
    <w:rsid w:val="002B7897"/>
    <w:rsid w:val="002B78F2"/>
    <w:rsid w:val="002B79B0"/>
    <w:rsid w:val="002B79BF"/>
    <w:rsid w:val="002B7C4D"/>
    <w:rsid w:val="002B7C9F"/>
    <w:rsid w:val="002B7CAA"/>
    <w:rsid w:val="002B7CBD"/>
    <w:rsid w:val="002B7CDE"/>
    <w:rsid w:val="002B7D58"/>
    <w:rsid w:val="002B7DF2"/>
    <w:rsid w:val="002B7E39"/>
    <w:rsid w:val="002B7EF0"/>
    <w:rsid w:val="002B7EFA"/>
    <w:rsid w:val="002C0088"/>
    <w:rsid w:val="002C00DA"/>
    <w:rsid w:val="002C01CF"/>
    <w:rsid w:val="002C0266"/>
    <w:rsid w:val="002C02EF"/>
    <w:rsid w:val="002C0318"/>
    <w:rsid w:val="002C031C"/>
    <w:rsid w:val="002C0567"/>
    <w:rsid w:val="002C0592"/>
    <w:rsid w:val="002C05A5"/>
    <w:rsid w:val="002C07C5"/>
    <w:rsid w:val="002C090E"/>
    <w:rsid w:val="002C09CB"/>
    <w:rsid w:val="002C09EF"/>
    <w:rsid w:val="002C0A4C"/>
    <w:rsid w:val="002C0A54"/>
    <w:rsid w:val="002C0B9F"/>
    <w:rsid w:val="002C0BD8"/>
    <w:rsid w:val="002C0CF3"/>
    <w:rsid w:val="002C0DFF"/>
    <w:rsid w:val="002C0E20"/>
    <w:rsid w:val="002C0F20"/>
    <w:rsid w:val="002C0F79"/>
    <w:rsid w:val="002C1140"/>
    <w:rsid w:val="002C1231"/>
    <w:rsid w:val="002C1275"/>
    <w:rsid w:val="002C1276"/>
    <w:rsid w:val="002C1322"/>
    <w:rsid w:val="002C1396"/>
    <w:rsid w:val="002C151E"/>
    <w:rsid w:val="002C15BD"/>
    <w:rsid w:val="002C163C"/>
    <w:rsid w:val="002C1673"/>
    <w:rsid w:val="002C16AD"/>
    <w:rsid w:val="002C16B1"/>
    <w:rsid w:val="002C1778"/>
    <w:rsid w:val="002C17BF"/>
    <w:rsid w:val="002C17ED"/>
    <w:rsid w:val="002C1AD0"/>
    <w:rsid w:val="002C1B23"/>
    <w:rsid w:val="002C1BCA"/>
    <w:rsid w:val="002C1BEF"/>
    <w:rsid w:val="002C1C06"/>
    <w:rsid w:val="002C1C8C"/>
    <w:rsid w:val="002C1CDB"/>
    <w:rsid w:val="002C1D7C"/>
    <w:rsid w:val="002C1D8E"/>
    <w:rsid w:val="002C1DE7"/>
    <w:rsid w:val="002C1DF8"/>
    <w:rsid w:val="002C1F22"/>
    <w:rsid w:val="002C212E"/>
    <w:rsid w:val="002C2132"/>
    <w:rsid w:val="002C2147"/>
    <w:rsid w:val="002C21CA"/>
    <w:rsid w:val="002C22B0"/>
    <w:rsid w:val="002C230D"/>
    <w:rsid w:val="002C233C"/>
    <w:rsid w:val="002C2526"/>
    <w:rsid w:val="002C2588"/>
    <w:rsid w:val="002C2604"/>
    <w:rsid w:val="002C2791"/>
    <w:rsid w:val="002C27C9"/>
    <w:rsid w:val="002C2898"/>
    <w:rsid w:val="002C28C5"/>
    <w:rsid w:val="002C28DF"/>
    <w:rsid w:val="002C291A"/>
    <w:rsid w:val="002C2978"/>
    <w:rsid w:val="002C2A53"/>
    <w:rsid w:val="002C2B28"/>
    <w:rsid w:val="002C2BA7"/>
    <w:rsid w:val="002C2C2F"/>
    <w:rsid w:val="002C2CB6"/>
    <w:rsid w:val="002C2D19"/>
    <w:rsid w:val="002C2D8E"/>
    <w:rsid w:val="002C2E16"/>
    <w:rsid w:val="002C2F73"/>
    <w:rsid w:val="002C303A"/>
    <w:rsid w:val="002C335F"/>
    <w:rsid w:val="002C3507"/>
    <w:rsid w:val="002C36B1"/>
    <w:rsid w:val="002C3717"/>
    <w:rsid w:val="002C3787"/>
    <w:rsid w:val="002C37ED"/>
    <w:rsid w:val="002C395C"/>
    <w:rsid w:val="002C3A34"/>
    <w:rsid w:val="002C3A49"/>
    <w:rsid w:val="002C3AD0"/>
    <w:rsid w:val="002C3BA6"/>
    <w:rsid w:val="002C3BC4"/>
    <w:rsid w:val="002C3C83"/>
    <w:rsid w:val="002C3D0F"/>
    <w:rsid w:val="002C3DAE"/>
    <w:rsid w:val="002C3E15"/>
    <w:rsid w:val="002C3FD1"/>
    <w:rsid w:val="002C4123"/>
    <w:rsid w:val="002C43C2"/>
    <w:rsid w:val="002C445C"/>
    <w:rsid w:val="002C44FC"/>
    <w:rsid w:val="002C4666"/>
    <w:rsid w:val="002C46B7"/>
    <w:rsid w:val="002C4729"/>
    <w:rsid w:val="002C48B6"/>
    <w:rsid w:val="002C4913"/>
    <w:rsid w:val="002C4972"/>
    <w:rsid w:val="002C4A73"/>
    <w:rsid w:val="002C4ADB"/>
    <w:rsid w:val="002C4B0E"/>
    <w:rsid w:val="002C4B7D"/>
    <w:rsid w:val="002C4BA2"/>
    <w:rsid w:val="002C4C0E"/>
    <w:rsid w:val="002C4D51"/>
    <w:rsid w:val="002C4DDB"/>
    <w:rsid w:val="002C504D"/>
    <w:rsid w:val="002C5082"/>
    <w:rsid w:val="002C50C9"/>
    <w:rsid w:val="002C50D7"/>
    <w:rsid w:val="002C5166"/>
    <w:rsid w:val="002C5188"/>
    <w:rsid w:val="002C5192"/>
    <w:rsid w:val="002C51D3"/>
    <w:rsid w:val="002C51D6"/>
    <w:rsid w:val="002C5218"/>
    <w:rsid w:val="002C52D4"/>
    <w:rsid w:val="002C530D"/>
    <w:rsid w:val="002C538D"/>
    <w:rsid w:val="002C5422"/>
    <w:rsid w:val="002C56EC"/>
    <w:rsid w:val="002C573D"/>
    <w:rsid w:val="002C57B2"/>
    <w:rsid w:val="002C582C"/>
    <w:rsid w:val="002C5B47"/>
    <w:rsid w:val="002C5C53"/>
    <w:rsid w:val="002C5D3C"/>
    <w:rsid w:val="002C5DF1"/>
    <w:rsid w:val="002C5E93"/>
    <w:rsid w:val="002C5F51"/>
    <w:rsid w:val="002C600F"/>
    <w:rsid w:val="002C61FB"/>
    <w:rsid w:val="002C6234"/>
    <w:rsid w:val="002C62A5"/>
    <w:rsid w:val="002C6323"/>
    <w:rsid w:val="002C63C0"/>
    <w:rsid w:val="002C64D2"/>
    <w:rsid w:val="002C6572"/>
    <w:rsid w:val="002C67A9"/>
    <w:rsid w:val="002C68C3"/>
    <w:rsid w:val="002C690F"/>
    <w:rsid w:val="002C6943"/>
    <w:rsid w:val="002C69A0"/>
    <w:rsid w:val="002C6A7B"/>
    <w:rsid w:val="002C6B14"/>
    <w:rsid w:val="002C6B92"/>
    <w:rsid w:val="002C6BA5"/>
    <w:rsid w:val="002C6BEF"/>
    <w:rsid w:val="002C6C1D"/>
    <w:rsid w:val="002C6D54"/>
    <w:rsid w:val="002C6DB7"/>
    <w:rsid w:val="002C6F8E"/>
    <w:rsid w:val="002C713D"/>
    <w:rsid w:val="002C7244"/>
    <w:rsid w:val="002C72BE"/>
    <w:rsid w:val="002C72FE"/>
    <w:rsid w:val="002C73A7"/>
    <w:rsid w:val="002C73B2"/>
    <w:rsid w:val="002C73F3"/>
    <w:rsid w:val="002C7491"/>
    <w:rsid w:val="002C74F8"/>
    <w:rsid w:val="002C757A"/>
    <w:rsid w:val="002C75F6"/>
    <w:rsid w:val="002C7719"/>
    <w:rsid w:val="002C77BB"/>
    <w:rsid w:val="002C77C8"/>
    <w:rsid w:val="002C7827"/>
    <w:rsid w:val="002C790C"/>
    <w:rsid w:val="002C7937"/>
    <w:rsid w:val="002C7ABF"/>
    <w:rsid w:val="002C7AD1"/>
    <w:rsid w:val="002C7AE7"/>
    <w:rsid w:val="002C7BAD"/>
    <w:rsid w:val="002C7BD5"/>
    <w:rsid w:val="002C7D24"/>
    <w:rsid w:val="002C7D82"/>
    <w:rsid w:val="002C7E86"/>
    <w:rsid w:val="002C7EB2"/>
    <w:rsid w:val="002C7F79"/>
    <w:rsid w:val="002C7F94"/>
    <w:rsid w:val="002C7FE1"/>
    <w:rsid w:val="002D0156"/>
    <w:rsid w:val="002D0208"/>
    <w:rsid w:val="002D0250"/>
    <w:rsid w:val="002D026F"/>
    <w:rsid w:val="002D035C"/>
    <w:rsid w:val="002D041A"/>
    <w:rsid w:val="002D0528"/>
    <w:rsid w:val="002D063C"/>
    <w:rsid w:val="002D064C"/>
    <w:rsid w:val="002D07D0"/>
    <w:rsid w:val="002D085F"/>
    <w:rsid w:val="002D08BD"/>
    <w:rsid w:val="002D09B1"/>
    <w:rsid w:val="002D0A77"/>
    <w:rsid w:val="002D0AB9"/>
    <w:rsid w:val="002D0ABC"/>
    <w:rsid w:val="002D0DDA"/>
    <w:rsid w:val="002D0FEC"/>
    <w:rsid w:val="002D1138"/>
    <w:rsid w:val="002D124C"/>
    <w:rsid w:val="002D1357"/>
    <w:rsid w:val="002D14C8"/>
    <w:rsid w:val="002D1525"/>
    <w:rsid w:val="002D156D"/>
    <w:rsid w:val="002D1616"/>
    <w:rsid w:val="002D1670"/>
    <w:rsid w:val="002D16FA"/>
    <w:rsid w:val="002D182B"/>
    <w:rsid w:val="002D18B8"/>
    <w:rsid w:val="002D18CC"/>
    <w:rsid w:val="002D1994"/>
    <w:rsid w:val="002D1A66"/>
    <w:rsid w:val="002D1AA4"/>
    <w:rsid w:val="002D1B42"/>
    <w:rsid w:val="002D1BB1"/>
    <w:rsid w:val="002D1CF0"/>
    <w:rsid w:val="002D1D6B"/>
    <w:rsid w:val="002D1FE0"/>
    <w:rsid w:val="002D2031"/>
    <w:rsid w:val="002D2114"/>
    <w:rsid w:val="002D214E"/>
    <w:rsid w:val="002D215C"/>
    <w:rsid w:val="002D2209"/>
    <w:rsid w:val="002D22A4"/>
    <w:rsid w:val="002D2328"/>
    <w:rsid w:val="002D2335"/>
    <w:rsid w:val="002D2358"/>
    <w:rsid w:val="002D23AE"/>
    <w:rsid w:val="002D23C9"/>
    <w:rsid w:val="002D2445"/>
    <w:rsid w:val="002D247D"/>
    <w:rsid w:val="002D24C6"/>
    <w:rsid w:val="002D25D3"/>
    <w:rsid w:val="002D25DF"/>
    <w:rsid w:val="002D26D5"/>
    <w:rsid w:val="002D273B"/>
    <w:rsid w:val="002D2750"/>
    <w:rsid w:val="002D27F6"/>
    <w:rsid w:val="002D285B"/>
    <w:rsid w:val="002D29D5"/>
    <w:rsid w:val="002D2AE9"/>
    <w:rsid w:val="002D2B29"/>
    <w:rsid w:val="002D2B3A"/>
    <w:rsid w:val="002D2BAB"/>
    <w:rsid w:val="002D2BBD"/>
    <w:rsid w:val="002D2D7F"/>
    <w:rsid w:val="002D2DB2"/>
    <w:rsid w:val="002D2E1D"/>
    <w:rsid w:val="002D2E8C"/>
    <w:rsid w:val="002D2F01"/>
    <w:rsid w:val="002D2FC1"/>
    <w:rsid w:val="002D3045"/>
    <w:rsid w:val="002D30CF"/>
    <w:rsid w:val="002D3141"/>
    <w:rsid w:val="002D314B"/>
    <w:rsid w:val="002D31CE"/>
    <w:rsid w:val="002D33A1"/>
    <w:rsid w:val="002D33B3"/>
    <w:rsid w:val="002D33FD"/>
    <w:rsid w:val="002D34D0"/>
    <w:rsid w:val="002D34DF"/>
    <w:rsid w:val="002D34FD"/>
    <w:rsid w:val="002D3512"/>
    <w:rsid w:val="002D3630"/>
    <w:rsid w:val="002D3672"/>
    <w:rsid w:val="002D37DA"/>
    <w:rsid w:val="002D382C"/>
    <w:rsid w:val="002D385E"/>
    <w:rsid w:val="002D38A2"/>
    <w:rsid w:val="002D3921"/>
    <w:rsid w:val="002D397F"/>
    <w:rsid w:val="002D3992"/>
    <w:rsid w:val="002D3A67"/>
    <w:rsid w:val="002D3B57"/>
    <w:rsid w:val="002D3BCC"/>
    <w:rsid w:val="002D3BFB"/>
    <w:rsid w:val="002D3C4E"/>
    <w:rsid w:val="002D3CE9"/>
    <w:rsid w:val="002D3CEB"/>
    <w:rsid w:val="002D3EDB"/>
    <w:rsid w:val="002D4101"/>
    <w:rsid w:val="002D4156"/>
    <w:rsid w:val="002D45FE"/>
    <w:rsid w:val="002D463E"/>
    <w:rsid w:val="002D46AF"/>
    <w:rsid w:val="002D4716"/>
    <w:rsid w:val="002D4963"/>
    <w:rsid w:val="002D49C4"/>
    <w:rsid w:val="002D49F8"/>
    <w:rsid w:val="002D4A62"/>
    <w:rsid w:val="002D4AEB"/>
    <w:rsid w:val="002D4BD1"/>
    <w:rsid w:val="002D4CA8"/>
    <w:rsid w:val="002D4D33"/>
    <w:rsid w:val="002D4DAB"/>
    <w:rsid w:val="002D4E17"/>
    <w:rsid w:val="002D500E"/>
    <w:rsid w:val="002D504B"/>
    <w:rsid w:val="002D504E"/>
    <w:rsid w:val="002D511A"/>
    <w:rsid w:val="002D51E6"/>
    <w:rsid w:val="002D52E5"/>
    <w:rsid w:val="002D5353"/>
    <w:rsid w:val="002D5379"/>
    <w:rsid w:val="002D53F4"/>
    <w:rsid w:val="002D548D"/>
    <w:rsid w:val="002D5631"/>
    <w:rsid w:val="002D5637"/>
    <w:rsid w:val="002D5776"/>
    <w:rsid w:val="002D5830"/>
    <w:rsid w:val="002D583A"/>
    <w:rsid w:val="002D5A0B"/>
    <w:rsid w:val="002D5CEB"/>
    <w:rsid w:val="002D5D87"/>
    <w:rsid w:val="002D5E0B"/>
    <w:rsid w:val="002D5E94"/>
    <w:rsid w:val="002D5F15"/>
    <w:rsid w:val="002D5FA3"/>
    <w:rsid w:val="002D5FFB"/>
    <w:rsid w:val="002D60E9"/>
    <w:rsid w:val="002D60FA"/>
    <w:rsid w:val="002D6112"/>
    <w:rsid w:val="002D623C"/>
    <w:rsid w:val="002D62B6"/>
    <w:rsid w:val="002D62C0"/>
    <w:rsid w:val="002D63A5"/>
    <w:rsid w:val="002D648C"/>
    <w:rsid w:val="002D6526"/>
    <w:rsid w:val="002D65AC"/>
    <w:rsid w:val="002D65B8"/>
    <w:rsid w:val="002D65D8"/>
    <w:rsid w:val="002D665F"/>
    <w:rsid w:val="002D66EE"/>
    <w:rsid w:val="002D6728"/>
    <w:rsid w:val="002D6947"/>
    <w:rsid w:val="002D6984"/>
    <w:rsid w:val="002D6B4A"/>
    <w:rsid w:val="002D6C3B"/>
    <w:rsid w:val="002D6C4A"/>
    <w:rsid w:val="002D6C83"/>
    <w:rsid w:val="002D6C87"/>
    <w:rsid w:val="002D6E34"/>
    <w:rsid w:val="002D6E6C"/>
    <w:rsid w:val="002D7077"/>
    <w:rsid w:val="002D7149"/>
    <w:rsid w:val="002D718B"/>
    <w:rsid w:val="002D7228"/>
    <w:rsid w:val="002D7277"/>
    <w:rsid w:val="002D72EF"/>
    <w:rsid w:val="002D73C4"/>
    <w:rsid w:val="002D73CD"/>
    <w:rsid w:val="002D7444"/>
    <w:rsid w:val="002D750E"/>
    <w:rsid w:val="002D7578"/>
    <w:rsid w:val="002D75D7"/>
    <w:rsid w:val="002D7602"/>
    <w:rsid w:val="002D7621"/>
    <w:rsid w:val="002D764F"/>
    <w:rsid w:val="002D7731"/>
    <w:rsid w:val="002D777D"/>
    <w:rsid w:val="002D787A"/>
    <w:rsid w:val="002D78D7"/>
    <w:rsid w:val="002D78E8"/>
    <w:rsid w:val="002D793F"/>
    <w:rsid w:val="002D7A20"/>
    <w:rsid w:val="002D7A22"/>
    <w:rsid w:val="002D7B6E"/>
    <w:rsid w:val="002D7B7D"/>
    <w:rsid w:val="002D7B84"/>
    <w:rsid w:val="002D7BF6"/>
    <w:rsid w:val="002D7C51"/>
    <w:rsid w:val="002D7D27"/>
    <w:rsid w:val="002D7D48"/>
    <w:rsid w:val="002D7DB9"/>
    <w:rsid w:val="002D7DBF"/>
    <w:rsid w:val="002D7EAF"/>
    <w:rsid w:val="002D7F32"/>
    <w:rsid w:val="002D7F88"/>
    <w:rsid w:val="002E0071"/>
    <w:rsid w:val="002E00A7"/>
    <w:rsid w:val="002E016E"/>
    <w:rsid w:val="002E017D"/>
    <w:rsid w:val="002E023D"/>
    <w:rsid w:val="002E0287"/>
    <w:rsid w:val="002E0294"/>
    <w:rsid w:val="002E0404"/>
    <w:rsid w:val="002E0450"/>
    <w:rsid w:val="002E0602"/>
    <w:rsid w:val="002E0661"/>
    <w:rsid w:val="002E0802"/>
    <w:rsid w:val="002E086E"/>
    <w:rsid w:val="002E091C"/>
    <w:rsid w:val="002E0979"/>
    <w:rsid w:val="002E0BC1"/>
    <w:rsid w:val="002E0BCA"/>
    <w:rsid w:val="002E0E01"/>
    <w:rsid w:val="002E0E63"/>
    <w:rsid w:val="002E0F75"/>
    <w:rsid w:val="002E107A"/>
    <w:rsid w:val="002E1232"/>
    <w:rsid w:val="002E138D"/>
    <w:rsid w:val="002E13FE"/>
    <w:rsid w:val="002E14E2"/>
    <w:rsid w:val="002E15E5"/>
    <w:rsid w:val="002E15FC"/>
    <w:rsid w:val="002E175C"/>
    <w:rsid w:val="002E183E"/>
    <w:rsid w:val="002E1AE5"/>
    <w:rsid w:val="002E1B03"/>
    <w:rsid w:val="002E1B6C"/>
    <w:rsid w:val="002E1BF7"/>
    <w:rsid w:val="002E1CC0"/>
    <w:rsid w:val="002E1D5E"/>
    <w:rsid w:val="002E1DEB"/>
    <w:rsid w:val="002E1F27"/>
    <w:rsid w:val="002E1F62"/>
    <w:rsid w:val="002E2014"/>
    <w:rsid w:val="002E207B"/>
    <w:rsid w:val="002E22AA"/>
    <w:rsid w:val="002E22C8"/>
    <w:rsid w:val="002E23EE"/>
    <w:rsid w:val="002E2551"/>
    <w:rsid w:val="002E25CA"/>
    <w:rsid w:val="002E26B9"/>
    <w:rsid w:val="002E270E"/>
    <w:rsid w:val="002E289C"/>
    <w:rsid w:val="002E29F1"/>
    <w:rsid w:val="002E2AD5"/>
    <w:rsid w:val="002E2B6A"/>
    <w:rsid w:val="002E2D2D"/>
    <w:rsid w:val="002E2D56"/>
    <w:rsid w:val="002E2D73"/>
    <w:rsid w:val="002E2DD0"/>
    <w:rsid w:val="002E2DE2"/>
    <w:rsid w:val="002E3018"/>
    <w:rsid w:val="002E309B"/>
    <w:rsid w:val="002E3112"/>
    <w:rsid w:val="002E3144"/>
    <w:rsid w:val="002E3146"/>
    <w:rsid w:val="002E316F"/>
    <w:rsid w:val="002E329C"/>
    <w:rsid w:val="002E34D8"/>
    <w:rsid w:val="002E357D"/>
    <w:rsid w:val="002E36D7"/>
    <w:rsid w:val="002E36F4"/>
    <w:rsid w:val="002E379F"/>
    <w:rsid w:val="002E37D2"/>
    <w:rsid w:val="002E3821"/>
    <w:rsid w:val="002E391E"/>
    <w:rsid w:val="002E3A3F"/>
    <w:rsid w:val="002E3A86"/>
    <w:rsid w:val="002E3B23"/>
    <w:rsid w:val="002E3C77"/>
    <w:rsid w:val="002E3D93"/>
    <w:rsid w:val="002E3D95"/>
    <w:rsid w:val="002E3E14"/>
    <w:rsid w:val="002E3ED9"/>
    <w:rsid w:val="002E3F7D"/>
    <w:rsid w:val="002E3FD7"/>
    <w:rsid w:val="002E418E"/>
    <w:rsid w:val="002E42BB"/>
    <w:rsid w:val="002E430E"/>
    <w:rsid w:val="002E43C0"/>
    <w:rsid w:val="002E43CC"/>
    <w:rsid w:val="002E4643"/>
    <w:rsid w:val="002E4732"/>
    <w:rsid w:val="002E480D"/>
    <w:rsid w:val="002E4920"/>
    <w:rsid w:val="002E49C2"/>
    <w:rsid w:val="002E4A14"/>
    <w:rsid w:val="002E4AEB"/>
    <w:rsid w:val="002E4B99"/>
    <w:rsid w:val="002E4BC8"/>
    <w:rsid w:val="002E4DAB"/>
    <w:rsid w:val="002E4DC3"/>
    <w:rsid w:val="002E4E43"/>
    <w:rsid w:val="002E4EA3"/>
    <w:rsid w:val="002E51FA"/>
    <w:rsid w:val="002E52F5"/>
    <w:rsid w:val="002E52FB"/>
    <w:rsid w:val="002E5316"/>
    <w:rsid w:val="002E536B"/>
    <w:rsid w:val="002E5483"/>
    <w:rsid w:val="002E5522"/>
    <w:rsid w:val="002E556B"/>
    <w:rsid w:val="002E5583"/>
    <w:rsid w:val="002E55FE"/>
    <w:rsid w:val="002E563A"/>
    <w:rsid w:val="002E5642"/>
    <w:rsid w:val="002E56DB"/>
    <w:rsid w:val="002E587A"/>
    <w:rsid w:val="002E58D3"/>
    <w:rsid w:val="002E59A9"/>
    <w:rsid w:val="002E59BA"/>
    <w:rsid w:val="002E5AB6"/>
    <w:rsid w:val="002E5B69"/>
    <w:rsid w:val="002E5BCC"/>
    <w:rsid w:val="002E5C5F"/>
    <w:rsid w:val="002E5D0B"/>
    <w:rsid w:val="002E5D38"/>
    <w:rsid w:val="002E5D63"/>
    <w:rsid w:val="002E5E1B"/>
    <w:rsid w:val="002E5F37"/>
    <w:rsid w:val="002E6009"/>
    <w:rsid w:val="002E6091"/>
    <w:rsid w:val="002E6201"/>
    <w:rsid w:val="002E6275"/>
    <w:rsid w:val="002E62E7"/>
    <w:rsid w:val="002E62EC"/>
    <w:rsid w:val="002E6352"/>
    <w:rsid w:val="002E63C3"/>
    <w:rsid w:val="002E6459"/>
    <w:rsid w:val="002E64DB"/>
    <w:rsid w:val="002E6603"/>
    <w:rsid w:val="002E6655"/>
    <w:rsid w:val="002E6738"/>
    <w:rsid w:val="002E67A4"/>
    <w:rsid w:val="002E685B"/>
    <w:rsid w:val="002E687C"/>
    <w:rsid w:val="002E68C7"/>
    <w:rsid w:val="002E6956"/>
    <w:rsid w:val="002E698D"/>
    <w:rsid w:val="002E6A5E"/>
    <w:rsid w:val="002E6A73"/>
    <w:rsid w:val="002E6B3B"/>
    <w:rsid w:val="002E6C5D"/>
    <w:rsid w:val="002E6CB7"/>
    <w:rsid w:val="002E6CC1"/>
    <w:rsid w:val="002E6CD0"/>
    <w:rsid w:val="002E6DD3"/>
    <w:rsid w:val="002E6DE0"/>
    <w:rsid w:val="002E6EF6"/>
    <w:rsid w:val="002E7084"/>
    <w:rsid w:val="002E71AA"/>
    <w:rsid w:val="002E7308"/>
    <w:rsid w:val="002E737E"/>
    <w:rsid w:val="002E73EC"/>
    <w:rsid w:val="002E7489"/>
    <w:rsid w:val="002E7585"/>
    <w:rsid w:val="002E7745"/>
    <w:rsid w:val="002E77FF"/>
    <w:rsid w:val="002E781E"/>
    <w:rsid w:val="002E787E"/>
    <w:rsid w:val="002E796A"/>
    <w:rsid w:val="002E7988"/>
    <w:rsid w:val="002E7A71"/>
    <w:rsid w:val="002E7C32"/>
    <w:rsid w:val="002E7C73"/>
    <w:rsid w:val="002E7D14"/>
    <w:rsid w:val="002E7D2C"/>
    <w:rsid w:val="002E7D7E"/>
    <w:rsid w:val="002E7EC1"/>
    <w:rsid w:val="002E7F6C"/>
    <w:rsid w:val="002E7FD9"/>
    <w:rsid w:val="002F0033"/>
    <w:rsid w:val="002F00F3"/>
    <w:rsid w:val="002F0163"/>
    <w:rsid w:val="002F01F5"/>
    <w:rsid w:val="002F02D2"/>
    <w:rsid w:val="002F0365"/>
    <w:rsid w:val="002F0485"/>
    <w:rsid w:val="002F059E"/>
    <w:rsid w:val="002F05C3"/>
    <w:rsid w:val="002F05C5"/>
    <w:rsid w:val="002F060C"/>
    <w:rsid w:val="002F063E"/>
    <w:rsid w:val="002F07B9"/>
    <w:rsid w:val="002F07FC"/>
    <w:rsid w:val="002F08C5"/>
    <w:rsid w:val="002F0A5E"/>
    <w:rsid w:val="002F0D29"/>
    <w:rsid w:val="002F0FC5"/>
    <w:rsid w:val="002F0FE7"/>
    <w:rsid w:val="002F135B"/>
    <w:rsid w:val="002F13AB"/>
    <w:rsid w:val="002F13AE"/>
    <w:rsid w:val="002F14DF"/>
    <w:rsid w:val="002F150C"/>
    <w:rsid w:val="002F15D3"/>
    <w:rsid w:val="002F1743"/>
    <w:rsid w:val="002F175D"/>
    <w:rsid w:val="002F178C"/>
    <w:rsid w:val="002F17CA"/>
    <w:rsid w:val="002F1895"/>
    <w:rsid w:val="002F1970"/>
    <w:rsid w:val="002F19FE"/>
    <w:rsid w:val="002F1A37"/>
    <w:rsid w:val="002F1C04"/>
    <w:rsid w:val="002F1C64"/>
    <w:rsid w:val="002F1DC6"/>
    <w:rsid w:val="002F2092"/>
    <w:rsid w:val="002F20ED"/>
    <w:rsid w:val="002F20F2"/>
    <w:rsid w:val="002F214F"/>
    <w:rsid w:val="002F220E"/>
    <w:rsid w:val="002F231E"/>
    <w:rsid w:val="002F249E"/>
    <w:rsid w:val="002F24E1"/>
    <w:rsid w:val="002F2563"/>
    <w:rsid w:val="002F25C8"/>
    <w:rsid w:val="002F2600"/>
    <w:rsid w:val="002F2631"/>
    <w:rsid w:val="002F26B5"/>
    <w:rsid w:val="002F2722"/>
    <w:rsid w:val="002F276B"/>
    <w:rsid w:val="002F2775"/>
    <w:rsid w:val="002F2777"/>
    <w:rsid w:val="002F2823"/>
    <w:rsid w:val="002F28DE"/>
    <w:rsid w:val="002F2A84"/>
    <w:rsid w:val="002F2BBA"/>
    <w:rsid w:val="002F2BF4"/>
    <w:rsid w:val="002F2BFA"/>
    <w:rsid w:val="002F2C65"/>
    <w:rsid w:val="002F2EB2"/>
    <w:rsid w:val="002F2EB7"/>
    <w:rsid w:val="002F2F0E"/>
    <w:rsid w:val="002F2F5E"/>
    <w:rsid w:val="002F2FBA"/>
    <w:rsid w:val="002F304E"/>
    <w:rsid w:val="002F310F"/>
    <w:rsid w:val="002F311E"/>
    <w:rsid w:val="002F3264"/>
    <w:rsid w:val="002F326B"/>
    <w:rsid w:val="002F335B"/>
    <w:rsid w:val="002F349F"/>
    <w:rsid w:val="002F34E8"/>
    <w:rsid w:val="002F35A3"/>
    <w:rsid w:val="002F35F6"/>
    <w:rsid w:val="002F37B7"/>
    <w:rsid w:val="002F3894"/>
    <w:rsid w:val="002F38BF"/>
    <w:rsid w:val="002F3925"/>
    <w:rsid w:val="002F3A10"/>
    <w:rsid w:val="002F3A7C"/>
    <w:rsid w:val="002F3AA8"/>
    <w:rsid w:val="002F3ACF"/>
    <w:rsid w:val="002F3B54"/>
    <w:rsid w:val="002F3C09"/>
    <w:rsid w:val="002F3D52"/>
    <w:rsid w:val="002F3EB2"/>
    <w:rsid w:val="002F3F5A"/>
    <w:rsid w:val="002F4048"/>
    <w:rsid w:val="002F4049"/>
    <w:rsid w:val="002F4186"/>
    <w:rsid w:val="002F4191"/>
    <w:rsid w:val="002F41F4"/>
    <w:rsid w:val="002F42C1"/>
    <w:rsid w:val="002F43B9"/>
    <w:rsid w:val="002F463D"/>
    <w:rsid w:val="002F46D7"/>
    <w:rsid w:val="002F473A"/>
    <w:rsid w:val="002F47BC"/>
    <w:rsid w:val="002F47E7"/>
    <w:rsid w:val="002F4819"/>
    <w:rsid w:val="002F4898"/>
    <w:rsid w:val="002F4966"/>
    <w:rsid w:val="002F4972"/>
    <w:rsid w:val="002F4AAA"/>
    <w:rsid w:val="002F4CD8"/>
    <w:rsid w:val="002F4D37"/>
    <w:rsid w:val="002F4ED4"/>
    <w:rsid w:val="002F4F2B"/>
    <w:rsid w:val="002F502F"/>
    <w:rsid w:val="002F5067"/>
    <w:rsid w:val="002F50C2"/>
    <w:rsid w:val="002F50D6"/>
    <w:rsid w:val="002F518C"/>
    <w:rsid w:val="002F51D0"/>
    <w:rsid w:val="002F51D8"/>
    <w:rsid w:val="002F53E9"/>
    <w:rsid w:val="002F53FC"/>
    <w:rsid w:val="002F5460"/>
    <w:rsid w:val="002F54CC"/>
    <w:rsid w:val="002F5619"/>
    <w:rsid w:val="002F5622"/>
    <w:rsid w:val="002F577C"/>
    <w:rsid w:val="002F57F6"/>
    <w:rsid w:val="002F590A"/>
    <w:rsid w:val="002F59C7"/>
    <w:rsid w:val="002F59D1"/>
    <w:rsid w:val="002F5A55"/>
    <w:rsid w:val="002F5B28"/>
    <w:rsid w:val="002F5BA1"/>
    <w:rsid w:val="002F5BBA"/>
    <w:rsid w:val="002F5C7D"/>
    <w:rsid w:val="002F5D80"/>
    <w:rsid w:val="002F5DD0"/>
    <w:rsid w:val="002F5E18"/>
    <w:rsid w:val="002F5EB0"/>
    <w:rsid w:val="002F5EC1"/>
    <w:rsid w:val="002F5EDA"/>
    <w:rsid w:val="002F5EE9"/>
    <w:rsid w:val="002F5EF5"/>
    <w:rsid w:val="002F607F"/>
    <w:rsid w:val="002F60DD"/>
    <w:rsid w:val="002F60EF"/>
    <w:rsid w:val="002F615C"/>
    <w:rsid w:val="002F6312"/>
    <w:rsid w:val="002F633B"/>
    <w:rsid w:val="002F63B5"/>
    <w:rsid w:val="002F63D6"/>
    <w:rsid w:val="002F63F4"/>
    <w:rsid w:val="002F6498"/>
    <w:rsid w:val="002F6518"/>
    <w:rsid w:val="002F658E"/>
    <w:rsid w:val="002F65C1"/>
    <w:rsid w:val="002F6771"/>
    <w:rsid w:val="002F6873"/>
    <w:rsid w:val="002F6941"/>
    <w:rsid w:val="002F6A21"/>
    <w:rsid w:val="002F6B39"/>
    <w:rsid w:val="002F6D11"/>
    <w:rsid w:val="002F6DCB"/>
    <w:rsid w:val="002F6DEF"/>
    <w:rsid w:val="002F6E60"/>
    <w:rsid w:val="002F7001"/>
    <w:rsid w:val="002F70A6"/>
    <w:rsid w:val="002F70B5"/>
    <w:rsid w:val="002F711E"/>
    <w:rsid w:val="002F7159"/>
    <w:rsid w:val="002F72F3"/>
    <w:rsid w:val="002F7345"/>
    <w:rsid w:val="002F736E"/>
    <w:rsid w:val="002F7423"/>
    <w:rsid w:val="002F74A1"/>
    <w:rsid w:val="002F76D4"/>
    <w:rsid w:val="002F777E"/>
    <w:rsid w:val="002F77A9"/>
    <w:rsid w:val="002F7860"/>
    <w:rsid w:val="002F78EA"/>
    <w:rsid w:val="002F795A"/>
    <w:rsid w:val="002F798F"/>
    <w:rsid w:val="002F79B1"/>
    <w:rsid w:val="002F79BE"/>
    <w:rsid w:val="002F79E8"/>
    <w:rsid w:val="002F7A48"/>
    <w:rsid w:val="002F7B04"/>
    <w:rsid w:val="002F7B1A"/>
    <w:rsid w:val="002F7E74"/>
    <w:rsid w:val="002F7EEF"/>
    <w:rsid w:val="0030007F"/>
    <w:rsid w:val="003000F3"/>
    <w:rsid w:val="00300100"/>
    <w:rsid w:val="00300143"/>
    <w:rsid w:val="003001B0"/>
    <w:rsid w:val="00300355"/>
    <w:rsid w:val="003003D7"/>
    <w:rsid w:val="00300642"/>
    <w:rsid w:val="003006F2"/>
    <w:rsid w:val="00300744"/>
    <w:rsid w:val="00300773"/>
    <w:rsid w:val="003007AB"/>
    <w:rsid w:val="003007B4"/>
    <w:rsid w:val="0030090C"/>
    <w:rsid w:val="00300944"/>
    <w:rsid w:val="00300959"/>
    <w:rsid w:val="00300990"/>
    <w:rsid w:val="003009C3"/>
    <w:rsid w:val="00300A71"/>
    <w:rsid w:val="00300A7F"/>
    <w:rsid w:val="00300BC1"/>
    <w:rsid w:val="00300C48"/>
    <w:rsid w:val="00300C78"/>
    <w:rsid w:val="00300CE7"/>
    <w:rsid w:val="00300DC0"/>
    <w:rsid w:val="00300E90"/>
    <w:rsid w:val="00300F7F"/>
    <w:rsid w:val="00300FFA"/>
    <w:rsid w:val="003010C3"/>
    <w:rsid w:val="00301190"/>
    <w:rsid w:val="003011B9"/>
    <w:rsid w:val="00301211"/>
    <w:rsid w:val="00301213"/>
    <w:rsid w:val="00301274"/>
    <w:rsid w:val="003013E0"/>
    <w:rsid w:val="0030143A"/>
    <w:rsid w:val="0030147E"/>
    <w:rsid w:val="003014CC"/>
    <w:rsid w:val="0030153B"/>
    <w:rsid w:val="00301566"/>
    <w:rsid w:val="00301588"/>
    <w:rsid w:val="0030169D"/>
    <w:rsid w:val="00301719"/>
    <w:rsid w:val="00301756"/>
    <w:rsid w:val="00301764"/>
    <w:rsid w:val="003017BE"/>
    <w:rsid w:val="003017D1"/>
    <w:rsid w:val="0030188B"/>
    <w:rsid w:val="00301AFF"/>
    <w:rsid w:val="00301C0C"/>
    <w:rsid w:val="00301C14"/>
    <w:rsid w:val="00301C2C"/>
    <w:rsid w:val="00301C55"/>
    <w:rsid w:val="00301D0E"/>
    <w:rsid w:val="00301D61"/>
    <w:rsid w:val="00301E31"/>
    <w:rsid w:val="00301F6A"/>
    <w:rsid w:val="00302194"/>
    <w:rsid w:val="003022B3"/>
    <w:rsid w:val="00302374"/>
    <w:rsid w:val="003023CC"/>
    <w:rsid w:val="00302410"/>
    <w:rsid w:val="00302485"/>
    <w:rsid w:val="00302495"/>
    <w:rsid w:val="00302582"/>
    <w:rsid w:val="00302597"/>
    <w:rsid w:val="0030262C"/>
    <w:rsid w:val="003026C7"/>
    <w:rsid w:val="003028AD"/>
    <w:rsid w:val="003028B7"/>
    <w:rsid w:val="0030295B"/>
    <w:rsid w:val="00302966"/>
    <w:rsid w:val="00302A1E"/>
    <w:rsid w:val="00302A4D"/>
    <w:rsid w:val="00302AA0"/>
    <w:rsid w:val="00302C39"/>
    <w:rsid w:val="00302C42"/>
    <w:rsid w:val="00302C99"/>
    <w:rsid w:val="00302CF4"/>
    <w:rsid w:val="00302DBE"/>
    <w:rsid w:val="00302E14"/>
    <w:rsid w:val="00302EC3"/>
    <w:rsid w:val="00302EFA"/>
    <w:rsid w:val="00302F1B"/>
    <w:rsid w:val="00302F3B"/>
    <w:rsid w:val="00302FD9"/>
    <w:rsid w:val="0030300E"/>
    <w:rsid w:val="00303083"/>
    <w:rsid w:val="003031AE"/>
    <w:rsid w:val="00303257"/>
    <w:rsid w:val="003032E1"/>
    <w:rsid w:val="00303314"/>
    <w:rsid w:val="0030344E"/>
    <w:rsid w:val="003035BD"/>
    <w:rsid w:val="003036FB"/>
    <w:rsid w:val="00303703"/>
    <w:rsid w:val="00303774"/>
    <w:rsid w:val="003037E9"/>
    <w:rsid w:val="003038DC"/>
    <w:rsid w:val="003039CA"/>
    <w:rsid w:val="00303A5E"/>
    <w:rsid w:val="00303B38"/>
    <w:rsid w:val="00303B5C"/>
    <w:rsid w:val="00303CCB"/>
    <w:rsid w:val="00303D98"/>
    <w:rsid w:val="00303E0B"/>
    <w:rsid w:val="00303EE2"/>
    <w:rsid w:val="00303F4C"/>
    <w:rsid w:val="00303FF2"/>
    <w:rsid w:val="00304003"/>
    <w:rsid w:val="00304154"/>
    <w:rsid w:val="0030424B"/>
    <w:rsid w:val="003042B6"/>
    <w:rsid w:val="003042BA"/>
    <w:rsid w:val="0030439E"/>
    <w:rsid w:val="0030445E"/>
    <w:rsid w:val="00304493"/>
    <w:rsid w:val="0030459F"/>
    <w:rsid w:val="003046C8"/>
    <w:rsid w:val="003047A9"/>
    <w:rsid w:val="003047FF"/>
    <w:rsid w:val="00304B65"/>
    <w:rsid w:val="00304B7D"/>
    <w:rsid w:val="00304CBB"/>
    <w:rsid w:val="00304CD3"/>
    <w:rsid w:val="00304D54"/>
    <w:rsid w:val="00304E29"/>
    <w:rsid w:val="00304E45"/>
    <w:rsid w:val="00304EB7"/>
    <w:rsid w:val="0030502E"/>
    <w:rsid w:val="0030503C"/>
    <w:rsid w:val="003050B8"/>
    <w:rsid w:val="00305107"/>
    <w:rsid w:val="00305230"/>
    <w:rsid w:val="0030524D"/>
    <w:rsid w:val="0030524E"/>
    <w:rsid w:val="00305256"/>
    <w:rsid w:val="003052C5"/>
    <w:rsid w:val="003053D9"/>
    <w:rsid w:val="003054A5"/>
    <w:rsid w:val="003057D0"/>
    <w:rsid w:val="00305832"/>
    <w:rsid w:val="00305846"/>
    <w:rsid w:val="00305943"/>
    <w:rsid w:val="00305A35"/>
    <w:rsid w:val="00305B03"/>
    <w:rsid w:val="00305C08"/>
    <w:rsid w:val="00305D02"/>
    <w:rsid w:val="00305DC6"/>
    <w:rsid w:val="00305EA6"/>
    <w:rsid w:val="00305EA9"/>
    <w:rsid w:val="00305F8D"/>
    <w:rsid w:val="00305FBB"/>
    <w:rsid w:val="0030609C"/>
    <w:rsid w:val="003060CA"/>
    <w:rsid w:val="003060EB"/>
    <w:rsid w:val="0030616A"/>
    <w:rsid w:val="00306196"/>
    <w:rsid w:val="00306211"/>
    <w:rsid w:val="0030625B"/>
    <w:rsid w:val="00306271"/>
    <w:rsid w:val="00306296"/>
    <w:rsid w:val="003062A2"/>
    <w:rsid w:val="0030632B"/>
    <w:rsid w:val="00306475"/>
    <w:rsid w:val="003064D0"/>
    <w:rsid w:val="0030665A"/>
    <w:rsid w:val="003067D2"/>
    <w:rsid w:val="003067D3"/>
    <w:rsid w:val="00306811"/>
    <w:rsid w:val="00306832"/>
    <w:rsid w:val="003069AE"/>
    <w:rsid w:val="003069EF"/>
    <w:rsid w:val="00306A0E"/>
    <w:rsid w:val="00306A32"/>
    <w:rsid w:val="00306AB8"/>
    <w:rsid w:val="00306ACD"/>
    <w:rsid w:val="00306C1A"/>
    <w:rsid w:val="00306D22"/>
    <w:rsid w:val="00306D4E"/>
    <w:rsid w:val="00306FAE"/>
    <w:rsid w:val="0030709F"/>
    <w:rsid w:val="00307112"/>
    <w:rsid w:val="003072A7"/>
    <w:rsid w:val="003072B0"/>
    <w:rsid w:val="003072DE"/>
    <w:rsid w:val="003072F5"/>
    <w:rsid w:val="0030750E"/>
    <w:rsid w:val="00307568"/>
    <w:rsid w:val="003075CC"/>
    <w:rsid w:val="00307780"/>
    <w:rsid w:val="0030784C"/>
    <w:rsid w:val="00307859"/>
    <w:rsid w:val="003078BE"/>
    <w:rsid w:val="0030797E"/>
    <w:rsid w:val="0030799D"/>
    <w:rsid w:val="003079E1"/>
    <w:rsid w:val="003079E8"/>
    <w:rsid w:val="00307A1D"/>
    <w:rsid w:val="00307B99"/>
    <w:rsid w:val="00307BB9"/>
    <w:rsid w:val="00307C21"/>
    <w:rsid w:val="00307C24"/>
    <w:rsid w:val="00307C87"/>
    <w:rsid w:val="00307D35"/>
    <w:rsid w:val="00307E46"/>
    <w:rsid w:val="00307ED5"/>
    <w:rsid w:val="00307FF8"/>
    <w:rsid w:val="00310007"/>
    <w:rsid w:val="003100D5"/>
    <w:rsid w:val="00310137"/>
    <w:rsid w:val="0031017B"/>
    <w:rsid w:val="00310204"/>
    <w:rsid w:val="0031020E"/>
    <w:rsid w:val="00310221"/>
    <w:rsid w:val="00310379"/>
    <w:rsid w:val="003103B2"/>
    <w:rsid w:val="003103FB"/>
    <w:rsid w:val="00310407"/>
    <w:rsid w:val="00310451"/>
    <w:rsid w:val="00310464"/>
    <w:rsid w:val="003104C0"/>
    <w:rsid w:val="003106A6"/>
    <w:rsid w:val="003107FC"/>
    <w:rsid w:val="003108C1"/>
    <w:rsid w:val="003109A8"/>
    <w:rsid w:val="003109CF"/>
    <w:rsid w:val="00310ADE"/>
    <w:rsid w:val="00310BB3"/>
    <w:rsid w:val="00310BDD"/>
    <w:rsid w:val="00310CBA"/>
    <w:rsid w:val="00310CCF"/>
    <w:rsid w:val="00310D10"/>
    <w:rsid w:val="00310D58"/>
    <w:rsid w:val="00310DBB"/>
    <w:rsid w:val="00310E05"/>
    <w:rsid w:val="00310E4F"/>
    <w:rsid w:val="00310F34"/>
    <w:rsid w:val="00310F65"/>
    <w:rsid w:val="00310F89"/>
    <w:rsid w:val="00310FB4"/>
    <w:rsid w:val="00310FB8"/>
    <w:rsid w:val="00311014"/>
    <w:rsid w:val="003111A7"/>
    <w:rsid w:val="003111BE"/>
    <w:rsid w:val="00311547"/>
    <w:rsid w:val="003115C1"/>
    <w:rsid w:val="0031172F"/>
    <w:rsid w:val="00311774"/>
    <w:rsid w:val="003117D9"/>
    <w:rsid w:val="00311800"/>
    <w:rsid w:val="00311979"/>
    <w:rsid w:val="003119E9"/>
    <w:rsid w:val="00311B12"/>
    <w:rsid w:val="00311B74"/>
    <w:rsid w:val="00311D79"/>
    <w:rsid w:val="00311E2E"/>
    <w:rsid w:val="00311E49"/>
    <w:rsid w:val="00311F6C"/>
    <w:rsid w:val="00311FC4"/>
    <w:rsid w:val="00311FE7"/>
    <w:rsid w:val="003120A5"/>
    <w:rsid w:val="003121FB"/>
    <w:rsid w:val="003122BC"/>
    <w:rsid w:val="003123D8"/>
    <w:rsid w:val="0031246E"/>
    <w:rsid w:val="0031252C"/>
    <w:rsid w:val="00312542"/>
    <w:rsid w:val="003125C1"/>
    <w:rsid w:val="003125DD"/>
    <w:rsid w:val="0031265E"/>
    <w:rsid w:val="003126DE"/>
    <w:rsid w:val="003126F2"/>
    <w:rsid w:val="003128D4"/>
    <w:rsid w:val="00312965"/>
    <w:rsid w:val="0031298A"/>
    <w:rsid w:val="003129DC"/>
    <w:rsid w:val="00312BE3"/>
    <w:rsid w:val="00312CAA"/>
    <w:rsid w:val="00312CFD"/>
    <w:rsid w:val="00312D76"/>
    <w:rsid w:val="00312F02"/>
    <w:rsid w:val="003131B6"/>
    <w:rsid w:val="003131BF"/>
    <w:rsid w:val="00313253"/>
    <w:rsid w:val="003132C9"/>
    <w:rsid w:val="003132D4"/>
    <w:rsid w:val="003132D6"/>
    <w:rsid w:val="00313440"/>
    <w:rsid w:val="00313681"/>
    <w:rsid w:val="003136F4"/>
    <w:rsid w:val="00313763"/>
    <w:rsid w:val="00313A6A"/>
    <w:rsid w:val="00313AE0"/>
    <w:rsid w:val="00313B17"/>
    <w:rsid w:val="00313E6D"/>
    <w:rsid w:val="00313EFA"/>
    <w:rsid w:val="00313FB3"/>
    <w:rsid w:val="003140E5"/>
    <w:rsid w:val="00314129"/>
    <w:rsid w:val="003141C0"/>
    <w:rsid w:val="003141ED"/>
    <w:rsid w:val="00314264"/>
    <w:rsid w:val="00314351"/>
    <w:rsid w:val="003143CA"/>
    <w:rsid w:val="003143D7"/>
    <w:rsid w:val="0031440A"/>
    <w:rsid w:val="003144C4"/>
    <w:rsid w:val="003144CE"/>
    <w:rsid w:val="003145DA"/>
    <w:rsid w:val="003146A9"/>
    <w:rsid w:val="00314787"/>
    <w:rsid w:val="003147D7"/>
    <w:rsid w:val="0031489D"/>
    <w:rsid w:val="00314965"/>
    <w:rsid w:val="00314987"/>
    <w:rsid w:val="00314C5D"/>
    <w:rsid w:val="00314D89"/>
    <w:rsid w:val="00314E4E"/>
    <w:rsid w:val="00314E6C"/>
    <w:rsid w:val="00314F08"/>
    <w:rsid w:val="003151D6"/>
    <w:rsid w:val="00315225"/>
    <w:rsid w:val="003153A2"/>
    <w:rsid w:val="00315614"/>
    <w:rsid w:val="00315620"/>
    <w:rsid w:val="00315695"/>
    <w:rsid w:val="00315759"/>
    <w:rsid w:val="003159D9"/>
    <w:rsid w:val="00315A1E"/>
    <w:rsid w:val="00315A89"/>
    <w:rsid w:val="00315AC6"/>
    <w:rsid w:val="00315AE3"/>
    <w:rsid w:val="00315B83"/>
    <w:rsid w:val="00315C46"/>
    <w:rsid w:val="00315D81"/>
    <w:rsid w:val="00315EFF"/>
    <w:rsid w:val="00315F5C"/>
    <w:rsid w:val="00315F8B"/>
    <w:rsid w:val="00315FBB"/>
    <w:rsid w:val="003160C6"/>
    <w:rsid w:val="003161F0"/>
    <w:rsid w:val="0031625C"/>
    <w:rsid w:val="003163A2"/>
    <w:rsid w:val="00316487"/>
    <w:rsid w:val="003166D4"/>
    <w:rsid w:val="00316736"/>
    <w:rsid w:val="00316997"/>
    <w:rsid w:val="003169B2"/>
    <w:rsid w:val="00316A9D"/>
    <w:rsid w:val="00316B55"/>
    <w:rsid w:val="00316B9F"/>
    <w:rsid w:val="00316DBF"/>
    <w:rsid w:val="00316DC3"/>
    <w:rsid w:val="00316E2B"/>
    <w:rsid w:val="00317047"/>
    <w:rsid w:val="00317149"/>
    <w:rsid w:val="003171FC"/>
    <w:rsid w:val="00317349"/>
    <w:rsid w:val="003173C5"/>
    <w:rsid w:val="00317477"/>
    <w:rsid w:val="0031754D"/>
    <w:rsid w:val="0031771E"/>
    <w:rsid w:val="00317823"/>
    <w:rsid w:val="00317841"/>
    <w:rsid w:val="00317920"/>
    <w:rsid w:val="003179DA"/>
    <w:rsid w:val="00317A32"/>
    <w:rsid w:val="00317A6D"/>
    <w:rsid w:val="00317B3A"/>
    <w:rsid w:val="00317BBB"/>
    <w:rsid w:val="00317C14"/>
    <w:rsid w:val="00317C23"/>
    <w:rsid w:val="00317DA7"/>
    <w:rsid w:val="00317E84"/>
    <w:rsid w:val="00317EC6"/>
    <w:rsid w:val="003200CE"/>
    <w:rsid w:val="003200D5"/>
    <w:rsid w:val="003200E8"/>
    <w:rsid w:val="0032011F"/>
    <w:rsid w:val="003201A1"/>
    <w:rsid w:val="003201EC"/>
    <w:rsid w:val="0032035E"/>
    <w:rsid w:val="00320474"/>
    <w:rsid w:val="00320826"/>
    <w:rsid w:val="003209C7"/>
    <w:rsid w:val="003209D6"/>
    <w:rsid w:val="00320A06"/>
    <w:rsid w:val="00320A3B"/>
    <w:rsid w:val="00320A88"/>
    <w:rsid w:val="00320B81"/>
    <w:rsid w:val="00320C07"/>
    <w:rsid w:val="00320CCB"/>
    <w:rsid w:val="00320D4B"/>
    <w:rsid w:val="00320DFA"/>
    <w:rsid w:val="00320FB2"/>
    <w:rsid w:val="003211CE"/>
    <w:rsid w:val="003212A7"/>
    <w:rsid w:val="003213D1"/>
    <w:rsid w:val="00321494"/>
    <w:rsid w:val="0032151B"/>
    <w:rsid w:val="003215FA"/>
    <w:rsid w:val="00321617"/>
    <w:rsid w:val="0032168A"/>
    <w:rsid w:val="003216AB"/>
    <w:rsid w:val="003216E1"/>
    <w:rsid w:val="003217E7"/>
    <w:rsid w:val="00321878"/>
    <w:rsid w:val="003219A8"/>
    <w:rsid w:val="00321C17"/>
    <w:rsid w:val="00321DD8"/>
    <w:rsid w:val="00321E54"/>
    <w:rsid w:val="00321E72"/>
    <w:rsid w:val="00321ED1"/>
    <w:rsid w:val="00321F5B"/>
    <w:rsid w:val="0032200A"/>
    <w:rsid w:val="00322077"/>
    <w:rsid w:val="003220DB"/>
    <w:rsid w:val="003221D7"/>
    <w:rsid w:val="003221E4"/>
    <w:rsid w:val="0032222E"/>
    <w:rsid w:val="00322237"/>
    <w:rsid w:val="003222D4"/>
    <w:rsid w:val="003222E4"/>
    <w:rsid w:val="00322344"/>
    <w:rsid w:val="0032237A"/>
    <w:rsid w:val="00322389"/>
    <w:rsid w:val="003223D8"/>
    <w:rsid w:val="00322417"/>
    <w:rsid w:val="00322421"/>
    <w:rsid w:val="00322466"/>
    <w:rsid w:val="00322494"/>
    <w:rsid w:val="00322674"/>
    <w:rsid w:val="00322687"/>
    <w:rsid w:val="00322783"/>
    <w:rsid w:val="003227CB"/>
    <w:rsid w:val="003227CF"/>
    <w:rsid w:val="00322849"/>
    <w:rsid w:val="00322873"/>
    <w:rsid w:val="0032287C"/>
    <w:rsid w:val="003228AB"/>
    <w:rsid w:val="003228B3"/>
    <w:rsid w:val="003228FA"/>
    <w:rsid w:val="003229A7"/>
    <w:rsid w:val="00322A59"/>
    <w:rsid w:val="00322C68"/>
    <w:rsid w:val="00322C7A"/>
    <w:rsid w:val="00322CF3"/>
    <w:rsid w:val="00322D09"/>
    <w:rsid w:val="00322D4D"/>
    <w:rsid w:val="00322DDE"/>
    <w:rsid w:val="00322EFA"/>
    <w:rsid w:val="00322F5A"/>
    <w:rsid w:val="00322F88"/>
    <w:rsid w:val="00322FCD"/>
    <w:rsid w:val="0032301B"/>
    <w:rsid w:val="0032302F"/>
    <w:rsid w:val="003231EF"/>
    <w:rsid w:val="00323423"/>
    <w:rsid w:val="00323521"/>
    <w:rsid w:val="00323555"/>
    <w:rsid w:val="003235AE"/>
    <w:rsid w:val="003235DE"/>
    <w:rsid w:val="00323612"/>
    <w:rsid w:val="00323670"/>
    <w:rsid w:val="003236A8"/>
    <w:rsid w:val="00323705"/>
    <w:rsid w:val="00323802"/>
    <w:rsid w:val="0032381C"/>
    <w:rsid w:val="00323899"/>
    <w:rsid w:val="00323A40"/>
    <w:rsid w:val="00323B6B"/>
    <w:rsid w:val="00323B86"/>
    <w:rsid w:val="00323BCC"/>
    <w:rsid w:val="00323CB8"/>
    <w:rsid w:val="00323D3C"/>
    <w:rsid w:val="00323EB1"/>
    <w:rsid w:val="00323F75"/>
    <w:rsid w:val="00323FC9"/>
    <w:rsid w:val="00323FE6"/>
    <w:rsid w:val="00323FF4"/>
    <w:rsid w:val="00324098"/>
    <w:rsid w:val="0032410A"/>
    <w:rsid w:val="00324249"/>
    <w:rsid w:val="00324423"/>
    <w:rsid w:val="0032448E"/>
    <w:rsid w:val="003244E0"/>
    <w:rsid w:val="00324523"/>
    <w:rsid w:val="003245E8"/>
    <w:rsid w:val="00324765"/>
    <w:rsid w:val="003249B9"/>
    <w:rsid w:val="003249C2"/>
    <w:rsid w:val="00324A04"/>
    <w:rsid w:val="00324A32"/>
    <w:rsid w:val="00324A58"/>
    <w:rsid w:val="00324A77"/>
    <w:rsid w:val="00324AA2"/>
    <w:rsid w:val="00324AA9"/>
    <w:rsid w:val="00324ACD"/>
    <w:rsid w:val="00324B3F"/>
    <w:rsid w:val="00324D16"/>
    <w:rsid w:val="00324D63"/>
    <w:rsid w:val="00324DB2"/>
    <w:rsid w:val="00324DC6"/>
    <w:rsid w:val="00324DEA"/>
    <w:rsid w:val="00324EB9"/>
    <w:rsid w:val="00324F42"/>
    <w:rsid w:val="00325147"/>
    <w:rsid w:val="00325269"/>
    <w:rsid w:val="003253C5"/>
    <w:rsid w:val="00325409"/>
    <w:rsid w:val="0032548A"/>
    <w:rsid w:val="00325513"/>
    <w:rsid w:val="003255BF"/>
    <w:rsid w:val="00325679"/>
    <w:rsid w:val="00325694"/>
    <w:rsid w:val="00325852"/>
    <w:rsid w:val="0032588F"/>
    <w:rsid w:val="003258C6"/>
    <w:rsid w:val="003259BC"/>
    <w:rsid w:val="003259DD"/>
    <w:rsid w:val="003259FB"/>
    <w:rsid w:val="00325CF6"/>
    <w:rsid w:val="00325D81"/>
    <w:rsid w:val="00325E7A"/>
    <w:rsid w:val="00325EAE"/>
    <w:rsid w:val="00325F8C"/>
    <w:rsid w:val="00326020"/>
    <w:rsid w:val="00326263"/>
    <w:rsid w:val="00326364"/>
    <w:rsid w:val="00326369"/>
    <w:rsid w:val="003263D3"/>
    <w:rsid w:val="003263F3"/>
    <w:rsid w:val="003264A8"/>
    <w:rsid w:val="003264AB"/>
    <w:rsid w:val="00326596"/>
    <w:rsid w:val="003265A6"/>
    <w:rsid w:val="003265AD"/>
    <w:rsid w:val="003265BB"/>
    <w:rsid w:val="00326669"/>
    <w:rsid w:val="003266C2"/>
    <w:rsid w:val="003266C5"/>
    <w:rsid w:val="0032684E"/>
    <w:rsid w:val="00326947"/>
    <w:rsid w:val="00326A17"/>
    <w:rsid w:val="00326B5B"/>
    <w:rsid w:val="00326C95"/>
    <w:rsid w:val="00326F20"/>
    <w:rsid w:val="00326FDC"/>
    <w:rsid w:val="0032701F"/>
    <w:rsid w:val="0032703A"/>
    <w:rsid w:val="0032710C"/>
    <w:rsid w:val="003271E1"/>
    <w:rsid w:val="003273B8"/>
    <w:rsid w:val="003275E5"/>
    <w:rsid w:val="00327715"/>
    <w:rsid w:val="00327738"/>
    <w:rsid w:val="00327775"/>
    <w:rsid w:val="00327809"/>
    <w:rsid w:val="003278C3"/>
    <w:rsid w:val="0032799C"/>
    <w:rsid w:val="003279C6"/>
    <w:rsid w:val="003279D8"/>
    <w:rsid w:val="00327B0C"/>
    <w:rsid w:val="00327B1C"/>
    <w:rsid w:val="00327C42"/>
    <w:rsid w:val="00327C51"/>
    <w:rsid w:val="00327C73"/>
    <w:rsid w:val="00327D57"/>
    <w:rsid w:val="00327D82"/>
    <w:rsid w:val="00327DF4"/>
    <w:rsid w:val="00327E58"/>
    <w:rsid w:val="00327E88"/>
    <w:rsid w:val="00327F36"/>
    <w:rsid w:val="00327F40"/>
    <w:rsid w:val="00330107"/>
    <w:rsid w:val="0033013D"/>
    <w:rsid w:val="00330268"/>
    <w:rsid w:val="00330288"/>
    <w:rsid w:val="003303ED"/>
    <w:rsid w:val="003303F0"/>
    <w:rsid w:val="003305D8"/>
    <w:rsid w:val="00330662"/>
    <w:rsid w:val="003306AE"/>
    <w:rsid w:val="00330867"/>
    <w:rsid w:val="003308A5"/>
    <w:rsid w:val="003308C7"/>
    <w:rsid w:val="00330A5D"/>
    <w:rsid w:val="00330AFE"/>
    <w:rsid w:val="00330B01"/>
    <w:rsid w:val="00330B13"/>
    <w:rsid w:val="00330D43"/>
    <w:rsid w:val="00330D63"/>
    <w:rsid w:val="00330DDC"/>
    <w:rsid w:val="00330F48"/>
    <w:rsid w:val="0033105A"/>
    <w:rsid w:val="003310B8"/>
    <w:rsid w:val="003311B5"/>
    <w:rsid w:val="003311E7"/>
    <w:rsid w:val="00331265"/>
    <w:rsid w:val="0033136F"/>
    <w:rsid w:val="003314F9"/>
    <w:rsid w:val="003314FC"/>
    <w:rsid w:val="0033159B"/>
    <w:rsid w:val="0033160D"/>
    <w:rsid w:val="00331701"/>
    <w:rsid w:val="0033171B"/>
    <w:rsid w:val="00331732"/>
    <w:rsid w:val="00331759"/>
    <w:rsid w:val="003319A6"/>
    <w:rsid w:val="003319DC"/>
    <w:rsid w:val="00331A01"/>
    <w:rsid w:val="00331A6D"/>
    <w:rsid w:val="00331AE5"/>
    <w:rsid w:val="00331BC1"/>
    <w:rsid w:val="00331D40"/>
    <w:rsid w:val="00331D73"/>
    <w:rsid w:val="00331DD5"/>
    <w:rsid w:val="00331E20"/>
    <w:rsid w:val="00331E35"/>
    <w:rsid w:val="00331E3C"/>
    <w:rsid w:val="00331EB4"/>
    <w:rsid w:val="00331ED3"/>
    <w:rsid w:val="00331EE9"/>
    <w:rsid w:val="00331F5F"/>
    <w:rsid w:val="00331FBE"/>
    <w:rsid w:val="00331FD3"/>
    <w:rsid w:val="0033213F"/>
    <w:rsid w:val="00332313"/>
    <w:rsid w:val="003324D2"/>
    <w:rsid w:val="003326A4"/>
    <w:rsid w:val="003326CF"/>
    <w:rsid w:val="003327E5"/>
    <w:rsid w:val="003327F4"/>
    <w:rsid w:val="00332886"/>
    <w:rsid w:val="00332987"/>
    <w:rsid w:val="003329BA"/>
    <w:rsid w:val="003329DD"/>
    <w:rsid w:val="00332A03"/>
    <w:rsid w:val="00332AA5"/>
    <w:rsid w:val="00332B07"/>
    <w:rsid w:val="00332D26"/>
    <w:rsid w:val="00332E12"/>
    <w:rsid w:val="00332E45"/>
    <w:rsid w:val="00332EFD"/>
    <w:rsid w:val="00332F9B"/>
    <w:rsid w:val="003330CE"/>
    <w:rsid w:val="0033313C"/>
    <w:rsid w:val="00333140"/>
    <w:rsid w:val="00333161"/>
    <w:rsid w:val="003331A8"/>
    <w:rsid w:val="003331E4"/>
    <w:rsid w:val="003331F6"/>
    <w:rsid w:val="00333201"/>
    <w:rsid w:val="003333B3"/>
    <w:rsid w:val="00333431"/>
    <w:rsid w:val="003334CD"/>
    <w:rsid w:val="00333556"/>
    <w:rsid w:val="00333605"/>
    <w:rsid w:val="0033374D"/>
    <w:rsid w:val="003337DA"/>
    <w:rsid w:val="00333804"/>
    <w:rsid w:val="0033387F"/>
    <w:rsid w:val="003338D8"/>
    <w:rsid w:val="003339D8"/>
    <w:rsid w:val="00333C87"/>
    <w:rsid w:val="00333CA2"/>
    <w:rsid w:val="00333E93"/>
    <w:rsid w:val="00333EA4"/>
    <w:rsid w:val="00333EB4"/>
    <w:rsid w:val="00333F73"/>
    <w:rsid w:val="0033417D"/>
    <w:rsid w:val="0033421B"/>
    <w:rsid w:val="00334324"/>
    <w:rsid w:val="003343C7"/>
    <w:rsid w:val="00334496"/>
    <w:rsid w:val="003345E3"/>
    <w:rsid w:val="00334620"/>
    <w:rsid w:val="003346B5"/>
    <w:rsid w:val="003349CE"/>
    <w:rsid w:val="00334BD9"/>
    <w:rsid w:val="00334C4E"/>
    <w:rsid w:val="00334C94"/>
    <w:rsid w:val="00334EBB"/>
    <w:rsid w:val="00334F05"/>
    <w:rsid w:val="00334F69"/>
    <w:rsid w:val="003351CB"/>
    <w:rsid w:val="003351E6"/>
    <w:rsid w:val="00335276"/>
    <w:rsid w:val="00335320"/>
    <w:rsid w:val="00335490"/>
    <w:rsid w:val="003356AF"/>
    <w:rsid w:val="003356D8"/>
    <w:rsid w:val="003356E2"/>
    <w:rsid w:val="00335746"/>
    <w:rsid w:val="0033580E"/>
    <w:rsid w:val="00335836"/>
    <w:rsid w:val="00335882"/>
    <w:rsid w:val="00335A0A"/>
    <w:rsid w:val="00335A21"/>
    <w:rsid w:val="00335AE5"/>
    <w:rsid w:val="00335B28"/>
    <w:rsid w:val="00335BC2"/>
    <w:rsid w:val="00335C1C"/>
    <w:rsid w:val="00335DA5"/>
    <w:rsid w:val="00335E18"/>
    <w:rsid w:val="00335E54"/>
    <w:rsid w:val="00335F63"/>
    <w:rsid w:val="00335F76"/>
    <w:rsid w:val="00335FDD"/>
    <w:rsid w:val="00336018"/>
    <w:rsid w:val="00336174"/>
    <w:rsid w:val="003361BC"/>
    <w:rsid w:val="00336238"/>
    <w:rsid w:val="0033634B"/>
    <w:rsid w:val="003364A3"/>
    <w:rsid w:val="003365A6"/>
    <w:rsid w:val="003365D3"/>
    <w:rsid w:val="003368B6"/>
    <w:rsid w:val="0033692B"/>
    <w:rsid w:val="0033692C"/>
    <w:rsid w:val="0033695A"/>
    <w:rsid w:val="00336971"/>
    <w:rsid w:val="00336B23"/>
    <w:rsid w:val="00336B8B"/>
    <w:rsid w:val="00336BB1"/>
    <w:rsid w:val="00336BFA"/>
    <w:rsid w:val="00336EC2"/>
    <w:rsid w:val="00336FA0"/>
    <w:rsid w:val="003370AD"/>
    <w:rsid w:val="0033712A"/>
    <w:rsid w:val="0033716F"/>
    <w:rsid w:val="00337316"/>
    <w:rsid w:val="00337320"/>
    <w:rsid w:val="0033765F"/>
    <w:rsid w:val="00337685"/>
    <w:rsid w:val="00337700"/>
    <w:rsid w:val="00337744"/>
    <w:rsid w:val="003378ED"/>
    <w:rsid w:val="00337992"/>
    <w:rsid w:val="003379F8"/>
    <w:rsid w:val="00337A22"/>
    <w:rsid w:val="00337BE2"/>
    <w:rsid w:val="00337CCC"/>
    <w:rsid w:val="00337E06"/>
    <w:rsid w:val="00337E4A"/>
    <w:rsid w:val="00337EC1"/>
    <w:rsid w:val="00337F7B"/>
    <w:rsid w:val="00337FD6"/>
    <w:rsid w:val="00337FFD"/>
    <w:rsid w:val="00340078"/>
    <w:rsid w:val="003400E2"/>
    <w:rsid w:val="0034028B"/>
    <w:rsid w:val="003402F4"/>
    <w:rsid w:val="0034036F"/>
    <w:rsid w:val="0034055C"/>
    <w:rsid w:val="003405F1"/>
    <w:rsid w:val="00340653"/>
    <w:rsid w:val="00340707"/>
    <w:rsid w:val="00340847"/>
    <w:rsid w:val="0034084E"/>
    <w:rsid w:val="0034097F"/>
    <w:rsid w:val="003409F9"/>
    <w:rsid w:val="00340A07"/>
    <w:rsid w:val="00340D31"/>
    <w:rsid w:val="00340DC8"/>
    <w:rsid w:val="00340DEB"/>
    <w:rsid w:val="00340DFC"/>
    <w:rsid w:val="00340E26"/>
    <w:rsid w:val="00340E48"/>
    <w:rsid w:val="00340E6E"/>
    <w:rsid w:val="00340EFD"/>
    <w:rsid w:val="00341062"/>
    <w:rsid w:val="003410CA"/>
    <w:rsid w:val="003411C0"/>
    <w:rsid w:val="00341241"/>
    <w:rsid w:val="00341259"/>
    <w:rsid w:val="003412A1"/>
    <w:rsid w:val="0034132B"/>
    <w:rsid w:val="00341375"/>
    <w:rsid w:val="0034138D"/>
    <w:rsid w:val="00341598"/>
    <w:rsid w:val="003415A3"/>
    <w:rsid w:val="00341609"/>
    <w:rsid w:val="003416A1"/>
    <w:rsid w:val="003416B5"/>
    <w:rsid w:val="003416C3"/>
    <w:rsid w:val="00341743"/>
    <w:rsid w:val="003417A2"/>
    <w:rsid w:val="003417B6"/>
    <w:rsid w:val="003418A1"/>
    <w:rsid w:val="003419DB"/>
    <w:rsid w:val="00341A18"/>
    <w:rsid w:val="00341BDD"/>
    <w:rsid w:val="00341C5C"/>
    <w:rsid w:val="00341C93"/>
    <w:rsid w:val="00341D54"/>
    <w:rsid w:val="00341D90"/>
    <w:rsid w:val="00341E8D"/>
    <w:rsid w:val="00341ED6"/>
    <w:rsid w:val="00341F72"/>
    <w:rsid w:val="00342011"/>
    <w:rsid w:val="00342111"/>
    <w:rsid w:val="0034215B"/>
    <w:rsid w:val="0034221F"/>
    <w:rsid w:val="00342344"/>
    <w:rsid w:val="00342430"/>
    <w:rsid w:val="003424EA"/>
    <w:rsid w:val="00342597"/>
    <w:rsid w:val="00342693"/>
    <w:rsid w:val="0034286F"/>
    <w:rsid w:val="00342875"/>
    <w:rsid w:val="0034288B"/>
    <w:rsid w:val="003428E8"/>
    <w:rsid w:val="0034293F"/>
    <w:rsid w:val="00342982"/>
    <w:rsid w:val="00342A8C"/>
    <w:rsid w:val="00342B47"/>
    <w:rsid w:val="00342BB7"/>
    <w:rsid w:val="00342BBE"/>
    <w:rsid w:val="00342D97"/>
    <w:rsid w:val="00342FAF"/>
    <w:rsid w:val="0034307A"/>
    <w:rsid w:val="0034307E"/>
    <w:rsid w:val="003430A4"/>
    <w:rsid w:val="003430A8"/>
    <w:rsid w:val="003430C8"/>
    <w:rsid w:val="0034318C"/>
    <w:rsid w:val="00343291"/>
    <w:rsid w:val="0034330D"/>
    <w:rsid w:val="00343401"/>
    <w:rsid w:val="00343402"/>
    <w:rsid w:val="00343451"/>
    <w:rsid w:val="003436D5"/>
    <w:rsid w:val="00343797"/>
    <w:rsid w:val="003437B8"/>
    <w:rsid w:val="003438D4"/>
    <w:rsid w:val="003438EF"/>
    <w:rsid w:val="00343903"/>
    <w:rsid w:val="003439A9"/>
    <w:rsid w:val="003439BF"/>
    <w:rsid w:val="003439F8"/>
    <w:rsid w:val="00343A3A"/>
    <w:rsid w:val="00343AC7"/>
    <w:rsid w:val="00343B66"/>
    <w:rsid w:val="00343BA3"/>
    <w:rsid w:val="00343BE9"/>
    <w:rsid w:val="00343C1E"/>
    <w:rsid w:val="00343D0A"/>
    <w:rsid w:val="00343E3A"/>
    <w:rsid w:val="00343EC4"/>
    <w:rsid w:val="00343F2D"/>
    <w:rsid w:val="00343FCF"/>
    <w:rsid w:val="0034404E"/>
    <w:rsid w:val="003440A9"/>
    <w:rsid w:val="00344128"/>
    <w:rsid w:val="003441D9"/>
    <w:rsid w:val="003441E2"/>
    <w:rsid w:val="003441FB"/>
    <w:rsid w:val="0034421C"/>
    <w:rsid w:val="00344259"/>
    <w:rsid w:val="00344275"/>
    <w:rsid w:val="00344375"/>
    <w:rsid w:val="003443D5"/>
    <w:rsid w:val="00344453"/>
    <w:rsid w:val="00344554"/>
    <w:rsid w:val="003445B7"/>
    <w:rsid w:val="0034473B"/>
    <w:rsid w:val="00344745"/>
    <w:rsid w:val="00344767"/>
    <w:rsid w:val="003447DD"/>
    <w:rsid w:val="00344A2F"/>
    <w:rsid w:val="00344B05"/>
    <w:rsid w:val="00344BA9"/>
    <w:rsid w:val="00344C40"/>
    <w:rsid w:val="00344C75"/>
    <w:rsid w:val="00344C7C"/>
    <w:rsid w:val="00344EBF"/>
    <w:rsid w:val="00344F9A"/>
    <w:rsid w:val="00344FF5"/>
    <w:rsid w:val="00344FFE"/>
    <w:rsid w:val="00345083"/>
    <w:rsid w:val="003450F3"/>
    <w:rsid w:val="00345127"/>
    <w:rsid w:val="00345193"/>
    <w:rsid w:val="00345222"/>
    <w:rsid w:val="0034530E"/>
    <w:rsid w:val="00345363"/>
    <w:rsid w:val="00345427"/>
    <w:rsid w:val="003454CB"/>
    <w:rsid w:val="0034551C"/>
    <w:rsid w:val="00345537"/>
    <w:rsid w:val="0034558E"/>
    <w:rsid w:val="00345679"/>
    <w:rsid w:val="0034568B"/>
    <w:rsid w:val="003456FF"/>
    <w:rsid w:val="0034578A"/>
    <w:rsid w:val="003458A5"/>
    <w:rsid w:val="003458C1"/>
    <w:rsid w:val="003459B3"/>
    <w:rsid w:val="003459F4"/>
    <w:rsid w:val="00345A2C"/>
    <w:rsid w:val="00345A6B"/>
    <w:rsid w:val="00345B36"/>
    <w:rsid w:val="00345C64"/>
    <w:rsid w:val="00345C83"/>
    <w:rsid w:val="00345DC8"/>
    <w:rsid w:val="00345DE0"/>
    <w:rsid w:val="00345E07"/>
    <w:rsid w:val="00345E68"/>
    <w:rsid w:val="00345EDF"/>
    <w:rsid w:val="00345FD6"/>
    <w:rsid w:val="0034602B"/>
    <w:rsid w:val="00346156"/>
    <w:rsid w:val="003461E1"/>
    <w:rsid w:val="003462F7"/>
    <w:rsid w:val="003462FE"/>
    <w:rsid w:val="003463D3"/>
    <w:rsid w:val="003465E2"/>
    <w:rsid w:val="00346693"/>
    <w:rsid w:val="003466C0"/>
    <w:rsid w:val="003466E6"/>
    <w:rsid w:val="00346841"/>
    <w:rsid w:val="003468BB"/>
    <w:rsid w:val="003468F8"/>
    <w:rsid w:val="00346967"/>
    <w:rsid w:val="00346C6D"/>
    <w:rsid w:val="00346D17"/>
    <w:rsid w:val="00346E5F"/>
    <w:rsid w:val="00346FB9"/>
    <w:rsid w:val="003470B9"/>
    <w:rsid w:val="003470D4"/>
    <w:rsid w:val="00347191"/>
    <w:rsid w:val="0034728D"/>
    <w:rsid w:val="0034751B"/>
    <w:rsid w:val="0034765B"/>
    <w:rsid w:val="00347674"/>
    <w:rsid w:val="003476B1"/>
    <w:rsid w:val="003477B3"/>
    <w:rsid w:val="003477C3"/>
    <w:rsid w:val="003477DE"/>
    <w:rsid w:val="00347813"/>
    <w:rsid w:val="0034797B"/>
    <w:rsid w:val="00347C34"/>
    <w:rsid w:val="00347C60"/>
    <w:rsid w:val="00347E7A"/>
    <w:rsid w:val="00347EE0"/>
    <w:rsid w:val="00347F30"/>
    <w:rsid w:val="0035007A"/>
    <w:rsid w:val="003500FA"/>
    <w:rsid w:val="0035028D"/>
    <w:rsid w:val="003502B3"/>
    <w:rsid w:val="00350591"/>
    <w:rsid w:val="003505E8"/>
    <w:rsid w:val="00350669"/>
    <w:rsid w:val="003508B3"/>
    <w:rsid w:val="003508C0"/>
    <w:rsid w:val="00350AA0"/>
    <w:rsid w:val="00350AEF"/>
    <w:rsid w:val="00350B32"/>
    <w:rsid w:val="00350D72"/>
    <w:rsid w:val="00350D85"/>
    <w:rsid w:val="00350E2B"/>
    <w:rsid w:val="00350E36"/>
    <w:rsid w:val="00350F72"/>
    <w:rsid w:val="0035106D"/>
    <w:rsid w:val="00351223"/>
    <w:rsid w:val="00351268"/>
    <w:rsid w:val="0035131A"/>
    <w:rsid w:val="00351326"/>
    <w:rsid w:val="0035146D"/>
    <w:rsid w:val="0035157C"/>
    <w:rsid w:val="00351582"/>
    <w:rsid w:val="003516A4"/>
    <w:rsid w:val="003517E2"/>
    <w:rsid w:val="00351A45"/>
    <w:rsid w:val="00351A46"/>
    <w:rsid w:val="00351AD9"/>
    <w:rsid w:val="00351B66"/>
    <w:rsid w:val="00351CF2"/>
    <w:rsid w:val="00351E48"/>
    <w:rsid w:val="00351F6C"/>
    <w:rsid w:val="00352054"/>
    <w:rsid w:val="00352098"/>
    <w:rsid w:val="0035209D"/>
    <w:rsid w:val="003520B3"/>
    <w:rsid w:val="003521F7"/>
    <w:rsid w:val="0035228B"/>
    <w:rsid w:val="003523DB"/>
    <w:rsid w:val="003524C2"/>
    <w:rsid w:val="003524E8"/>
    <w:rsid w:val="003525BF"/>
    <w:rsid w:val="00352712"/>
    <w:rsid w:val="00352859"/>
    <w:rsid w:val="0035287E"/>
    <w:rsid w:val="00352885"/>
    <w:rsid w:val="003528B7"/>
    <w:rsid w:val="0035294E"/>
    <w:rsid w:val="0035296C"/>
    <w:rsid w:val="00352A01"/>
    <w:rsid w:val="00352A28"/>
    <w:rsid w:val="00352AD6"/>
    <w:rsid w:val="00352DAE"/>
    <w:rsid w:val="00352DC1"/>
    <w:rsid w:val="00352DC4"/>
    <w:rsid w:val="00352E28"/>
    <w:rsid w:val="00352E4E"/>
    <w:rsid w:val="00352F28"/>
    <w:rsid w:val="00353183"/>
    <w:rsid w:val="00353277"/>
    <w:rsid w:val="003532DF"/>
    <w:rsid w:val="003532F2"/>
    <w:rsid w:val="00353389"/>
    <w:rsid w:val="003533E2"/>
    <w:rsid w:val="00353425"/>
    <w:rsid w:val="003534C8"/>
    <w:rsid w:val="0035352E"/>
    <w:rsid w:val="00353699"/>
    <w:rsid w:val="003537AB"/>
    <w:rsid w:val="003537E3"/>
    <w:rsid w:val="00353967"/>
    <w:rsid w:val="003539A9"/>
    <w:rsid w:val="00353A81"/>
    <w:rsid w:val="00353CC0"/>
    <w:rsid w:val="00353E4B"/>
    <w:rsid w:val="00353E99"/>
    <w:rsid w:val="00353EA4"/>
    <w:rsid w:val="00353F89"/>
    <w:rsid w:val="00353FB1"/>
    <w:rsid w:val="00353FF7"/>
    <w:rsid w:val="0035404B"/>
    <w:rsid w:val="00354050"/>
    <w:rsid w:val="003540C9"/>
    <w:rsid w:val="003540D5"/>
    <w:rsid w:val="003540D8"/>
    <w:rsid w:val="003543E1"/>
    <w:rsid w:val="00354450"/>
    <w:rsid w:val="00354666"/>
    <w:rsid w:val="0035467F"/>
    <w:rsid w:val="0035469A"/>
    <w:rsid w:val="003546C3"/>
    <w:rsid w:val="003546F9"/>
    <w:rsid w:val="00354701"/>
    <w:rsid w:val="003547C1"/>
    <w:rsid w:val="003547C5"/>
    <w:rsid w:val="003548E6"/>
    <w:rsid w:val="003548F5"/>
    <w:rsid w:val="003549E0"/>
    <w:rsid w:val="00354A8E"/>
    <w:rsid w:val="00354B1A"/>
    <w:rsid w:val="00354B41"/>
    <w:rsid w:val="00354C31"/>
    <w:rsid w:val="00354F91"/>
    <w:rsid w:val="0035510C"/>
    <w:rsid w:val="00355282"/>
    <w:rsid w:val="00355422"/>
    <w:rsid w:val="0035549A"/>
    <w:rsid w:val="003554B0"/>
    <w:rsid w:val="003555D3"/>
    <w:rsid w:val="00355708"/>
    <w:rsid w:val="00355751"/>
    <w:rsid w:val="003557A2"/>
    <w:rsid w:val="0035585A"/>
    <w:rsid w:val="003558F3"/>
    <w:rsid w:val="00355949"/>
    <w:rsid w:val="00355A6F"/>
    <w:rsid w:val="00355B33"/>
    <w:rsid w:val="00355B4E"/>
    <w:rsid w:val="00355B68"/>
    <w:rsid w:val="00355BC7"/>
    <w:rsid w:val="00355D3F"/>
    <w:rsid w:val="00355D53"/>
    <w:rsid w:val="00355E04"/>
    <w:rsid w:val="00355E54"/>
    <w:rsid w:val="00355EA6"/>
    <w:rsid w:val="003560F3"/>
    <w:rsid w:val="003561B8"/>
    <w:rsid w:val="00356234"/>
    <w:rsid w:val="003564C7"/>
    <w:rsid w:val="00356701"/>
    <w:rsid w:val="00356855"/>
    <w:rsid w:val="003568EA"/>
    <w:rsid w:val="00356924"/>
    <w:rsid w:val="00356982"/>
    <w:rsid w:val="00356A24"/>
    <w:rsid w:val="00356BB5"/>
    <w:rsid w:val="00356C62"/>
    <w:rsid w:val="00356CC8"/>
    <w:rsid w:val="00356D04"/>
    <w:rsid w:val="00356F59"/>
    <w:rsid w:val="0035701B"/>
    <w:rsid w:val="0035702D"/>
    <w:rsid w:val="00357157"/>
    <w:rsid w:val="003572C0"/>
    <w:rsid w:val="00357359"/>
    <w:rsid w:val="00357367"/>
    <w:rsid w:val="0035743A"/>
    <w:rsid w:val="0035744A"/>
    <w:rsid w:val="003574EF"/>
    <w:rsid w:val="00357687"/>
    <w:rsid w:val="0035778C"/>
    <w:rsid w:val="00357837"/>
    <w:rsid w:val="00357843"/>
    <w:rsid w:val="0035792C"/>
    <w:rsid w:val="00357970"/>
    <w:rsid w:val="00357A1C"/>
    <w:rsid w:val="00357BB5"/>
    <w:rsid w:val="00357C5E"/>
    <w:rsid w:val="00357D21"/>
    <w:rsid w:val="00357DF0"/>
    <w:rsid w:val="00357F74"/>
    <w:rsid w:val="00357FB7"/>
    <w:rsid w:val="00359CD2"/>
    <w:rsid w:val="0035FFD2"/>
    <w:rsid w:val="00360106"/>
    <w:rsid w:val="00360311"/>
    <w:rsid w:val="003603FE"/>
    <w:rsid w:val="00360464"/>
    <w:rsid w:val="003605D6"/>
    <w:rsid w:val="003607BC"/>
    <w:rsid w:val="00360ADC"/>
    <w:rsid w:val="00360AF0"/>
    <w:rsid w:val="00360BEE"/>
    <w:rsid w:val="00360C95"/>
    <w:rsid w:val="00360D20"/>
    <w:rsid w:val="00360EA6"/>
    <w:rsid w:val="00361008"/>
    <w:rsid w:val="00361092"/>
    <w:rsid w:val="00361148"/>
    <w:rsid w:val="00361245"/>
    <w:rsid w:val="00361255"/>
    <w:rsid w:val="003612CF"/>
    <w:rsid w:val="00361330"/>
    <w:rsid w:val="00361379"/>
    <w:rsid w:val="003614C3"/>
    <w:rsid w:val="003614C5"/>
    <w:rsid w:val="0036151A"/>
    <w:rsid w:val="003616B6"/>
    <w:rsid w:val="00361730"/>
    <w:rsid w:val="00361784"/>
    <w:rsid w:val="0036180D"/>
    <w:rsid w:val="0036194E"/>
    <w:rsid w:val="003619FC"/>
    <w:rsid w:val="00361A51"/>
    <w:rsid w:val="00361A69"/>
    <w:rsid w:val="00361A86"/>
    <w:rsid w:val="00361AE3"/>
    <w:rsid w:val="00361B90"/>
    <w:rsid w:val="00361BA8"/>
    <w:rsid w:val="00361D44"/>
    <w:rsid w:val="00361E9F"/>
    <w:rsid w:val="00361EA7"/>
    <w:rsid w:val="003621CF"/>
    <w:rsid w:val="00362246"/>
    <w:rsid w:val="0036227B"/>
    <w:rsid w:val="00362481"/>
    <w:rsid w:val="003624C3"/>
    <w:rsid w:val="003624E7"/>
    <w:rsid w:val="00362561"/>
    <w:rsid w:val="003626C1"/>
    <w:rsid w:val="0036270C"/>
    <w:rsid w:val="0036287B"/>
    <w:rsid w:val="003628D1"/>
    <w:rsid w:val="00362AA8"/>
    <w:rsid w:val="00362C03"/>
    <w:rsid w:val="00362C63"/>
    <w:rsid w:val="00362EAF"/>
    <w:rsid w:val="00362EE7"/>
    <w:rsid w:val="00362F98"/>
    <w:rsid w:val="00363137"/>
    <w:rsid w:val="003631DB"/>
    <w:rsid w:val="0036321E"/>
    <w:rsid w:val="003632CD"/>
    <w:rsid w:val="003632E4"/>
    <w:rsid w:val="00363316"/>
    <w:rsid w:val="00363344"/>
    <w:rsid w:val="00363470"/>
    <w:rsid w:val="003634A3"/>
    <w:rsid w:val="003634E1"/>
    <w:rsid w:val="00363530"/>
    <w:rsid w:val="00363657"/>
    <w:rsid w:val="003636F7"/>
    <w:rsid w:val="0036377C"/>
    <w:rsid w:val="0036378B"/>
    <w:rsid w:val="003638C1"/>
    <w:rsid w:val="003638E3"/>
    <w:rsid w:val="00363997"/>
    <w:rsid w:val="003639D7"/>
    <w:rsid w:val="00363C32"/>
    <w:rsid w:val="00363C70"/>
    <w:rsid w:val="00363CDA"/>
    <w:rsid w:val="00363CF9"/>
    <w:rsid w:val="00363D83"/>
    <w:rsid w:val="00363E4E"/>
    <w:rsid w:val="00363E9D"/>
    <w:rsid w:val="00363F76"/>
    <w:rsid w:val="00364111"/>
    <w:rsid w:val="0036412A"/>
    <w:rsid w:val="0036414A"/>
    <w:rsid w:val="00364290"/>
    <w:rsid w:val="0036429E"/>
    <w:rsid w:val="00364319"/>
    <w:rsid w:val="0036436F"/>
    <w:rsid w:val="003644CB"/>
    <w:rsid w:val="003644D4"/>
    <w:rsid w:val="003644DB"/>
    <w:rsid w:val="0036450D"/>
    <w:rsid w:val="00364549"/>
    <w:rsid w:val="0036464B"/>
    <w:rsid w:val="00364694"/>
    <w:rsid w:val="003646B1"/>
    <w:rsid w:val="0036470B"/>
    <w:rsid w:val="0036472A"/>
    <w:rsid w:val="0036480B"/>
    <w:rsid w:val="003648C3"/>
    <w:rsid w:val="0036497F"/>
    <w:rsid w:val="00364B10"/>
    <w:rsid w:val="00364B38"/>
    <w:rsid w:val="00364B64"/>
    <w:rsid w:val="00364BEB"/>
    <w:rsid w:val="00364C02"/>
    <w:rsid w:val="00364C4A"/>
    <w:rsid w:val="00364C60"/>
    <w:rsid w:val="00364C88"/>
    <w:rsid w:val="00364EF3"/>
    <w:rsid w:val="00364FBF"/>
    <w:rsid w:val="003650DC"/>
    <w:rsid w:val="00365167"/>
    <w:rsid w:val="003651DF"/>
    <w:rsid w:val="00365295"/>
    <w:rsid w:val="00365343"/>
    <w:rsid w:val="003653FA"/>
    <w:rsid w:val="003654E9"/>
    <w:rsid w:val="00365500"/>
    <w:rsid w:val="003655D4"/>
    <w:rsid w:val="003656D3"/>
    <w:rsid w:val="00365911"/>
    <w:rsid w:val="0036591B"/>
    <w:rsid w:val="00365972"/>
    <w:rsid w:val="00365984"/>
    <w:rsid w:val="0036598E"/>
    <w:rsid w:val="003659B5"/>
    <w:rsid w:val="003659D7"/>
    <w:rsid w:val="00365A64"/>
    <w:rsid w:val="00365C5D"/>
    <w:rsid w:val="00365CC1"/>
    <w:rsid w:val="00365D4D"/>
    <w:rsid w:val="00365D8E"/>
    <w:rsid w:val="00365E9B"/>
    <w:rsid w:val="00365F47"/>
    <w:rsid w:val="00365F49"/>
    <w:rsid w:val="00365F82"/>
    <w:rsid w:val="00365F8C"/>
    <w:rsid w:val="00366116"/>
    <w:rsid w:val="003661CC"/>
    <w:rsid w:val="00366200"/>
    <w:rsid w:val="0036620F"/>
    <w:rsid w:val="0036627C"/>
    <w:rsid w:val="0036628E"/>
    <w:rsid w:val="00366361"/>
    <w:rsid w:val="003664EE"/>
    <w:rsid w:val="00366514"/>
    <w:rsid w:val="0036651D"/>
    <w:rsid w:val="00366564"/>
    <w:rsid w:val="00366566"/>
    <w:rsid w:val="003665F9"/>
    <w:rsid w:val="003666CC"/>
    <w:rsid w:val="0036675E"/>
    <w:rsid w:val="00366807"/>
    <w:rsid w:val="00366911"/>
    <w:rsid w:val="00366A1D"/>
    <w:rsid w:val="00366B4E"/>
    <w:rsid w:val="00366C8C"/>
    <w:rsid w:val="00366CF6"/>
    <w:rsid w:val="003671F8"/>
    <w:rsid w:val="0036721C"/>
    <w:rsid w:val="003672BB"/>
    <w:rsid w:val="003672F3"/>
    <w:rsid w:val="00367317"/>
    <w:rsid w:val="0036736A"/>
    <w:rsid w:val="00367439"/>
    <w:rsid w:val="003674A3"/>
    <w:rsid w:val="003674B0"/>
    <w:rsid w:val="003674BC"/>
    <w:rsid w:val="0036751F"/>
    <w:rsid w:val="0036756C"/>
    <w:rsid w:val="003675F8"/>
    <w:rsid w:val="003676BE"/>
    <w:rsid w:val="003676E0"/>
    <w:rsid w:val="0036777D"/>
    <w:rsid w:val="00367820"/>
    <w:rsid w:val="00367855"/>
    <w:rsid w:val="003678A3"/>
    <w:rsid w:val="00367C0A"/>
    <w:rsid w:val="00367CC3"/>
    <w:rsid w:val="00367D3F"/>
    <w:rsid w:val="00367EB3"/>
    <w:rsid w:val="00367FF8"/>
    <w:rsid w:val="003700FB"/>
    <w:rsid w:val="003704BC"/>
    <w:rsid w:val="003704E8"/>
    <w:rsid w:val="00370542"/>
    <w:rsid w:val="0037069C"/>
    <w:rsid w:val="0037085C"/>
    <w:rsid w:val="0037091F"/>
    <w:rsid w:val="00370922"/>
    <w:rsid w:val="00370AB0"/>
    <w:rsid w:val="00370AED"/>
    <w:rsid w:val="00370BDB"/>
    <w:rsid w:val="00370BF6"/>
    <w:rsid w:val="00370E00"/>
    <w:rsid w:val="00370E26"/>
    <w:rsid w:val="00370EC3"/>
    <w:rsid w:val="0037108C"/>
    <w:rsid w:val="0037116F"/>
    <w:rsid w:val="00371174"/>
    <w:rsid w:val="00371195"/>
    <w:rsid w:val="00371197"/>
    <w:rsid w:val="003711A0"/>
    <w:rsid w:val="003711C4"/>
    <w:rsid w:val="003711ED"/>
    <w:rsid w:val="003712A2"/>
    <w:rsid w:val="00371369"/>
    <w:rsid w:val="0037136E"/>
    <w:rsid w:val="00371435"/>
    <w:rsid w:val="0037157E"/>
    <w:rsid w:val="00371596"/>
    <w:rsid w:val="003716E0"/>
    <w:rsid w:val="00371730"/>
    <w:rsid w:val="003717DE"/>
    <w:rsid w:val="00371814"/>
    <w:rsid w:val="00371887"/>
    <w:rsid w:val="00371B48"/>
    <w:rsid w:val="00371C32"/>
    <w:rsid w:val="00371D3B"/>
    <w:rsid w:val="00371E1E"/>
    <w:rsid w:val="00371E42"/>
    <w:rsid w:val="00371FB8"/>
    <w:rsid w:val="00372033"/>
    <w:rsid w:val="0037215C"/>
    <w:rsid w:val="003721F1"/>
    <w:rsid w:val="0037239D"/>
    <w:rsid w:val="003724DE"/>
    <w:rsid w:val="0037274B"/>
    <w:rsid w:val="00372844"/>
    <w:rsid w:val="003728FF"/>
    <w:rsid w:val="00372901"/>
    <w:rsid w:val="003729AC"/>
    <w:rsid w:val="003729E5"/>
    <w:rsid w:val="00372A56"/>
    <w:rsid w:val="00372A87"/>
    <w:rsid w:val="00372B02"/>
    <w:rsid w:val="00372B62"/>
    <w:rsid w:val="00372BA4"/>
    <w:rsid w:val="00372BC8"/>
    <w:rsid w:val="00372E5E"/>
    <w:rsid w:val="00372F01"/>
    <w:rsid w:val="00372FC9"/>
    <w:rsid w:val="0037304D"/>
    <w:rsid w:val="00373108"/>
    <w:rsid w:val="003731E3"/>
    <w:rsid w:val="0037336D"/>
    <w:rsid w:val="00373457"/>
    <w:rsid w:val="003734F3"/>
    <w:rsid w:val="003736DA"/>
    <w:rsid w:val="0037373E"/>
    <w:rsid w:val="0037376B"/>
    <w:rsid w:val="003737E4"/>
    <w:rsid w:val="003737F5"/>
    <w:rsid w:val="003738B4"/>
    <w:rsid w:val="0037391E"/>
    <w:rsid w:val="0037392F"/>
    <w:rsid w:val="0037394C"/>
    <w:rsid w:val="00373BF9"/>
    <w:rsid w:val="00373C7E"/>
    <w:rsid w:val="00373D08"/>
    <w:rsid w:val="00373D3E"/>
    <w:rsid w:val="00373D89"/>
    <w:rsid w:val="00373D9F"/>
    <w:rsid w:val="00373E8C"/>
    <w:rsid w:val="00373EE7"/>
    <w:rsid w:val="0037402D"/>
    <w:rsid w:val="003740F3"/>
    <w:rsid w:val="003742B5"/>
    <w:rsid w:val="003742E2"/>
    <w:rsid w:val="003742E6"/>
    <w:rsid w:val="00374381"/>
    <w:rsid w:val="003743D6"/>
    <w:rsid w:val="00374450"/>
    <w:rsid w:val="0037449B"/>
    <w:rsid w:val="003744D8"/>
    <w:rsid w:val="0037452F"/>
    <w:rsid w:val="0037461C"/>
    <w:rsid w:val="0037462A"/>
    <w:rsid w:val="0037478B"/>
    <w:rsid w:val="0037479B"/>
    <w:rsid w:val="003747D5"/>
    <w:rsid w:val="0037498F"/>
    <w:rsid w:val="003749E4"/>
    <w:rsid w:val="00374AD9"/>
    <w:rsid w:val="00374B73"/>
    <w:rsid w:val="00374C98"/>
    <w:rsid w:val="00374D41"/>
    <w:rsid w:val="00374DEB"/>
    <w:rsid w:val="00374E3A"/>
    <w:rsid w:val="00375010"/>
    <w:rsid w:val="0037508A"/>
    <w:rsid w:val="0037527D"/>
    <w:rsid w:val="003752EF"/>
    <w:rsid w:val="0037534F"/>
    <w:rsid w:val="003753E7"/>
    <w:rsid w:val="00375477"/>
    <w:rsid w:val="003754CC"/>
    <w:rsid w:val="00375541"/>
    <w:rsid w:val="003756A5"/>
    <w:rsid w:val="00375723"/>
    <w:rsid w:val="0037573A"/>
    <w:rsid w:val="0037581B"/>
    <w:rsid w:val="0037581E"/>
    <w:rsid w:val="00375932"/>
    <w:rsid w:val="00375B6F"/>
    <w:rsid w:val="00375C07"/>
    <w:rsid w:val="00375E08"/>
    <w:rsid w:val="00375E2B"/>
    <w:rsid w:val="00375E2F"/>
    <w:rsid w:val="00375F78"/>
    <w:rsid w:val="0037603A"/>
    <w:rsid w:val="00376181"/>
    <w:rsid w:val="003761C4"/>
    <w:rsid w:val="00376206"/>
    <w:rsid w:val="0037621D"/>
    <w:rsid w:val="00376266"/>
    <w:rsid w:val="00376414"/>
    <w:rsid w:val="00376424"/>
    <w:rsid w:val="00376542"/>
    <w:rsid w:val="00376613"/>
    <w:rsid w:val="00376645"/>
    <w:rsid w:val="00376648"/>
    <w:rsid w:val="003766BF"/>
    <w:rsid w:val="003769B7"/>
    <w:rsid w:val="00376BCC"/>
    <w:rsid w:val="00376CC0"/>
    <w:rsid w:val="00376CDA"/>
    <w:rsid w:val="00376E61"/>
    <w:rsid w:val="00376F6A"/>
    <w:rsid w:val="00376FEA"/>
    <w:rsid w:val="003770B1"/>
    <w:rsid w:val="003770F6"/>
    <w:rsid w:val="00377137"/>
    <w:rsid w:val="0037719A"/>
    <w:rsid w:val="003772B6"/>
    <w:rsid w:val="003772CA"/>
    <w:rsid w:val="003773D9"/>
    <w:rsid w:val="003773DB"/>
    <w:rsid w:val="00377404"/>
    <w:rsid w:val="00377412"/>
    <w:rsid w:val="003774C3"/>
    <w:rsid w:val="003775AD"/>
    <w:rsid w:val="00377768"/>
    <w:rsid w:val="00377908"/>
    <w:rsid w:val="003779C0"/>
    <w:rsid w:val="00377A5B"/>
    <w:rsid w:val="00377AEC"/>
    <w:rsid w:val="00377C24"/>
    <w:rsid w:val="00377C7F"/>
    <w:rsid w:val="00377CFE"/>
    <w:rsid w:val="00377FD4"/>
    <w:rsid w:val="00380164"/>
    <w:rsid w:val="00380290"/>
    <w:rsid w:val="003802B6"/>
    <w:rsid w:val="0038031D"/>
    <w:rsid w:val="00380577"/>
    <w:rsid w:val="003805C7"/>
    <w:rsid w:val="003805D1"/>
    <w:rsid w:val="00380638"/>
    <w:rsid w:val="00380665"/>
    <w:rsid w:val="0038069E"/>
    <w:rsid w:val="003806B9"/>
    <w:rsid w:val="003806F6"/>
    <w:rsid w:val="00380790"/>
    <w:rsid w:val="0038086A"/>
    <w:rsid w:val="00380980"/>
    <w:rsid w:val="00380983"/>
    <w:rsid w:val="00380985"/>
    <w:rsid w:val="00380AD8"/>
    <w:rsid w:val="00380B71"/>
    <w:rsid w:val="00380BC7"/>
    <w:rsid w:val="00380D1A"/>
    <w:rsid w:val="00380EFC"/>
    <w:rsid w:val="00380F67"/>
    <w:rsid w:val="00380FB1"/>
    <w:rsid w:val="0038107B"/>
    <w:rsid w:val="00381148"/>
    <w:rsid w:val="003812E8"/>
    <w:rsid w:val="003813BB"/>
    <w:rsid w:val="0038143B"/>
    <w:rsid w:val="003816EE"/>
    <w:rsid w:val="003816F1"/>
    <w:rsid w:val="00381749"/>
    <w:rsid w:val="003817A3"/>
    <w:rsid w:val="003818D5"/>
    <w:rsid w:val="0038194D"/>
    <w:rsid w:val="003819BA"/>
    <w:rsid w:val="00381A25"/>
    <w:rsid w:val="00381B06"/>
    <w:rsid w:val="00381B6E"/>
    <w:rsid w:val="00381BBD"/>
    <w:rsid w:val="00381D4C"/>
    <w:rsid w:val="00381DA3"/>
    <w:rsid w:val="00381DE9"/>
    <w:rsid w:val="00381E0A"/>
    <w:rsid w:val="00381E1A"/>
    <w:rsid w:val="00381E9C"/>
    <w:rsid w:val="00381F09"/>
    <w:rsid w:val="00381FA7"/>
    <w:rsid w:val="00382014"/>
    <w:rsid w:val="0038208E"/>
    <w:rsid w:val="0038214E"/>
    <w:rsid w:val="003821E6"/>
    <w:rsid w:val="00382330"/>
    <w:rsid w:val="00382372"/>
    <w:rsid w:val="00382421"/>
    <w:rsid w:val="00382589"/>
    <w:rsid w:val="00382796"/>
    <w:rsid w:val="003827A1"/>
    <w:rsid w:val="003828CB"/>
    <w:rsid w:val="00382A17"/>
    <w:rsid w:val="00382A30"/>
    <w:rsid w:val="00382A4E"/>
    <w:rsid w:val="00382AE4"/>
    <w:rsid w:val="00382B50"/>
    <w:rsid w:val="00382C20"/>
    <w:rsid w:val="00382DF7"/>
    <w:rsid w:val="00382DFA"/>
    <w:rsid w:val="00382E06"/>
    <w:rsid w:val="00382F33"/>
    <w:rsid w:val="00383092"/>
    <w:rsid w:val="0038310C"/>
    <w:rsid w:val="003831B1"/>
    <w:rsid w:val="003831F0"/>
    <w:rsid w:val="00383215"/>
    <w:rsid w:val="00383232"/>
    <w:rsid w:val="003832DD"/>
    <w:rsid w:val="00383446"/>
    <w:rsid w:val="00383448"/>
    <w:rsid w:val="0038346C"/>
    <w:rsid w:val="0038352E"/>
    <w:rsid w:val="003835BB"/>
    <w:rsid w:val="0038362D"/>
    <w:rsid w:val="0038368A"/>
    <w:rsid w:val="003836ED"/>
    <w:rsid w:val="00383778"/>
    <w:rsid w:val="00383A4D"/>
    <w:rsid w:val="00383B76"/>
    <w:rsid w:val="00383C3A"/>
    <w:rsid w:val="00383C45"/>
    <w:rsid w:val="00383C8A"/>
    <w:rsid w:val="00383E01"/>
    <w:rsid w:val="00383F11"/>
    <w:rsid w:val="00383F32"/>
    <w:rsid w:val="00383F6E"/>
    <w:rsid w:val="00383F70"/>
    <w:rsid w:val="00383F96"/>
    <w:rsid w:val="00383FC9"/>
    <w:rsid w:val="003840A3"/>
    <w:rsid w:val="003841B4"/>
    <w:rsid w:val="003841B9"/>
    <w:rsid w:val="00384252"/>
    <w:rsid w:val="00384387"/>
    <w:rsid w:val="00384530"/>
    <w:rsid w:val="0038465C"/>
    <w:rsid w:val="00384853"/>
    <w:rsid w:val="0038485B"/>
    <w:rsid w:val="003848F8"/>
    <w:rsid w:val="003849DD"/>
    <w:rsid w:val="00384B14"/>
    <w:rsid w:val="00384B47"/>
    <w:rsid w:val="00384BF6"/>
    <w:rsid w:val="00384C7B"/>
    <w:rsid w:val="00384E6F"/>
    <w:rsid w:val="003850C6"/>
    <w:rsid w:val="00385109"/>
    <w:rsid w:val="00385211"/>
    <w:rsid w:val="003852AA"/>
    <w:rsid w:val="003853EF"/>
    <w:rsid w:val="00385434"/>
    <w:rsid w:val="003855FC"/>
    <w:rsid w:val="00385735"/>
    <w:rsid w:val="00385810"/>
    <w:rsid w:val="00385B18"/>
    <w:rsid w:val="00385B1B"/>
    <w:rsid w:val="00385B86"/>
    <w:rsid w:val="00385C09"/>
    <w:rsid w:val="00385C14"/>
    <w:rsid w:val="00385C32"/>
    <w:rsid w:val="00385CF5"/>
    <w:rsid w:val="00385DB6"/>
    <w:rsid w:val="00385ECD"/>
    <w:rsid w:val="00385FC8"/>
    <w:rsid w:val="00386038"/>
    <w:rsid w:val="0038603A"/>
    <w:rsid w:val="003861C6"/>
    <w:rsid w:val="00386304"/>
    <w:rsid w:val="00386315"/>
    <w:rsid w:val="00386319"/>
    <w:rsid w:val="00386355"/>
    <w:rsid w:val="003863C6"/>
    <w:rsid w:val="0038640E"/>
    <w:rsid w:val="003866A9"/>
    <w:rsid w:val="003866C1"/>
    <w:rsid w:val="003866C8"/>
    <w:rsid w:val="0038680A"/>
    <w:rsid w:val="003869EE"/>
    <w:rsid w:val="003869FB"/>
    <w:rsid w:val="00386B07"/>
    <w:rsid w:val="00386C76"/>
    <w:rsid w:val="00386C87"/>
    <w:rsid w:val="00386CA6"/>
    <w:rsid w:val="00386E2C"/>
    <w:rsid w:val="00386F39"/>
    <w:rsid w:val="00386F6F"/>
    <w:rsid w:val="00387021"/>
    <w:rsid w:val="003871B0"/>
    <w:rsid w:val="003871F3"/>
    <w:rsid w:val="003872F8"/>
    <w:rsid w:val="00387428"/>
    <w:rsid w:val="00387463"/>
    <w:rsid w:val="00387472"/>
    <w:rsid w:val="00387548"/>
    <w:rsid w:val="00387583"/>
    <w:rsid w:val="00387858"/>
    <w:rsid w:val="003878F3"/>
    <w:rsid w:val="00387969"/>
    <w:rsid w:val="0038796E"/>
    <w:rsid w:val="003879B8"/>
    <w:rsid w:val="003879EC"/>
    <w:rsid w:val="00387A1E"/>
    <w:rsid w:val="00387A36"/>
    <w:rsid w:val="00387B6E"/>
    <w:rsid w:val="00387B84"/>
    <w:rsid w:val="00387B9F"/>
    <w:rsid w:val="00387C5D"/>
    <w:rsid w:val="00387CB0"/>
    <w:rsid w:val="00387CC9"/>
    <w:rsid w:val="00387D2B"/>
    <w:rsid w:val="00387E8E"/>
    <w:rsid w:val="00390000"/>
    <w:rsid w:val="00390100"/>
    <w:rsid w:val="003901FB"/>
    <w:rsid w:val="003902E6"/>
    <w:rsid w:val="00390337"/>
    <w:rsid w:val="003904AA"/>
    <w:rsid w:val="003904BE"/>
    <w:rsid w:val="003904E5"/>
    <w:rsid w:val="00390591"/>
    <w:rsid w:val="0039063D"/>
    <w:rsid w:val="00390661"/>
    <w:rsid w:val="003906A6"/>
    <w:rsid w:val="003906B9"/>
    <w:rsid w:val="00390753"/>
    <w:rsid w:val="003907AE"/>
    <w:rsid w:val="003907F6"/>
    <w:rsid w:val="003909D7"/>
    <w:rsid w:val="00390AAE"/>
    <w:rsid w:val="00390B79"/>
    <w:rsid w:val="00390B87"/>
    <w:rsid w:val="00390BD0"/>
    <w:rsid w:val="00390C5A"/>
    <w:rsid w:val="00390C93"/>
    <w:rsid w:val="00390D08"/>
    <w:rsid w:val="00391207"/>
    <w:rsid w:val="003912F0"/>
    <w:rsid w:val="0039136A"/>
    <w:rsid w:val="0039142B"/>
    <w:rsid w:val="003914C5"/>
    <w:rsid w:val="00391547"/>
    <w:rsid w:val="00391625"/>
    <w:rsid w:val="00391661"/>
    <w:rsid w:val="003916B8"/>
    <w:rsid w:val="00391716"/>
    <w:rsid w:val="0039175D"/>
    <w:rsid w:val="003917DF"/>
    <w:rsid w:val="00391AC1"/>
    <w:rsid w:val="00391AC4"/>
    <w:rsid w:val="00391B19"/>
    <w:rsid w:val="00391BD6"/>
    <w:rsid w:val="00391C36"/>
    <w:rsid w:val="00391D6C"/>
    <w:rsid w:val="00391D99"/>
    <w:rsid w:val="00391DAF"/>
    <w:rsid w:val="00391DD1"/>
    <w:rsid w:val="0039203C"/>
    <w:rsid w:val="0039204C"/>
    <w:rsid w:val="003920C8"/>
    <w:rsid w:val="00392227"/>
    <w:rsid w:val="00392318"/>
    <w:rsid w:val="0039235B"/>
    <w:rsid w:val="00392418"/>
    <w:rsid w:val="003925A6"/>
    <w:rsid w:val="00392658"/>
    <w:rsid w:val="00392689"/>
    <w:rsid w:val="003926DC"/>
    <w:rsid w:val="003926FA"/>
    <w:rsid w:val="003928EC"/>
    <w:rsid w:val="00392918"/>
    <w:rsid w:val="00392A70"/>
    <w:rsid w:val="00392AB0"/>
    <w:rsid w:val="00392AB7"/>
    <w:rsid w:val="00392AE4"/>
    <w:rsid w:val="00392BA3"/>
    <w:rsid w:val="00392D10"/>
    <w:rsid w:val="00392D20"/>
    <w:rsid w:val="00392DE0"/>
    <w:rsid w:val="00392DE9"/>
    <w:rsid w:val="00392F7D"/>
    <w:rsid w:val="0039303A"/>
    <w:rsid w:val="0039311C"/>
    <w:rsid w:val="00393158"/>
    <w:rsid w:val="00393243"/>
    <w:rsid w:val="0039324A"/>
    <w:rsid w:val="003933B0"/>
    <w:rsid w:val="003934CE"/>
    <w:rsid w:val="0039377C"/>
    <w:rsid w:val="003937C4"/>
    <w:rsid w:val="003937CB"/>
    <w:rsid w:val="003938E9"/>
    <w:rsid w:val="00393933"/>
    <w:rsid w:val="003939ED"/>
    <w:rsid w:val="00393BAC"/>
    <w:rsid w:val="00393C63"/>
    <w:rsid w:val="00393D05"/>
    <w:rsid w:val="00393DF2"/>
    <w:rsid w:val="00393FB9"/>
    <w:rsid w:val="00393FEF"/>
    <w:rsid w:val="003940AD"/>
    <w:rsid w:val="0039411E"/>
    <w:rsid w:val="0039412B"/>
    <w:rsid w:val="0039414C"/>
    <w:rsid w:val="00394189"/>
    <w:rsid w:val="003941CE"/>
    <w:rsid w:val="00394201"/>
    <w:rsid w:val="00394304"/>
    <w:rsid w:val="003943DF"/>
    <w:rsid w:val="00394407"/>
    <w:rsid w:val="0039444E"/>
    <w:rsid w:val="0039445E"/>
    <w:rsid w:val="003944B6"/>
    <w:rsid w:val="003945CB"/>
    <w:rsid w:val="00394858"/>
    <w:rsid w:val="003948E6"/>
    <w:rsid w:val="003949BE"/>
    <w:rsid w:val="003949D0"/>
    <w:rsid w:val="00394A8E"/>
    <w:rsid w:val="00394AC7"/>
    <w:rsid w:val="00394C0C"/>
    <w:rsid w:val="00394C26"/>
    <w:rsid w:val="00394C38"/>
    <w:rsid w:val="00394CC1"/>
    <w:rsid w:val="00394D0E"/>
    <w:rsid w:val="00394E51"/>
    <w:rsid w:val="00394EE9"/>
    <w:rsid w:val="00394EFE"/>
    <w:rsid w:val="003950C0"/>
    <w:rsid w:val="00395182"/>
    <w:rsid w:val="003951FC"/>
    <w:rsid w:val="003953D1"/>
    <w:rsid w:val="003953DC"/>
    <w:rsid w:val="0039540B"/>
    <w:rsid w:val="003954C3"/>
    <w:rsid w:val="003955A7"/>
    <w:rsid w:val="003955CD"/>
    <w:rsid w:val="00395679"/>
    <w:rsid w:val="003958D2"/>
    <w:rsid w:val="00395926"/>
    <w:rsid w:val="00395A9A"/>
    <w:rsid w:val="00395CB1"/>
    <w:rsid w:val="00395DBC"/>
    <w:rsid w:val="00396088"/>
    <w:rsid w:val="003960CC"/>
    <w:rsid w:val="00396147"/>
    <w:rsid w:val="00396229"/>
    <w:rsid w:val="00396282"/>
    <w:rsid w:val="00396677"/>
    <w:rsid w:val="003967DD"/>
    <w:rsid w:val="0039685C"/>
    <w:rsid w:val="0039686C"/>
    <w:rsid w:val="003968A9"/>
    <w:rsid w:val="00396A22"/>
    <w:rsid w:val="00396AA7"/>
    <w:rsid w:val="00396ADF"/>
    <w:rsid w:val="00396AF9"/>
    <w:rsid w:val="00396B68"/>
    <w:rsid w:val="00396D50"/>
    <w:rsid w:val="00396E35"/>
    <w:rsid w:val="00396E3A"/>
    <w:rsid w:val="00396F0C"/>
    <w:rsid w:val="00396F34"/>
    <w:rsid w:val="00396F8B"/>
    <w:rsid w:val="00397041"/>
    <w:rsid w:val="0039706D"/>
    <w:rsid w:val="003970A1"/>
    <w:rsid w:val="00397146"/>
    <w:rsid w:val="003971C1"/>
    <w:rsid w:val="003972E6"/>
    <w:rsid w:val="003972F0"/>
    <w:rsid w:val="0039742C"/>
    <w:rsid w:val="0039742F"/>
    <w:rsid w:val="003974F9"/>
    <w:rsid w:val="0039755D"/>
    <w:rsid w:val="00397671"/>
    <w:rsid w:val="003976E4"/>
    <w:rsid w:val="003978CE"/>
    <w:rsid w:val="00397926"/>
    <w:rsid w:val="003979A5"/>
    <w:rsid w:val="003979DC"/>
    <w:rsid w:val="003979FE"/>
    <w:rsid w:val="00397A9F"/>
    <w:rsid w:val="00397BEF"/>
    <w:rsid w:val="00397C0F"/>
    <w:rsid w:val="00397CB3"/>
    <w:rsid w:val="00397CC9"/>
    <w:rsid w:val="00397EAE"/>
    <w:rsid w:val="00397F46"/>
    <w:rsid w:val="0039F86C"/>
    <w:rsid w:val="003A01DE"/>
    <w:rsid w:val="003A021B"/>
    <w:rsid w:val="003A0279"/>
    <w:rsid w:val="003A03E9"/>
    <w:rsid w:val="003A0410"/>
    <w:rsid w:val="003A04DE"/>
    <w:rsid w:val="003A053F"/>
    <w:rsid w:val="003A079F"/>
    <w:rsid w:val="003A07E9"/>
    <w:rsid w:val="003A098B"/>
    <w:rsid w:val="003A09E9"/>
    <w:rsid w:val="003A0A06"/>
    <w:rsid w:val="003A0A14"/>
    <w:rsid w:val="003A0AC5"/>
    <w:rsid w:val="003A0AD7"/>
    <w:rsid w:val="003A0B88"/>
    <w:rsid w:val="003A0D28"/>
    <w:rsid w:val="003A0E56"/>
    <w:rsid w:val="003A0EDE"/>
    <w:rsid w:val="003A0F0F"/>
    <w:rsid w:val="003A0F52"/>
    <w:rsid w:val="003A0FD3"/>
    <w:rsid w:val="003A106E"/>
    <w:rsid w:val="003A10D5"/>
    <w:rsid w:val="003A11CC"/>
    <w:rsid w:val="003A1249"/>
    <w:rsid w:val="003A12BA"/>
    <w:rsid w:val="003A12D2"/>
    <w:rsid w:val="003A1400"/>
    <w:rsid w:val="003A146F"/>
    <w:rsid w:val="003A1498"/>
    <w:rsid w:val="003A151F"/>
    <w:rsid w:val="003A1578"/>
    <w:rsid w:val="003A1725"/>
    <w:rsid w:val="003A174A"/>
    <w:rsid w:val="003A1881"/>
    <w:rsid w:val="003A19E6"/>
    <w:rsid w:val="003A19ED"/>
    <w:rsid w:val="003A1A71"/>
    <w:rsid w:val="003A1B35"/>
    <w:rsid w:val="003A1B5A"/>
    <w:rsid w:val="003A1C19"/>
    <w:rsid w:val="003A1D5D"/>
    <w:rsid w:val="003A1E42"/>
    <w:rsid w:val="003A1F23"/>
    <w:rsid w:val="003A1FD1"/>
    <w:rsid w:val="003A200D"/>
    <w:rsid w:val="003A209D"/>
    <w:rsid w:val="003A20A6"/>
    <w:rsid w:val="003A211B"/>
    <w:rsid w:val="003A215F"/>
    <w:rsid w:val="003A223F"/>
    <w:rsid w:val="003A2312"/>
    <w:rsid w:val="003A23C5"/>
    <w:rsid w:val="003A23ED"/>
    <w:rsid w:val="003A2481"/>
    <w:rsid w:val="003A249E"/>
    <w:rsid w:val="003A25DC"/>
    <w:rsid w:val="003A2655"/>
    <w:rsid w:val="003A2776"/>
    <w:rsid w:val="003A2A2B"/>
    <w:rsid w:val="003A2A42"/>
    <w:rsid w:val="003A2A61"/>
    <w:rsid w:val="003A2AB0"/>
    <w:rsid w:val="003A2CC5"/>
    <w:rsid w:val="003A2CDD"/>
    <w:rsid w:val="003A2D2F"/>
    <w:rsid w:val="003A2D40"/>
    <w:rsid w:val="003A2D45"/>
    <w:rsid w:val="003A2E1C"/>
    <w:rsid w:val="003A2ECA"/>
    <w:rsid w:val="003A2EF5"/>
    <w:rsid w:val="003A2EF9"/>
    <w:rsid w:val="003A2F95"/>
    <w:rsid w:val="003A2FDD"/>
    <w:rsid w:val="003A3074"/>
    <w:rsid w:val="003A30AC"/>
    <w:rsid w:val="003A30F4"/>
    <w:rsid w:val="003A323E"/>
    <w:rsid w:val="003A33C5"/>
    <w:rsid w:val="003A352C"/>
    <w:rsid w:val="003A366C"/>
    <w:rsid w:val="003A3784"/>
    <w:rsid w:val="003A380A"/>
    <w:rsid w:val="003A3860"/>
    <w:rsid w:val="003A3899"/>
    <w:rsid w:val="003A3901"/>
    <w:rsid w:val="003A39A2"/>
    <w:rsid w:val="003A39DF"/>
    <w:rsid w:val="003A3C75"/>
    <w:rsid w:val="003A3D42"/>
    <w:rsid w:val="003A3F4A"/>
    <w:rsid w:val="003A4041"/>
    <w:rsid w:val="003A40E0"/>
    <w:rsid w:val="003A4101"/>
    <w:rsid w:val="003A4114"/>
    <w:rsid w:val="003A4214"/>
    <w:rsid w:val="003A4219"/>
    <w:rsid w:val="003A42A8"/>
    <w:rsid w:val="003A4307"/>
    <w:rsid w:val="003A4460"/>
    <w:rsid w:val="003A44C8"/>
    <w:rsid w:val="003A450A"/>
    <w:rsid w:val="003A458E"/>
    <w:rsid w:val="003A46F9"/>
    <w:rsid w:val="003A472A"/>
    <w:rsid w:val="003A474D"/>
    <w:rsid w:val="003A485B"/>
    <w:rsid w:val="003A4876"/>
    <w:rsid w:val="003A48D8"/>
    <w:rsid w:val="003A4948"/>
    <w:rsid w:val="003A49C5"/>
    <w:rsid w:val="003A4A1D"/>
    <w:rsid w:val="003A4B11"/>
    <w:rsid w:val="003A4BEE"/>
    <w:rsid w:val="003A4C39"/>
    <w:rsid w:val="003A4D05"/>
    <w:rsid w:val="003A4E1E"/>
    <w:rsid w:val="003A4E68"/>
    <w:rsid w:val="003A4E95"/>
    <w:rsid w:val="003A4F07"/>
    <w:rsid w:val="003A4F42"/>
    <w:rsid w:val="003A4F9C"/>
    <w:rsid w:val="003A502F"/>
    <w:rsid w:val="003A5077"/>
    <w:rsid w:val="003A509A"/>
    <w:rsid w:val="003A50F1"/>
    <w:rsid w:val="003A5110"/>
    <w:rsid w:val="003A5166"/>
    <w:rsid w:val="003A51DC"/>
    <w:rsid w:val="003A5238"/>
    <w:rsid w:val="003A53BA"/>
    <w:rsid w:val="003A53E9"/>
    <w:rsid w:val="003A53ED"/>
    <w:rsid w:val="003A5406"/>
    <w:rsid w:val="003A549E"/>
    <w:rsid w:val="003A5507"/>
    <w:rsid w:val="003A55E6"/>
    <w:rsid w:val="003A5615"/>
    <w:rsid w:val="003A575F"/>
    <w:rsid w:val="003A584C"/>
    <w:rsid w:val="003A58DB"/>
    <w:rsid w:val="003A5AAD"/>
    <w:rsid w:val="003A5B31"/>
    <w:rsid w:val="003A5B4F"/>
    <w:rsid w:val="003A5BBA"/>
    <w:rsid w:val="003A5C19"/>
    <w:rsid w:val="003A5CB9"/>
    <w:rsid w:val="003A5CBC"/>
    <w:rsid w:val="003A5FE6"/>
    <w:rsid w:val="003A6007"/>
    <w:rsid w:val="003A608B"/>
    <w:rsid w:val="003A618F"/>
    <w:rsid w:val="003A61E3"/>
    <w:rsid w:val="003A6284"/>
    <w:rsid w:val="003A62A1"/>
    <w:rsid w:val="003A62C7"/>
    <w:rsid w:val="003A62F2"/>
    <w:rsid w:val="003A632B"/>
    <w:rsid w:val="003A646C"/>
    <w:rsid w:val="003A648E"/>
    <w:rsid w:val="003A6492"/>
    <w:rsid w:val="003A65B5"/>
    <w:rsid w:val="003A673C"/>
    <w:rsid w:val="003A6822"/>
    <w:rsid w:val="003A6847"/>
    <w:rsid w:val="003A685B"/>
    <w:rsid w:val="003A6909"/>
    <w:rsid w:val="003A692D"/>
    <w:rsid w:val="003A69FF"/>
    <w:rsid w:val="003A6A5A"/>
    <w:rsid w:val="003A6A60"/>
    <w:rsid w:val="003A6C35"/>
    <w:rsid w:val="003A6C81"/>
    <w:rsid w:val="003A6C87"/>
    <w:rsid w:val="003A6CD3"/>
    <w:rsid w:val="003A6CED"/>
    <w:rsid w:val="003A6E25"/>
    <w:rsid w:val="003A6F48"/>
    <w:rsid w:val="003A6FC7"/>
    <w:rsid w:val="003A7020"/>
    <w:rsid w:val="003A70D7"/>
    <w:rsid w:val="003A71F7"/>
    <w:rsid w:val="003A7212"/>
    <w:rsid w:val="003A72A0"/>
    <w:rsid w:val="003A72F5"/>
    <w:rsid w:val="003A73D2"/>
    <w:rsid w:val="003A748F"/>
    <w:rsid w:val="003A751C"/>
    <w:rsid w:val="003A7724"/>
    <w:rsid w:val="003A7774"/>
    <w:rsid w:val="003A778D"/>
    <w:rsid w:val="003A77FB"/>
    <w:rsid w:val="003A7947"/>
    <w:rsid w:val="003A7A59"/>
    <w:rsid w:val="003A7B4E"/>
    <w:rsid w:val="003A7BE8"/>
    <w:rsid w:val="003A7BEA"/>
    <w:rsid w:val="003A7CB2"/>
    <w:rsid w:val="003A7DF1"/>
    <w:rsid w:val="003A7EC2"/>
    <w:rsid w:val="003A7F7C"/>
    <w:rsid w:val="003A7FCD"/>
    <w:rsid w:val="003B00B4"/>
    <w:rsid w:val="003B0101"/>
    <w:rsid w:val="003B0105"/>
    <w:rsid w:val="003B0135"/>
    <w:rsid w:val="003B0285"/>
    <w:rsid w:val="003B035B"/>
    <w:rsid w:val="003B039F"/>
    <w:rsid w:val="003B03BB"/>
    <w:rsid w:val="003B03DD"/>
    <w:rsid w:val="003B042D"/>
    <w:rsid w:val="003B0558"/>
    <w:rsid w:val="003B05F0"/>
    <w:rsid w:val="003B060B"/>
    <w:rsid w:val="003B070D"/>
    <w:rsid w:val="003B076C"/>
    <w:rsid w:val="003B07D0"/>
    <w:rsid w:val="003B087B"/>
    <w:rsid w:val="003B089F"/>
    <w:rsid w:val="003B0C1A"/>
    <w:rsid w:val="003B0C20"/>
    <w:rsid w:val="003B0C26"/>
    <w:rsid w:val="003B0C87"/>
    <w:rsid w:val="003B0DB5"/>
    <w:rsid w:val="003B0E4A"/>
    <w:rsid w:val="003B0EE4"/>
    <w:rsid w:val="003B0F0F"/>
    <w:rsid w:val="003B0F1E"/>
    <w:rsid w:val="003B101A"/>
    <w:rsid w:val="003B1082"/>
    <w:rsid w:val="003B108C"/>
    <w:rsid w:val="003B11E1"/>
    <w:rsid w:val="003B12F5"/>
    <w:rsid w:val="003B1405"/>
    <w:rsid w:val="003B1487"/>
    <w:rsid w:val="003B156E"/>
    <w:rsid w:val="003B162E"/>
    <w:rsid w:val="003B1763"/>
    <w:rsid w:val="003B17A3"/>
    <w:rsid w:val="003B185D"/>
    <w:rsid w:val="003B1AB2"/>
    <w:rsid w:val="003B1CB1"/>
    <w:rsid w:val="003B1E14"/>
    <w:rsid w:val="003B1E4C"/>
    <w:rsid w:val="003B1F4D"/>
    <w:rsid w:val="003B1F68"/>
    <w:rsid w:val="003B1F86"/>
    <w:rsid w:val="003B2002"/>
    <w:rsid w:val="003B2005"/>
    <w:rsid w:val="003B2033"/>
    <w:rsid w:val="003B207E"/>
    <w:rsid w:val="003B2200"/>
    <w:rsid w:val="003B22CE"/>
    <w:rsid w:val="003B2301"/>
    <w:rsid w:val="003B2340"/>
    <w:rsid w:val="003B24B8"/>
    <w:rsid w:val="003B2671"/>
    <w:rsid w:val="003B2682"/>
    <w:rsid w:val="003B26C6"/>
    <w:rsid w:val="003B275F"/>
    <w:rsid w:val="003B2824"/>
    <w:rsid w:val="003B288B"/>
    <w:rsid w:val="003B2A73"/>
    <w:rsid w:val="003B2A7C"/>
    <w:rsid w:val="003B2AD6"/>
    <w:rsid w:val="003B2BA2"/>
    <w:rsid w:val="003B2BF6"/>
    <w:rsid w:val="003B2BFA"/>
    <w:rsid w:val="003B2C0C"/>
    <w:rsid w:val="003B2C1E"/>
    <w:rsid w:val="003B2D63"/>
    <w:rsid w:val="003B2DA6"/>
    <w:rsid w:val="003B2E4C"/>
    <w:rsid w:val="003B2E76"/>
    <w:rsid w:val="003B31B7"/>
    <w:rsid w:val="003B31DA"/>
    <w:rsid w:val="003B32D4"/>
    <w:rsid w:val="003B33DD"/>
    <w:rsid w:val="003B3439"/>
    <w:rsid w:val="003B348C"/>
    <w:rsid w:val="003B34CC"/>
    <w:rsid w:val="003B3550"/>
    <w:rsid w:val="003B364E"/>
    <w:rsid w:val="003B365F"/>
    <w:rsid w:val="003B3662"/>
    <w:rsid w:val="003B3684"/>
    <w:rsid w:val="003B3767"/>
    <w:rsid w:val="003B3917"/>
    <w:rsid w:val="003B3A7A"/>
    <w:rsid w:val="003B3A9F"/>
    <w:rsid w:val="003B3B26"/>
    <w:rsid w:val="003B3BCD"/>
    <w:rsid w:val="003B3BE5"/>
    <w:rsid w:val="003B3CB8"/>
    <w:rsid w:val="003B3CE7"/>
    <w:rsid w:val="003B3D06"/>
    <w:rsid w:val="003B3D12"/>
    <w:rsid w:val="003B3DD9"/>
    <w:rsid w:val="003B3E14"/>
    <w:rsid w:val="003B3EC7"/>
    <w:rsid w:val="003B3F0B"/>
    <w:rsid w:val="003B3F8E"/>
    <w:rsid w:val="003B3FE4"/>
    <w:rsid w:val="003B41B9"/>
    <w:rsid w:val="003B423F"/>
    <w:rsid w:val="003B4270"/>
    <w:rsid w:val="003B435B"/>
    <w:rsid w:val="003B43A2"/>
    <w:rsid w:val="003B4545"/>
    <w:rsid w:val="003B4589"/>
    <w:rsid w:val="003B460B"/>
    <w:rsid w:val="003B461C"/>
    <w:rsid w:val="003B4659"/>
    <w:rsid w:val="003B48F8"/>
    <w:rsid w:val="003B4908"/>
    <w:rsid w:val="003B4955"/>
    <w:rsid w:val="003B49E2"/>
    <w:rsid w:val="003B49F6"/>
    <w:rsid w:val="003B4A09"/>
    <w:rsid w:val="003B4A74"/>
    <w:rsid w:val="003B4ACE"/>
    <w:rsid w:val="003B4C15"/>
    <w:rsid w:val="003B4C35"/>
    <w:rsid w:val="003B4D5B"/>
    <w:rsid w:val="003B4DB4"/>
    <w:rsid w:val="003B4E44"/>
    <w:rsid w:val="003B4E4E"/>
    <w:rsid w:val="003B50B4"/>
    <w:rsid w:val="003B5388"/>
    <w:rsid w:val="003B540C"/>
    <w:rsid w:val="003B5581"/>
    <w:rsid w:val="003B55CA"/>
    <w:rsid w:val="003B55F2"/>
    <w:rsid w:val="003B56A5"/>
    <w:rsid w:val="003B56D8"/>
    <w:rsid w:val="003B5821"/>
    <w:rsid w:val="003B582E"/>
    <w:rsid w:val="003B5873"/>
    <w:rsid w:val="003B5A81"/>
    <w:rsid w:val="003B5AD3"/>
    <w:rsid w:val="003B5BE8"/>
    <w:rsid w:val="003B5C2E"/>
    <w:rsid w:val="003B5C90"/>
    <w:rsid w:val="003B5D4A"/>
    <w:rsid w:val="003B5D62"/>
    <w:rsid w:val="003B6272"/>
    <w:rsid w:val="003B62BA"/>
    <w:rsid w:val="003B63F7"/>
    <w:rsid w:val="003B648A"/>
    <w:rsid w:val="003B6500"/>
    <w:rsid w:val="003B6510"/>
    <w:rsid w:val="003B656B"/>
    <w:rsid w:val="003B6583"/>
    <w:rsid w:val="003B6598"/>
    <w:rsid w:val="003B6698"/>
    <w:rsid w:val="003B6844"/>
    <w:rsid w:val="003B6B0A"/>
    <w:rsid w:val="003B6B71"/>
    <w:rsid w:val="003B6B8E"/>
    <w:rsid w:val="003B6E68"/>
    <w:rsid w:val="003B6FEC"/>
    <w:rsid w:val="003B7037"/>
    <w:rsid w:val="003B705D"/>
    <w:rsid w:val="003B7178"/>
    <w:rsid w:val="003B72F3"/>
    <w:rsid w:val="003B7357"/>
    <w:rsid w:val="003B7419"/>
    <w:rsid w:val="003B7539"/>
    <w:rsid w:val="003B76F3"/>
    <w:rsid w:val="003B773D"/>
    <w:rsid w:val="003B778C"/>
    <w:rsid w:val="003B7866"/>
    <w:rsid w:val="003B7880"/>
    <w:rsid w:val="003B79B5"/>
    <w:rsid w:val="003B7A27"/>
    <w:rsid w:val="003B7A54"/>
    <w:rsid w:val="003B7A7C"/>
    <w:rsid w:val="003B7B45"/>
    <w:rsid w:val="003B7BC2"/>
    <w:rsid w:val="003B7BC9"/>
    <w:rsid w:val="003B7C24"/>
    <w:rsid w:val="003B7DF5"/>
    <w:rsid w:val="003B7E6F"/>
    <w:rsid w:val="003B7E76"/>
    <w:rsid w:val="003B7ED4"/>
    <w:rsid w:val="003B7FB5"/>
    <w:rsid w:val="003C00B5"/>
    <w:rsid w:val="003C014C"/>
    <w:rsid w:val="003C01A7"/>
    <w:rsid w:val="003C02F9"/>
    <w:rsid w:val="003C0399"/>
    <w:rsid w:val="003C0415"/>
    <w:rsid w:val="003C049C"/>
    <w:rsid w:val="003C04E8"/>
    <w:rsid w:val="003C0567"/>
    <w:rsid w:val="003C05F8"/>
    <w:rsid w:val="003C06DE"/>
    <w:rsid w:val="003C0811"/>
    <w:rsid w:val="003C0847"/>
    <w:rsid w:val="003C0863"/>
    <w:rsid w:val="003C0B17"/>
    <w:rsid w:val="003C0B86"/>
    <w:rsid w:val="003C0C67"/>
    <w:rsid w:val="003C0C6E"/>
    <w:rsid w:val="003C0D6A"/>
    <w:rsid w:val="003C1014"/>
    <w:rsid w:val="003C102D"/>
    <w:rsid w:val="003C10B0"/>
    <w:rsid w:val="003C11D0"/>
    <w:rsid w:val="003C1362"/>
    <w:rsid w:val="003C136F"/>
    <w:rsid w:val="003C1489"/>
    <w:rsid w:val="003C150D"/>
    <w:rsid w:val="003C1541"/>
    <w:rsid w:val="003C15A4"/>
    <w:rsid w:val="003C161A"/>
    <w:rsid w:val="003C16BD"/>
    <w:rsid w:val="003C18F1"/>
    <w:rsid w:val="003C1AB7"/>
    <w:rsid w:val="003C1B7C"/>
    <w:rsid w:val="003C1CC0"/>
    <w:rsid w:val="003C1CF5"/>
    <w:rsid w:val="003C1DE4"/>
    <w:rsid w:val="003C1E7D"/>
    <w:rsid w:val="003C1F14"/>
    <w:rsid w:val="003C1F92"/>
    <w:rsid w:val="003C1FB8"/>
    <w:rsid w:val="003C2161"/>
    <w:rsid w:val="003C21B3"/>
    <w:rsid w:val="003C220D"/>
    <w:rsid w:val="003C2359"/>
    <w:rsid w:val="003C23A3"/>
    <w:rsid w:val="003C23BF"/>
    <w:rsid w:val="003C2427"/>
    <w:rsid w:val="003C24A5"/>
    <w:rsid w:val="003C2528"/>
    <w:rsid w:val="003C255E"/>
    <w:rsid w:val="003C298E"/>
    <w:rsid w:val="003C29A8"/>
    <w:rsid w:val="003C2A4D"/>
    <w:rsid w:val="003C2A6E"/>
    <w:rsid w:val="003C2A74"/>
    <w:rsid w:val="003C2A76"/>
    <w:rsid w:val="003C2A8C"/>
    <w:rsid w:val="003C2AEC"/>
    <w:rsid w:val="003C2BA3"/>
    <w:rsid w:val="003C2BE5"/>
    <w:rsid w:val="003C2C41"/>
    <w:rsid w:val="003C2CE2"/>
    <w:rsid w:val="003C2CEC"/>
    <w:rsid w:val="003C2E28"/>
    <w:rsid w:val="003C31A8"/>
    <w:rsid w:val="003C31E1"/>
    <w:rsid w:val="003C32A7"/>
    <w:rsid w:val="003C32B0"/>
    <w:rsid w:val="003C335A"/>
    <w:rsid w:val="003C3375"/>
    <w:rsid w:val="003C338B"/>
    <w:rsid w:val="003C33C4"/>
    <w:rsid w:val="003C3474"/>
    <w:rsid w:val="003C3643"/>
    <w:rsid w:val="003C37CA"/>
    <w:rsid w:val="003C385C"/>
    <w:rsid w:val="003C3AC8"/>
    <w:rsid w:val="003C3E4B"/>
    <w:rsid w:val="003C3F3F"/>
    <w:rsid w:val="003C41F0"/>
    <w:rsid w:val="003C4203"/>
    <w:rsid w:val="003C4426"/>
    <w:rsid w:val="003C442C"/>
    <w:rsid w:val="003C458B"/>
    <w:rsid w:val="003C4607"/>
    <w:rsid w:val="003C4630"/>
    <w:rsid w:val="003C466A"/>
    <w:rsid w:val="003C46E0"/>
    <w:rsid w:val="003C47FC"/>
    <w:rsid w:val="003C4820"/>
    <w:rsid w:val="003C4833"/>
    <w:rsid w:val="003C4ABB"/>
    <w:rsid w:val="003C4AF7"/>
    <w:rsid w:val="003C4C78"/>
    <w:rsid w:val="003C4E2E"/>
    <w:rsid w:val="003C4EC9"/>
    <w:rsid w:val="003C4EE3"/>
    <w:rsid w:val="003C4FBC"/>
    <w:rsid w:val="003C504C"/>
    <w:rsid w:val="003C507C"/>
    <w:rsid w:val="003C515B"/>
    <w:rsid w:val="003C51E6"/>
    <w:rsid w:val="003C531F"/>
    <w:rsid w:val="003C533C"/>
    <w:rsid w:val="003C55AA"/>
    <w:rsid w:val="003C58AD"/>
    <w:rsid w:val="003C58E8"/>
    <w:rsid w:val="003C5A44"/>
    <w:rsid w:val="003C5AE7"/>
    <w:rsid w:val="003C5B4D"/>
    <w:rsid w:val="003C5B72"/>
    <w:rsid w:val="003C5C40"/>
    <w:rsid w:val="003C5DD5"/>
    <w:rsid w:val="003C5F52"/>
    <w:rsid w:val="003C5FC0"/>
    <w:rsid w:val="003C5FCF"/>
    <w:rsid w:val="003C5FE0"/>
    <w:rsid w:val="003C608F"/>
    <w:rsid w:val="003C611A"/>
    <w:rsid w:val="003C61A5"/>
    <w:rsid w:val="003C6331"/>
    <w:rsid w:val="003C644C"/>
    <w:rsid w:val="003C6451"/>
    <w:rsid w:val="003C668D"/>
    <w:rsid w:val="003C6C34"/>
    <w:rsid w:val="003C6C9B"/>
    <w:rsid w:val="003C6CB9"/>
    <w:rsid w:val="003C6D10"/>
    <w:rsid w:val="003C6D35"/>
    <w:rsid w:val="003C6D5F"/>
    <w:rsid w:val="003C6DA9"/>
    <w:rsid w:val="003C6EC5"/>
    <w:rsid w:val="003C6EEC"/>
    <w:rsid w:val="003C6F4A"/>
    <w:rsid w:val="003C7065"/>
    <w:rsid w:val="003C70DE"/>
    <w:rsid w:val="003C7128"/>
    <w:rsid w:val="003C713C"/>
    <w:rsid w:val="003C7184"/>
    <w:rsid w:val="003C7236"/>
    <w:rsid w:val="003C7242"/>
    <w:rsid w:val="003C7246"/>
    <w:rsid w:val="003C72A8"/>
    <w:rsid w:val="003C72FB"/>
    <w:rsid w:val="003C7329"/>
    <w:rsid w:val="003C738D"/>
    <w:rsid w:val="003C73C2"/>
    <w:rsid w:val="003C7462"/>
    <w:rsid w:val="003C7483"/>
    <w:rsid w:val="003C7579"/>
    <w:rsid w:val="003C7598"/>
    <w:rsid w:val="003C7731"/>
    <w:rsid w:val="003C78AE"/>
    <w:rsid w:val="003C795E"/>
    <w:rsid w:val="003C79DD"/>
    <w:rsid w:val="003C7ABA"/>
    <w:rsid w:val="003C7ABC"/>
    <w:rsid w:val="003C7AF2"/>
    <w:rsid w:val="003C7C96"/>
    <w:rsid w:val="003C7CB3"/>
    <w:rsid w:val="003C7D5C"/>
    <w:rsid w:val="003C7D9F"/>
    <w:rsid w:val="003C7DC3"/>
    <w:rsid w:val="003C7DDD"/>
    <w:rsid w:val="003C7F2D"/>
    <w:rsid w:val="003C7F5E"/>
    <w:rsid w:val="003D0010"/>
    <w:rsid w:val="003D0158"/>
    <w:rsid w:val="003D02B5"/>
    <w:rsid w:val="003D0347"/>
    <w:rsid w:val="003D0466"/>
    <w:rsid w:val="003D0543"/>
    <w:rsid w:val="003D0575"/>
    <w:rsid w:val="003D05B5"/>
    <w:rsid w:val="003D08A1"/>
    <w:rsid w:val="003D08CB"/>
    <w:rsid w:val="003D0DB2"/>
    <w:rsid w:val="003D0DCC"/>
    <w:rsid w:val="003D0F63"/>
    <w:rsid w:val="003D0F77"/>
    <w:rsid w:val="003D0FF8"/>
    <w:rsid w:val="003D100E"/>
    <w:rsid w:val="003D1025"/>
    <w:rsid w:val="003D10E8"/>
    <w:rsid w:val="003D11C9"/>
    <w:rsid w:val="003D120C"/>
    <w:rsid w:val="003D12E2"/>
    <w:rsid w:val="003D148D"/>
    <w:rsid w:val="003D14B3"/>
    <w:rsid w:val="003D14C6"/>
    <w:rsid w:val="003D14D3"/>
    <w:rsid w:val="003D1561"/>
    <w:rsid w:val="003D15E8"/>
    <w:rsid w:val="003D1648"/>
    <w:rsid w:val="003D176D"/>
    <w:rsid w:val="003D19A2"/>
    <w:rsid w:val="003D19F0"/>
    <w:rsid w:val="003D1B15"/>
    <w:rsid w:val="003D1B99"/>
    <w:rsid w:val="003D1BCD"/>
    <w:rsid w:val="003D1C52"/>
    <w:rsid w:val="003D1D69"/>
    <w:rsid w:val="003D1E5D"/>
    <w:rsid w:val="003D1F38"/>
    <w:rsid w:val="003D1F50"/>
    <w:rsid w:val="003D1FF7"/>
    <w:rsid w:val="003D2068"/>
    <w:rsid w:val="003D21E1"/>
    <w:rsid w:val="003D244E"/>
    <w:rsid w:val="003D2458"/>
    <w:rsid w:val="003D2491"/>
    <w:rsid w:val="003D2584"/>
    <w:rsid w:val="003D25CB"/>
    <w:rsid w:val="003D2645"/>
    <w:rsid w:val="003D26D7"/>
    <w:rsid w:val="003D2712"/>
    <w:rsid w:val="003D2747"/>
    <w:rsid w:val="003D2924"/>
    <w:rsid w:val="003D2B92"/>
    <w:rsid w:val="003D2D18"/>
    <w:rsid w:val="003D2D40"/>
    <w:rsid w:val="003D2E9A"/>
    <w:rsid w:val="003D2EB0"/>
    <w:rsid w:val="003D2F04"/>
    <w:rsid w:val="003D2FD1"/>
    <w:rsid w:val="003D2FE4"/>
    <w:rsid w:val="003D3085"/>
    <w:rsid w:val="003D315D"/>
    <w:rsid w:val="003D32F9"/>
    <w:rsid w:val="003D33CC"/>
    <w:rsid w:val="003D3442"/>
    <w:rsid w:val="003D3452"/>
    <w:rsid w:val="003D3568"/>
    <w:rsid w:val="003D3594"/>
    <w:rsid w:val="003D3661"/>
    <w:rsid w:val="003D3669"/>
    <w:rsid w:val="003D36FD"/>
    <w:rsid w:val="003D37C3"/>
    <w:rsid w:val="003D37ED"/>
    <w:rsid w:val="003D3844"/>
    <w:rsid w:val="003D3864"/>
    <w:rsid w:val="003D3995"/>
    <w:rsid w:val="003D39F6"/>
    <w:rsid w:val="003D3A50"/>
    <w:rsid w:val="003D3A5D"/>
    <w:rsid w:val="003D3BCD"/>
    <w:rsid w:val="003D3C06"/>
    <w:rsid w:val="003D3CAD"/>
    <w:rsid w:val="003D3D2E"/>
    <w:rsid w:val="003D3E55"/>
    <w:rsid w:val="003D3E5D"/>
    <w:rsid w:val="003D406C"/>
    <w:rsid w:val="003D40C7"/>
    <w:rsid w:val="003D43AA"/>
    <w:rsid w:val="003D43B8"/>
    <w:rsid w:val="003D451E"/>
    <w:rsid w:val="003D4577"/>
    <w:rsid w:val="003D45FD"/>
    <w:rsid w:val="003D4683"/>
    <w:rsid w:val="003D468D"/>
    <w:rsid w:val="003D4692"/>
    <w:rsid w:val="003D46A6"/>
    <w:rsid w:val="003D4745"/>
    <w:rsid w:val="003D47B8"/>
    <w:rsid w:val="003D480E"/>
    <w:rsid w:val="003D4843"/>
    <w:rsid w:val="003D487C"/>
    <w:rsid w:val="003D4886"/>
    <w:rsid w:val="003D49C3"/>
    <w:rsid w:val="003D4A3F"/>
    <w:rsid w:val="003D4AC4"/>
    <w:rsid w:val="003D4AE6"/>
    <w:rsid w:val="003D4AE9"/>
    <w:rsid w:val="003D4BEE"/>
    <w:rsid w:val="003D4C05"/>
    <w:rsid w:val="003D4EBB"/>
    <w:rsid w:val="003D4FA4"/>
    <w:rsid w:val="003D503E"/>
    <w:rsid w:val="003D526D"/>
    <w:rsid w:val="003D530B"/>
    <w:rsid w:val="003D536A"/>
    <w:rsid w:val="003D53FD"/>
    <w:rsid w:val="003D549D"/>
    <w:rsid w:val="003D5502"/>
    <w:rsid w:val="003D550E"/>
    <w:rsid w:val="003D57E8"/>
    <w:rsid w:val="003D581A"/>
    <w:rsid w:val="003D588D"/>
    <w:rsid w:val="003D58FD"/>
    <w:rsid w:val="003D59A2"/>
    <w:rsid w:val="003D5A70"/>
    <w:rsid w:val="003D5AF8"/>
    <w:rsid w:val="003D5B7F"/>
    <w:rsid w:val="003D5D0C"/>
    <w:rsid w:val="003D5D26"/>
    <w:rsid w:val="003D5D66"/>
    <w:rsid w:val="003D5DAC"/>
    <w:rsid w:val="003D5DCB"/>
    <w:rsid w:val="003D5EFB"/>
    <w:rsid w:val="003D5F01"/>
    <w:rsid w:val="003D5F75"/>
    <w:rsid w:val="003D5FEA"/>
    <w:rsid w:val="003D604C"/>
    <w:rsid w:val="003D6223"/>
    <w:rsid w:val="003D62E5"/>
    <w:rsid w:val="003D637E"/>
    <w:rsid w:val="003D63F2"/>
    <w:rsid w:val="003D6418"/>
    <w:rsid w:val="003D6483"/>
    <w:rsid w:val="003D649F"/>
    <w:rsid w:val="003D652B"/>
    <w:rsid w:val="003D6693"/>
    <w:rsid w:val="003D6734"/>
    <w:rsid w:val="003D67A5"/>
    <w:rsid w:val="003D681E"/>
    <w:rsid w:val="003D68E1"/>
    <w:rsid w:val="003D691F"/>
    <w:rsid w:val="003D6A0A"/>
    <w:rsid w:val="003D6C7E"/>
    <w:rsid w:val="003D6D76"/>
    <w:rsid w:val="003D6E14"/>
    <w:rsid w:val="003D6EDD"/>
    <w:rsid w:val="003D6F07"/>
    <w:rsid w:val="003D7006"/>
    <w:rsid w:val="003D7011"/>
    <w:rsid w:val="003D7079"/>
    <w:rsid w:val="003D7086"/>
    <w:rsid w:val="003D7254"/>
    <w:rsid w:val="003D753A"/>
    <w:rsid w:val="003D76C0"/>
    <w:rsid w:val="003D77EB"/>
    <w:rsid w:val="003D7821"/>
    <w:rsid w:val="003D7839"/>
    <w:rsid w:val="003D7930"/>
    <w:rsid w:val="003D7A59"/>
    <w:rsid w:val="003D7B33"/>
    <w:rsid w:val="003D7B74"/>
    <w:rsid w:val="003D7BB4"/>
    <w:rsid w:val="003D7BEC"/>
    <w:rsid w:val="003D7C0A"/>
    <w:rsid w:val="003D7C15"/>
    <w:rsid w:val="003D7C98"/>
    <w:rsid w:val="003D7D22"/>
    <w:rsid w:val="003D7DBE"/>
    <w:rsid w:val="003D7DFB"/>
    <w:rsid w:val="003D7E14"/>
    <w:rsid w:val="003D7E16"/>
    <w:rsid w:val="003D7E37"/>
    <w:rsid w:val="003D7F62"/>
    <w:rsid w:val="003E0056"/>
    <w:rsid w:val="003E00A9"/>
    <w:rsid w:val="003E00DF"/>
    <w:rsid w:val="003E0117"/>
    <w:rsid w:val="003E012B"/>
    <w:rsid w:val="003E017B"/>
    <w:rsid w:val="003E0223"/>
    <w:rsid w:val="003E0320"/>
    <w:rsid w:val="003E036D"/>
    <w:rsid w:val="003E063F"/>
    <w:rsid w:val="003E070B"/>
    <w:rsid w:val="003E0792"/>
    <w:rsid w:val="003E07D1"/>
    <w:rsid w:val="003E07F9"/>
    <w:rsid w:val="003E0885"/>
    <w:rsid w:val="003E0895"/>
    <w:rsid w:val="003E09C4"/>
    <w:rsid w:val="003E0A4A"/>
    <w:rsid w:val="003E0AD5"/>
    <w:rsid w:val="003E0B49"/>
    <w:rsid w:val="003E0B70"/>
    <w:rsid w:val="003E0B96"/>
    <w:rsid w:val="003E0C3B"/>
    <w:rsid w:val="003E0C3F"/>
    <w:rsid w:val="003E0C81"/>
    <w:rsid w:val="003E0C82"/>
    <w:rsid w:val="003E0D71"/>
    <w:rsid w:val="003E1088"/>
    <w:rsid w:val="003E11FF"/>
    <w:rsid w:val="003E12A0"/>
    <w:rsid w:val="003E1312"/>
    <w:rsid w:val="003E1364"/>
    <w:rsid w:val="003E14D5"/>
    <w:rsid w:val="003E1592"/>
    <w:rsid w:val="003E165F"/>
    <w:rsid w:val="003E1682"/>
    <w:rsid w:val="003E16C6"/>
    <w:rsid w:val="003E172D"/>
    <w:rsid w:val="003E1A82"/>
    <w:rsid w:val="003E1AE4"/>
    <w:rsid w:val="003E1BC8"/>
    <w:rsid w:val="003E1BED"/>
    <w:rsid w:val="003E1C0A"/>
    <w:rsid w:val="003E1C87"/>
    <w:rsid w:val="003E1C9A"/>
    <w:rsid w:val="003E1D78"/>
    <w:rsid w:val="003E1E2A"/>
    <w:rsid w:val="003E1E3F"/>
    <w:rsid w:val="003E1E52"/>
    <w:rsid w:val="003E1E87"/>
    <w:rsid w:val="003E1FEB"/>
    <w:rsid w:val="003E201D"/>
    <w:rsid w:val="003E2062"/>
    <w:rsid w:val="003E2079"/>
    <w:rsid w:val="003E2251"/>
    <w:rsid w:val="003E22AE"/>
    <w:rsid w:val="003E2449"/>
    <w:rsid w:val="003E24CB"/>
    <w:rsid w:val="003E24EF"/>
    <w:rsid w:val="003E25A6"/>
    <w:rsid w:val="003E26E6"/>
    <w:rsid w:val="003E28E7"/>
    <w:rsid w:val="003E29E7"/>
    <w:rsid w:val="003E2A20"/>
    <w:rsid w:val="003E2ABD"/>
    <w:rsid w:val="003E2BBB"/>
    <w:rsid w:val="003E2BCD"/>
    <w:rsid w:val="003E2DA1"/>
    <w:rsid w:val="003E2E30"/>
    <w:rsid w:val="003E2E66"/>
    <w:rsid w:val="003E2F61"/>
    <w:rsid w:val="003E309F"/>
    <w:rsid w:val="003E30AF"/>
    <w:rsid w:val="003E30BF"/>
    <w:rsid w:val="003E3411"/>
    <w:rsid w:val="003E34C6"/>
    <w:rsid w:val="003E34D1"/>
    <w:rsid w:val="003E35B2"/>
    <w:rsid w:val="003E361A"/>
    <w:rsid w:val="003E3684"/>
    <w:rsid w:val="003E3762"/>
    <w:rsid w:val="003E3803"/>
    <w:rsid w:val="003E381F"/>
    <w:rsid w:val="003E385A"/>
    <w:rsid w:val="003E3860"/>
    <w:rsid w:val="003E3957"/>
    <w:rsid w:val="003E3A16"/>
    <w:rsid w:val="003E3A48"/>
    <w:rsid w:val="003E3A56"/>
    <w:rsid w:val="003E3E5E"/>
    <w:rsid w:val="003E3E93"/>
    <w:rsid w:val="003E3EBC"/>
    <w:rsid w:val="003E3F54"/>
    <w:rsid w:val="003E3F88"/>
    <w:rsid w:val="003E3FDB"/>
    <w:rsid w:val="003E42B5"/>
    <w:rsid w:val="003E4326"/>
    <w:rsid w:val="003E4593"/>
    <w:rsid w:val="003E4724"/>
    <w:rsid w:val="003E485F"/>
    <w:rsid w:val="003E4869"/>
    <w:rsid w:val="003E48D4"/>
    <w:rsid w:val="003E49CD"/>
    <w:rsid w:val="003E4C50"/>
    <w:rsid w:val="003E4DA4"/>
    <w:rsid w:val="003E50AF"/>
    <w:rsid w:val="003E51AD"/>
    <w:rsid w:val="003E5385"/>
    <w:rsid w:val="003E54F7"/>
    <w:rsid w:val="003E56A3"/>
    <w:rsid w:val="003E56B7"/>
    <w:rsid w:val="003E57FA"/>
    <w:rsid w:val="003E5841"/>
    <w:rsid w:val="003E5927"/>
    <w:rsid w:val="003E5A42"/>
    <w:rsid w:val="003E5B95"/>
    <w:rsid w:val="003E5C4C"/>
    <w:rsid w:val="003E5CCD"/>
    <w:rsid w:val="003E5D86"/>
    <w:rsid w:val="003E5DE3"/>
    <w:rsid w:val="003E5E74"/>
    <w:rsid w:val="003E5EF8"/>
    <w:rsid w:val="003E5F44"/>
    <w:rsid w:val="003E5FB1"/>
    <w:rsid w:val="003E6275"/>
    <w:rsid w:val="003E6428"/>
    <w:rsid w:val="003E647C"/>
    <w:rsid w:val="003E65D3"/>
    <w:rsid w:val="003E6616"/>
    <w:rsid w:val="003E664C"/>
    <w:rsid w:val="003E676F"/>
    <w:rsid w:val="003E6803"/>
    <w:rsid w:val="003E694E"/>
    <w:rsid w:val="003E6971"/>
    <w:rsid w:val="003E69DB"/>
    <w:rsid w:val="003E6BBC"/>
    <w:rsid w:val="003E6CF5"/>
    <w:rsid w:val="003E6FCB"/>
    <w:rsid w:val="003E702D"/>
    <w:rsid w:val="003E70D7"/>
    <w:rsid w:val="003E722E"/>
    <w:rsid w:val="003E7250"/>
    <w:rsid w:val="003E72C6"/>
    <w:rsid w:val="003E7341"/>
    <w:rsid w:val="003E7356"/>
    <w:rsid w:val="003E7369"/>
    <w:rsid w:val="003E73F0"/>
    <w:rsid w:val="003E75E0"/>
    <w:rsid w:val="003E7617"/>
    <w:rsid w:val="003E76B1"/>
    <w:rsid w:val="003E7703"/>
    <w:rsid w:val="003E7790"/>
    <w:rsid w:val="003E79B5"/>
    <w:rsid w:val="003E7A35"/>
    <w:rsid w:val="003E7B49"/>
    <w:rsid w:val="003E7BD8"/>
    <w:rsid w:val="003E7C73"/>
    <w:rsid w:val="003E7CD9"/>
    <w:rsid w:val="003E7DF5"/>
    <w:rsid w:val="003E7E1C"/>
    <w:rsid w:val="003E7E63"/>
    <w:rsid w:val="003E7E76"/>
    <w:rsid w:val="003E7EBC"/>
    <w:rsid w:val="003E7ED1"/>
    <w:rsid w:val="003F009F"/>
    <w:rsid w:val="003F0148"/>
    <w:rsid w:val="003F0151"/>
    <w:rsid w:val="003F0262"/>
    <w:rsid w:val="003F0425"/>
    <w:rsid w:val="003F0440"/>
    <w:rsid w:val="003F04AA"/>
    <w:rsid w:val="003F0780"/>
    <w:rsid w:val="003F07AD"/>
    <w:rsid w:val="003F07EB"/>
    <w:rsid w:val="003F07FF"/>
    <w:rsid w:val="003F0825"/>
    <w:rsid w:val="003F0A3E"/>
    <w:rsid w:val="003F0B2E"/>
    <w:rsid w:val="003F0C42"/>
    <w:rsid w:val="003F0DD4"/>
    <w:rsid w:val="003F0E03"/>
    <w:rsid w:val="003F0EE2"/>
    <w:rsid w:val="003F12BE"/>
    <w:rsid w:val="003F12E3"/>
    <w:rsid w:val="003F12F5"/>
    <w:rsid w:val="003F1336"/>
    <w:rsid w:val="003F1359"/>
    <w:rsid w:val="003F14CD"/>
    <w:rsid w:val="003F154B"/>
    <w:rsid w:val="003F1550"/>
    <w:rsid w:val="003F16B3"/>
    <w:rsid w:val="003F175D"/>
    <w:rsid w:val="003F18CF"/>
    <w:rsid w:val="003F19B9"/>
    <w:rsid w:val="003F1AA2"/>
    <w:rsid w:val="003F1BB2"/>
    <w:rsid w:val="003F1C57"/>
    <w:rsid w:val="003F1C7A"/>
    <w:rsid w:val="003F1D9F"/>
    <w:rsid w:val="003F1DF0"/>
    <w:rsid w:val="003F1F13"/>
    <w:rsid w:val="003F1FAA"/>
    <w:rsid w:val="003F1FC2"/>
    <w:rsid w:val="003F200A"/>
    <w:rsid w:val="003F2099"/>
    <w:rsid w:val="003F209C"/>
    <w:rsid w:val="003F20E3"/>
    <w:rsid w:val="003F2236"/>
    <w:rsid w:val="003F2284"/>
    <w:rsid w:val="003F22A5"/>
    <w:rsid w:val="003F22F3"/>
    <w:rsid w:val="003F231B"/>
    <w:rsid w:val="003F246B"/>
    <w:rsid w:val="003F248F"/>
    <w:rsid w:val="003F251D"/>
    <w:rsid w:val="003F2801"/>
    <w:rsid w:val="003F28C0"/>
    <w:rsid w:val="003F29D9"/>
    <w:rsid w:val="003F2A4B"/>
    <w:rsid w:val="003F2B3D"/>
    <w:rsid w:val="003F2C15"/>
    <w:rsid w:val="003F2E23"/>
    <w:rsid w:val="003F2E91"/>
    <w:rsid w:val="003F2EF7"/>
    <w:rsid w:val="003F2F6C"/>
    <w:rsid w:val="003F2F72"/>
    <w:rsid w:val="003F3056"/>
    <w:rsid w:val="003F306A"/>
    <w:rsid w:val="003F30E7"/>
    <w:rsid w:val="003F31BB"/>
    <w:rsid w:val="003F33AA"/>
    <w:rsid w:val="003F341E"/>
    <w:rsid w:val="003F343E"/>
    <w:rsid w:val="003F34C6"/>
    <w:rsid w:val="003F35FC"/>
    <w:rsid w:val="003F3759"/>
    <w:rsid w:val="003F37E8"/>
    <w:rsid w:val="003F3927"/>
    <w:rsid w:val="003F398F"/>
    <w:rsid w:val="003F3B94"/>
    <w:rsid w:val="003F3C77"/>
    <w:rsid w:val="003F3DF4"/>
    <w:rsid w:val="003F3F21"/>
    <w:rsid w:val="003F3FAC"/>
    <w:rsid w:val="003F4057"/>
    <w:rsid w:val="003F40BF"/>
    <w:rsid w:val="003F416A"/>
    <w:rsid w:val="003F418B"/>
    <w:rsid w:val="003F4195"/>
    <w:rsid w:val="003F41BE"/>
    <w:rsid w:val="003F4291"/>
    <w:rsid w:val="003F429F"/>
    <w:rsid w:val="003F42CA"/>
    <w:rsid w:val="003F42FF"/>
    <w:rsid w:val="003F43AD"/>
    <w:rsid w:val="003F4486"/>
    <w:rsid w:val="003F4821"/>
    <w:rsid w:val="003F48DC"/>
    <w:rsid w:val="003F4975"/>
    <w:rsid w:val="003F49D9"/>
    <w:rsid w:val="003F4ADC"/>
    <w:rsid w:val="003F4C03"/>
    <w:rsid w:val="003F4C22"/>
    <w:rsid w:val="003F4D39"/>
    <w:rsid w:val="003F4D3D"/>
    <w:rsid w:val="003F4D6E"/>
    <w:rsid w:val="003F4DF1"/>
    <w:rsid w:val="003F4EF9"/>
    <w:rsid w:val="003F4F01"/>
    <w:rsid w:val="003F4F3B"/>
    <w:rsid w:val="003F506D"/>
    <w:rsid w:val="003F50CF"/>
    <w:rsid w:val="003F521D"/>
    <w:rsid w:val="003F5234"/>
    <w:rsid w:val="003F5335"/>
    <w:rsid w:val="003F55BE"/>
    <w:rsid w:val="003F55E5"/>
    <w:rsid w:val="003F584D"/>
    <w:rsid w:val="003F58C5"/>
    <w:rsid w:val="003F59C4"/>
    <w:rsid w:val="003F5A2D"/>
    <w:rsid w:val="003F5A6A"/>
    <w:rsid w:val="003F5BC4"/>
    <w:rsid w:val="003F5BFF"/>
    <w:rsid w:val="003F5CB7"/>
    <w:rsid w:val="003F5CFC"/>
    <w:rsid w:val="003F5D48"/>
    <w:rsid w:val="003F5E84"/>
    <w:rsid w:val="003F5EFC"/>
    <w:rsid w:val="003F5F41"/>
    <w:rsid w:val="003F5FB8"/>
    <w:rsid w:val="003F5FF4"/>
    <w:rsid w:val="003F609B"/>
    <w:rsid w:val="003F60CE"/>
    <w:rsid w:val="003F60DF"/>
    <w:rsid w:val="003F611A"/>
    <w:rsid w:val="003F617E"/>
    <w:rsid w:val="003F618F"/>
    <w:rsid w:val="003F63CF"/>
    <w:rsid w:val="003F63ED"/>
    <w:rsid w:val="003F6405"/>
    <w:rsid w:val="003F648A"/>
    <w:rsid w:val="003F6567"/>
    <w:rsid w:val="003F6635"/>
    <w:rsid w:val="003F6646"/>
    <w:rsid w:val="003F6699"/>
    <w:rsid w:val="003F66AA"/>
    <w:rsid w:val="003F6745"/>
    <w:rsid w:val="003F679B"/>
    <w:rsid w:val="003F691A"/>
    <w:rsid w:val="003F6B1F"/>
    <w:rsid w:val="003F6B51"/>
    <w:rsid w:val="003F6B93"/>
    <w:rsid w:val="003F6C66"/>
    <w:rsid w:val="003F6DCF"/>
    <w:rsid w:val="003F6E91"/>
    <w:rsid w:val="003F701E"/>
    <w:rsid w:val="003F7050"/>
    <w:rsid w:val="003F707C"/>
    <w:rsid w:val="003F70FD"/>
    <w:rsid w:val="003F7133"/>
    <w:rsid w:val="003F71AB"/>
    <w:rsid w:val="003F71BD"/>
    <w:rsid w:val="003F721A"/>
    <w:rsid w:val="003F738B"/>
    <w:rsid w:val="003F74F8"/>
    <w:rsid w:val="003F752D"/>
    <w:rsid w:val="003F7560"/>
    <w:rsid w:val="003F7577"/>
    <w:rsid w:val="003F766A"/>
    <w:rsid w:val="003F772D"/>
    <w:rsid w:val="003F7784"/>
    <w:rsid w:val="003F795D"/>
    <w:rsid w:val="003F79E8"/>
    <w:rsid w:val="003F7A7F"/>
    <w:rsid w:val="003F7A90"/>
    <w:rsid w:val="003F7B2F"/>
    <w:rsid w:val="003F7DDF"/>
    <w:rsid w:val="003F7F7E"/>
    <w:rsid w:val="004001FB"/>
    <w:rsid w:val="00400202"/>
    <w:rsid w:val="004002A5"/>
    <w:rsid w:val="0040035B"/>
    <w:rsid w:val="0040035F"/>
    <w:rsid w:val="00400433"/>
    <w:rsid w:val="00400637"/>
    <w:rsid w:val="00400649"/>
    <w:rsid w:val="004006BE"/>
    <w:rsid w:val="0040077C"/>
    <w:rsid w:val="004008A1"/>
    <w:rsid w:val="004008AC"/>
    <w:rsid w:val="004009CD"/>
    <w:rsid w:val="004009EA"/>
    <w:rsid w:val="00400A66"/>
    <w:rsid w:val="00400A93"/>
    <w:rsid w:val="00400B4B"/>
    <w:rsid w:val="00400B86"/>
    <w:rsid w:val="00400BA3"/>
    <w:rsid w:val="00400BEF"/>
    <w:rsid w:val="00400CBF"/>
    <w:rsid w:val="00400D21"/>
    <w:rsid w:val="00400D95"/>
    <w:rsid w:val="00400E4D"/>
    <w:rsid w:val="00400F00"/>
    <w:rsid w:val="004010C1"/>
    <w:rsid w:val="00401159"/>
    <w:rsid w:val="0040115E"/>
    <w:rsid w:val="004012D9"/>
    <w:rsid w:val="00401407"/>
    <w:rsid w:val="00401525"/>
    <w:rsid w:val="00401569"/>
    <w:rsid w:val="00401591"/>
    <w:rsid w:val="00401782"/>
    <w:rsid w:val="00401849"/>
    <w:rsid w:val="00401965"/>
    <w:rsid w:val="0040196F"/>
    <w:rsid w:val="004019D8"/>
    <w:rsid w:val="004019ED"/>
    <w:rsid w:val="00401AA5"/>
    <w:rsid w:val="00401BC2"/>
    <w:rsid w:val="00401C64"/>
    <w:rsid w:val="00401C75"/>
    <w:rsid w:val="00401D25"/>
    <w:rsid w:val="00401D3E"/>
    <w:rsid w:val="00401F55"/>
    <w:rsid w:val="00401F62"/>
    <w:rsid w:val="00401FF2"/>
    <w:rsid w:val="00402025"/>
    <w:rsid w:val="004020A2"/>
    <w:rsid w:val="00402191"/>
    <w:rsid w:val="004021F6"/>
    <w:rsid w:val="0040227E"/>
    <w:rsid w:val="0040233A"/>
    <w:rsid w:val="004023EC"/>
    <w:rsid w:val="00402791"/>
    <w:rsid w:val="0040297C"/>
    <w:rsid w:val="00402B15"/>
    <w:rsid w:val="00402B2B"/>
    <w:rsid w:val="00402CC8"/>
    <w:rsid w:val="00402E98"/>
    <w:rsid w:val="00402F04"/>
    <w:rsid w:val="00402F3C"/>
    <w:rsid w:val="0040307E"/>
    <w:rsid w:val="00403194"/>
    <w:rsid w:val="004031C3"/>
    <w:rsid w:val="00403450"/>
    <w:rsid w:val="00403554"/>
    <w:rsid w:val="004035FA"/>
    <w:rsid w:val="0040362D"/>
    <w:rsid w:val="00403802"/>
    <w:rsid w:val="0040382F"/>
    <w:rsid w:val="004038D9"/>
    <w:rsid w:val="0040396E"/>
    <w:rsid w:val="004039DF"/>
    <w:rsid w:val="00403BBC"/>
    <w:rsid w:val="00403DD7"/>
    <w:rsid w:val="00403E52"/>
    <w:rsid w:val="00404052"/>
    <w:rsid w:val="004041E6"/>
    <w:rsid w:val="004042DE"/>
    <w:rsid w:val="00404373"/>
    <w:rsid w:val="004043A4"/>
    <w:rsid w:val="004043F2"/>
    <w:rsid w:val="0040471C"/>
    <w:rsid w:val="00404795"/>
    <w:rsid w:val="00404839"/>
    <w:rsid w:val="004048C5"/>
    <w:rsid w:val="004048D2"/>
    <w:rsid w:val="0040491E"/>
    <w:rsid w:val="0040494A"/>
    <w:rsid w:val="00404A1B"/>
    <w:rsid w:val="00404A4D"/>
    <w:rsid w:val="00404B11"/>
    <w:rsid w:val="00404B50"/>
    <w:rsid w:val="00404C72"/>
    <w:rsid w:val="00404C93"/>
    <w:rsid w:val="00404CE9"/>
    <w:rsid w:val="00404E16"/>
    <w:rsid w:val="00404E89"/>
    <w:rsid w:val="00404E98"/>
    <w:rsid w:val="00404EBB"/>
    <w:rsid w:val="00404F48"/>
    <w:rsid w:val="00404F76"/>
    <w:rsid w:val="00405082"/>
    <w:rsid w:val="00405097"/>
    <w:rsid w:val="004051BD"/>
    <w:rsid w:val="004051F0"/>
    <w:rsid w:val="00405215"/>
    <w:rsid w:val="004052F7"/>
    <w:rsid w:val="0040557F"/>
    <w:rsid w:val="004058C7"/>
    <w:rsid w:val="004058F4"/>
    <w:rsid w:val="00405907"/>
    <w:rsid w:val="00405AF7"/>
    <w:rsid w:val="00405B28"/>
    <w:rsid w:val="00405C97"/>
    <w:rsid w:val="00405CA7"/>
    <w:rsid w:val="00405D1A"/>
    <w:rsid w:val="00405D1F"/>
    <w:rsid w:val="00405EB3"/>
    <w:rsid w:val="00406053"/>
    <w:rsid w:val="00406058"/>
    <w:rsid w:val="004060F0"/>
    <w:rsid w:val="0040623A"/>
    <w:rsid w:val="00406243"/>
    <w:rsid w:val="004063DD"/>
    <w:rsid w:val="004063F8"/>
    <w:rsid w:val="0040641C"/>
    <w:rsid w:val="00406443"/>
    <w:rsid w:val="0040649D"/>
    <w:rsid w:val="00406523"/>
    <w:rsid w:val="004065A5"/>
    <w:rsid w:val="004065FF"/>
    <w:rsid w:val="00406617"/>
    <w:rsid w:val="0040674B"/>
    <w:rsid w:val="00406776"/>
    <w:rsid w:val="0040684D"/>
    <w:rsid w:val="004068D9"/>
    <w:rsid w:val="004069D4"/>
    <w:rsid w:val="00406AA6"/>
    <w:rsid w:val="00406AE4"/>
    <w:rsid w:val="00406BF7"/>
    <w:rsid w:val="00406C11"/>
    <w:rsid w:val="00406C26"/>
    <w:rsid w:val="00406C7B"/>
    <w:rsid w:val="00406C98"/>
    <w:rsid w:val="00406F93"/>
    <w:rsid w:val="0040700E"/>
    <w:rsid w:val="00407039"/>
    <w:rsid w:val="00407066"/>
    <w:rsid w:val="00407090"/>
    <w:rsid w:val="004071F2"/>
    <w:rsid w:val="0040720A"/>
    <w:rsid w:val="00407220"/>
    <w:rsid w:val="00407226"/>
    <w:rsid w:val="004072C3"/>
    <w:rsid w:val="004072F9"/>
    <w:rsid w:val="00407336"/>
    <w:rsid w:val="004073D9"/>
    <w:rsid w:val="004074E8"/>
    <w:rsid w:val="00407513"/>
    <w:rsid w:val="00407577"/>
    <w:rsid w:val="00407594"/>
    <w:rsid w:val="0040771D"/>
    <w:rsid w:val="00407802"/>
    <w:rsid w:val="00407863"/>
    <w:rsid w:val="004078C8"/>
    <w:rsid w:val="004078CE"/>
    <w:rsid w:val="00407903"/>
    <w:rsid w:val="00407DC3"/>
    <w:rsid w:val="00407FCE"/>
    <w:rsid w:val="0041002E"/>
    <w:rsid w:val="0041009B"/>
    <w:rsid w:val="0041030E"/>
    <w:rsid w:val="004103B0"/>
    <w:rsid w:val="004103CE"/>
    <w:rsid w:val="0041044F"/>
    <w:rsid w:val="0041054C"/>
    <w:rsid w:val="00410673"/>
    <w:rsid w:val="00410810"/>
    <w:rsid w:val="00410953"/>
    <w:rsid w:val="00410A52"/>
    <w:rsid w:val="00410B59"/>
    <w:rsid w:val="00410C70"/>
    <w:rsid w:val="00410CE3"/>
    <w:rsid w:val="00410D9D"/>
    <w:rsid w:val="00410E15"/>
    <w:rsid w:val="00410EE1"/>
    <w:rsid w:val="00410F46"/>
    <w:rsid w:val="00410F79"/>
    <w:rsid w:val="00410FE6"/>
    <w:rsid w:val="004110DD"/>
    <w:rsid w:val="004111F5"/>
    <w:rsid w:val="0041122C"/>
    <w:rsid w:val="0041124E"/>
    <w:rsid w:val="004112F0"/>
    <w:rsid w:val="0041130E"/>
    <w:rsid w:val="00411397"/>
    <w:rsid w:val="0041141E"/>
    <w:rsid w:val="004115E3"/>
    <w:rsid w:val="004115FB"/>
    <w:rsid w:val="00411637"/>
    <w:rsid w:val="00411759"/>
    <w:rsid w:val="004117EA"/>
    <w:rsid w:val="004117EB"/>
    <w:rsid w:val="00411840"/>
    <w:rsid w:val="00411852"/>
    <w:rsid w:val="004119D1"/>
    <w:rsid w:val="00411AA5"/>
    <w:rsid w:val="00411B71"/>
    <w:rsid w:val="00411BDD"/>
    <w:rsid w:val="00411FBB"/>
    <w:rsid w:val="00411FBC"/>
    <w:rsid w:val="00411FC4"/>
    <w:rsid w:val="0041208E"/>
    <w:rsid w:val="00412110"/>
    <w:rsid w:val="00412263"/>
    <w:rsid w:val="004122DC"/>
    <w:rsid w:val="004122F6"/>
    <w:rsid w:val="004122F7"/>
    <w:rsid w:val="00412412"/>
    <w:rsid w:val="00412451"/>
    <w:rsid w:val="004124EC"/>
    <w:rsid w:val="0041254F"/>
    <w:rsid w:val="00412695"/>
    <w:rsid w:val="0041269D"/>
    <w:rsid w:val="004126B0"/>
    <w:rsid w:val="004129A1"/>
    <w:rsid w:val="00412AAF"/>
    <w:rsid w:val="00412AE1"/>
    <w:rsid w:val="00412B33"/>
    <w:rsid w:val="00412BF4"/>
    <w:rsid w:val="00412C18"/>
    <w:rsid w:val="00412C48"/>
    <w:rsid w:val="00412CBB"/>
    <w:rsid w:val="00412CE5"/>
    <w:rsid w:val="00412CEB"/>
    <w:rsid w:val="00412D4B"/>
    <w:rsid w:val="00412D4E"/>
    <w:rsid w:val="00412E01"/>
    <w:rsid w:val="00412E08"/>
    <w:rsid w:val="00412E82"/>
    <w:rsid w:val="00412E84"/>
    <w:rsid w:val="00412F39"/>
    <w:rsid w:val="004130FC"/>
    <w:rsid w:val="00413137"/>
    <w:rsid w:val="004131EC"/>
    <w:rsid w:val="004131F3"/>
    <w:rsid w:val="00413273"/>
    <w:rsid w:val="004132CA"/>
    <w:rsid w:val="0041330E"/>
    <w:rsid w:val="0041338F"/>
    <w:rsid w:val="004133C2"/>
    <w:rsid w:val="004133E1"/>
    <w:rsid w:val="0041365C"/>
    <w:rsid w:val="00413721"/>
    <w:rsid w:val="004137B9"/>
    <w:rsid w:val="004138AE"/>
    <w:rsid w:val="00413A10"/>
    <w:rsid w:val="00413AAD"/>
    <w:rsid w:val="00413C75"/>
    <w:rsid w:val="00413C78"/>
    <w:rsid w:val="00413C8B"/>
    <w:rsid w:val="00413CAC"/>
    <w:rsid w:val="00413CB7"/>
    <w:rsid w:val="00413DBE"/>
    <w:rsid w:val="00413E73"/>
    <w:rsid w:val="00413E77"/>
    <w:rsid w:val="00413ECB"/>
    <w:rsid w:val="00413ED9"/>
    <w:rsid w:val="0041400B"/>
    <w:rsid w:val="00414049"/>
    <w:rsid w:val="00414078"/>
    <w:rsid w:val="004140DA"/>
    <w:rsid w:val="004142A1"/>
    <w:rsid w:val="004142D4"/>
    <w:rsid w:val="004142FA"/>
    <w:rsid w:val="00414319"/>
    <w:rsid w:val="0041433A"/>
    <w:rsid w:val="00414456"/>
    <w:rsid w:val="0041447C"/>
    <w:rsid w:val="00414618"/>
    <w:rsid w:val="004146C6"/>
    <w:rsid w:val="004146E2"/>
    <w:rsid w:val="00414780"/>
    <w:rsid w:val="004147DD"/>
    <w:rsid w:val="0041485C"/>
    <w:rsid w:val="00414876"/>
    <w:rsid w:val="004148C5"/>
    <w:rsid w:val="00414915"/>
    <w:rsid w:val="0041493C"/>
    <w:rsid w:val="004149B7"/>
    <w:rsid w:val="00414A0F"/>
    <w:rsid w:val="00414A19"/>
    <w:rsid w:val="00414A6B"/>
    <w:rsid w:val="00414BAA"/>
    <w:rsid w:val="00414C33"/>
    <w:rsid w:val="00414C40"/>
    <w:rsid w:val="00414D45"/>
    <w:rsid w:val="00414DDC"/>
    <w:rsid w:val="00414EBE"/>
    <w:rsid w:val="00414EF0"/>
    <w:rsid w:val="0041506D"/>
    <w:rsid w:val="0041509D"/>
    <w:rsid w:val="00415150"/>
    <w:rsid w:val="00415271"/>
    <w:rsid w:val="004152B4"/>
    <w:rsid w:val="00415668"/>
    <w:rsid w:val="00415833"/>
    <w:rsid w:val="00415AB9"/>
    <w:rsid w:val="00415ABC"/>
    <w:rsid w:val="00415B6E"/>
    <w:rsid w:val="00415CC0"/>
    <w:rsid w:val="00415E04"/>
    <w:rsid w:val="00415E27"/>
    <w:rsid w:val="00415EF1"/>
    <w:rsid w:val="00415F04"/>
    <w:rsid w:val="00416259"/>
    <w:rsid w:val="004162CB"/>
    <w:rsid w:val="004162F6"/>
    <w:rsid w:val="00416329"/>
    <w:rsid w:val="004164DB"/>
    <w:rsid w:val="00416535"/>
    <w:rsid w:val="00416581"/>
    <w:rsid w:val="0041680F"/>
    <w:rsid w:val="00416887"/>
    <w:rsid w:val="004168E9"/>
    <w:rsid w:val="00416929"/>
    <w:rsid w:val="00416AF1"/>
    <w:rsid w:val="00416B5E"/>
    <w:rsid w:val="00416D43"/>
    <w:rsid w:val="00416E12"/>
    <w:rsid w:val="00416EAF"/>
    <w:rsid w:val="00416ECE"/>
    <w:rsid w:val="00416EF6"/>
    <w:rsid w:val="00416FC2"/>
    <w:rsid w:val="0041707B"/>
    <w:rsid w:val="0041707D"/>
    <w:rsid w:val="004170DD"/>
    <w:rsid w:val="004170F0"/>
    <w:rsid w:val="004171DF"/>
    <w:rsid w:val="0041721C"/>
    <w:rsid w:val="0041739F"/>
    <w:rsid w:val="004174D6"/>
    <w:rsid w:val="004174E6"/>
    <w:rsid w:val="0041751F"/>
    <w:rsid w:val="0041757A"/>
    <w:rsid w:val="00417672"/>
    <w:rsid w:val="004176AF"/>
    <w:rsid w:val="00417804"/>
    <w:rsid w:val="00417960"/>
    <w:rsid w:val="004179BE"/>
    <w:rsid w:val="00417A3D"/>
    <w:rsid w:val="00417A5C"/>
    <w:rsid w:val="00417B48"/>
    <w:rsid w:val="00417CD1"/>
    <w:rsid w:val="00417D46"/>
    <w:rsid w:val="00417E35"/>
    <w:rsid w:val="00417EA1"/>
    <w:rsid w:val="00417F2A"/>
    <w:rsid w:val="00417F7B"/>
    <w:rsid w:val="0042017F"/>
    <w:rsid w:val="00420220"/>
    <w:rsid w:val="00420279"/>
    <w:rsid w:val="00420419"/>
    <w:rsid w:val="004204FF"/>
    <w:rsid w:val="00420561"/>
    <w:rsid w:val="00420565"/>
    <w:rsid w:val="00420658"/>
    <w:rsid w:val="004206AD"/>
    <w:rsid w:val="00420728"/>
    <w:rsid w:val="0042088D"/>
    <w:rsid w:val="00420B7C"/>
    <w:rsid w:val="00420CB0"/>
    <w:rsid w:val="00420CF0"/>
    <w:rsid w:val="00420D49"/>
    <w:rsid w:val="00420E36"/>
    <w:rsid w:val="00420E5B"/>
    <w:rsid w:val="00420EC7"/>
    <w:rsid w:val="00420F85"/>
    <w:rsid w:val="00421271"/>
    <w:rsid w:val="00421390"/>
    <w:rsid w:val="004213E0"/>
    <w:rsid w:val="004214BB"/>
    <w:rsid w:val="00421580"/>
    <w:rsid w:val="00421619"/>
    <w:rsid w:val="0042173E"/>
    <w:rsid w:val="00421883"/>
    <w:rsid w:val="0042197E"/>
    <w:rsid w:val="00421CE1"/>
    <w:rsid w:val="00421D53"/>
    <w:rsid w:val="00421DAE"/>
    <w:rsid w:val="00421FED"/>
    <w:rsid w:val="004221A0"/>
    <w:rsid w:val="00422242"/>
    <w:rsid w:val="0042227C"/>
    <w:rsid w:val="004222C7"/>
    <w:rsid w:val="00422334"/>
    <w:rsid w:val="00422344"/>
    <w:rsid w:val="00422462"/>
    <w:rsid w:val="004224E2"/>
    <w:rsid w:val="004225A1"/>
    <w:rsid w:val="004225A7"/>
    <w:rsid w:val="004225AE"/>
    <w:rsid w:val="004225D0"/>
    <w:rsid w:val="00422661"/>
    <w:rsid w:val="004226D4"/>
    <w:rsid w:val="00422744"/>
    <w:rsid w:val="004227FD"/>
    <w:rsid w:val="0042285A"/>
    <w:rsid w:val="004229DB"/>
    <w:rsid w:val="00422A85"/>
    <w:rsid w:val="00422B97"/>
    <w:rsid w:val="00422BC4"/>
    <w:rsid w:val="00422C0A"/>
    <w:rsid w:val="00422EC6"/>
    <w:rsid w:val="00422EFD"/>
    <w:rsid w:val="00422F1B"/>
    <w:rsid w:val="00422FB7"/>
    <w:rsid w:val="00423069"/>
    <w:rsid w:val="004230DC"/>
    <w:rsid w:val="00423149"/>
    <w:rsid w:val="004232C4"/>
    <w:rsid w:val="004234AB"/>
    <w:rsid w:val="004234BF"/>
    <w:rsid w:val="00423616"/>
    <w:rsid w:val="0042361F"/>
    <w:rsid w:val="004236D9"/>
    <w:rsid w:val="0042374A"/>
    <w:rsid w:val="0042374F"/>
    <w:rsid w:val="00423982"/>
    <w:rsid w:val="004239CB"/>
    <w:rsid w:val="00423A52"/>
    <w:rsid w:val="00423B75"/>
    <w:rsid w:val="00423BB8"/>
    <w:rsid w:val="00423BC7"/>
    <w:rsid w:val="00423BCA"/>
    <w:rsid w:val="00423C51"/>
    <w:rsid w:val="00423C5B"/>
    <w:rsid w:val="00423C71"/>
    <w:rsid w:val="00423D5A"/>
    <w:rsid w:val="00423D64"/>
    <w:rsid w:val="00423D65"/>
    <w:rsid w:val="00423F55"/>
    <w:rsid w:val="00423F88"/>
    <w:rsid w:val="00423F94"/>
    <w:rsid w:val="00424232"/>
    <w:rsid w:val="00424258"/>
    <w:rsid w:val="00424264"/>
    <w:rsid w:val="004242D7"/>
    <w:rsid w:val="00424357"/>
    <w:rsid w:val="0042449E"/>
    <w:rsid w:val="00424515"/>
    <w:rsid w:val="00424667"/>
    <w:rsid w:val="00424700"/>
    <w:rsid w:val="0042472F"/>
    <w:rsid w:val="0042475A"/>
    <w:rsid w:val="004249D2"/>
    <w:rsid w:val="00424A45"/>
    <w:rsid w:val="00424A9E"/>
    <w:rsid w:val="00424C26"/>
    <w:rsid w:val="00424C7D"/>
    <w:rsid w:val="00424CAA"/>
    <w:rsid w:val="00424D16"/>
    <w:rsid w:val="00424D7D"/>
    <w:rsid w:val="00424E87"/>
    <w:rsid w:val="00424F43"/>
    <w:rsid w:val="00424FC0"/>
    <w:rsid w:val="00425013"/>
    <w:rsid w:val="00425061"/>
    <w:rsid w:val="00425080"/>
    <w:rsid w:val="004250B7"/>
    <w:rsid w:val="004250C8"/>
    <w:rsid w:val="00425112"/>
    <w:rsid w:val="00425175"/>
    <w:rsid w:val="00425183"/>
    <w:rsid w:val="004251B4"/>
    <w:rsid w:val="00425293"/>
    <w:rsid w:val="004252AA"/>
    <w:rsid w:val="004253B3"/>
    <w:rsid w:val="0042548D"/>
    <w:rsid w:val="004254FD"/>
    <w:rsid w:val="0042552F"/>
    <w:rsid w:val="004257F0"/>
    <w:rsid w:val="00425863"/>
    <w:rsid w:val="00425872"/>
    <w:rsid w:val="004258E9"/>
    <w:rsid w:val="00425A60"/>
    <w:rsid w:val="00425AE3"/>
    <w:rsid w:val="00425BFE"/>
    <w:rsid w:val="00425C7A"/>
    <w:rsid w:val="00425CE0"/>
    <w:rsid w:val="00425D8F"/>
    <w:rsid w:val="00425DAF"/>
    <w:rsid w:val="00425DE7"/>
    <w:rsid w:val="00425F04"/>
    <w:rsid w:val="00425F17"/>
    <w:rsid w:val="00425F41"/>
    <w:rsid w:val="0042606C"/>
    <w:rsid w:val="00426193"/>
    <w:rsid w:val="0042622C"/>
    <w:rsid w:val="00426242"/>
    <w:rsid w:val="004262B0"/>
    <w:rsid w:val="00426342"/>
    <w:rsid w:val="0042635F"/>
    <w:rsid w:val="004263D3"/>
    <w:rsid w:val="00426497"/>
    <w:rsid w:val="004264CE"/>
    <w:rsid w:val="00426831"/>
    <w:rsid w:val="00426867"/>
    <w:rsid w:val="004269B0"/>
    <w:rsid w:val="00426A30"/>
    <w:rsid w:val="00426A8A"/>
    <w:rsid w:val="00426ABB"/>
    <w:rsid w:val="00426B9D"/>
    <w:rsid w:val="00426BCB"/>
    <w:rsid w:val="00426C6E"/>
    <w:rsid w:val="00426CA3"/>
    <w:rsid w:val="00426D23"/>
    <w:rsid w:val="00426F0C"/>
    <w:rsid w:val="00426FB6"/>
    <w:rsid w:val="00426FF1"/>
    <w:rsid w:val="00426FF4"/>
    <w:rsid w:val="00427051"/>
    <w:rsid w:val="00427104"/>
    <w:rsid w:val="004274CF"/>
    <w:rsid w:val="004274D2"/>
    <w:rsid w:val="00427506"/>
    <w:rsid w:val="00427523"/>
    <w:rsid w:val="004275A8"/>
    <w:rsid w:val="00427613"/>
    <w:rsid w:val="00427629"/>
    <w:rsid w:val="0042769A"/>
    <w:rsid w:val="004276F3"/>
    <w:rsid w:val="00427739"/>
    <w:rsid w:val="00427756"/>
    <w:rsid w:val="00427774"/>
    <w:rsid w:val="00427881"/>
    <w:rsid w:val="00427966"/>
    <w:rsid w:val="004279A6"/>
    <w:rsid w:val="004279F7"/>
    <w:rsid w:val="00427BBD"/>
    <w:rsid w:val="00427C28"/>
    <w:rsid w:val="00427F63"/>
    <w:rsid w:val="00430077"/>
    <w:rsid w:val="0043016D"/>
    <w:rsid w:val="0043017E"/>
    <w:rsid w:val="004301BA"/>
    <w:rsid w:val="004302A3"/>
    <w:rsid w:val="0043037A"/>
    <w:rsid w:val="004303B1"/>
    <w:rsid w:val="004303BA"/>
    <w:rsid w:val="004303F1"/>
    <w:rsid w:val="004304BB"/>
    <w:rsid w:val="004304D5"/>
    <w:rsid w:val="00430584"/>
    <w:rsid w:val="004307CE"/>
    <w:rsid w:val="00430824"/>
    <w:rsid w:val="004308C9"/>
    <w:rsid w:val="00430992"/>
    <w:rsid w:val="00430ACB"/>
    <w:rsid w:val="00430AF0"/>
    <w:rsid w:val="00430CBC"/>
    <w:rsid w:val="00430D17"/>
    <w:rsid w:val="00430D9F"/>
    <w:rsid w:val="00430DA0"/>
    <w:rsid w:val="00430E41"/>
    <w:rsid w:val="00430F6B"/>
    <w:rsid w:val="00430F80"/>
    <w:rsid w:val="004311D8"/>
    <w:rsid w:val="004312C9"/>
    <w:rsid w:val="0043140C"/>
    <w:rsid w:val="00431518"/>
    <w:rsid w:val="00431590"/>
    <w:rsid w:val="00431684"/>
    <w:rsid w:val="0043168C"/>
    <w:rsid w:val="004316A6"/>
    <w:rsid w:val="004316B1"/>
    <w:rsid w:val="00431731"/>
    <w:rsid w:val="00431911"/>
    <w:rsid w:val="004319EE"/>
    <w:rsid w:val="00431A31"/>
    <w:rsid w:val="00431A5B"/>
    <w:rsid w:val="00431B3B"/>
    <w:rsid w:val="00431B4E"/>
    <w:rsid w:val="00431B74"/>
    <w:rsid w:val="00431B80"/>
    <w:rsid w:val="00431B83"/>
    <w:rsid w:val="00431BA1"/>
    <w:rsid w:val="00431BAC"/>
    <w:rsid w:val="00431C00"/>
    <w:rsid w:val="00431C2A"/>
    <w:rsid w:val="00431CC7"/>
    <w:rsid w:val="00431D5C"/>
    <w:rsid w:val="00431E2A"/>
    <w:rsid w:val="00431F54"/>
    <w:rsid w:val="00431F77"/>
    <w:rsid w:val="0043210B"/>
    <w:rsid w:val="0043223B"/>
    <w:rsid w:val="0043237F"/>
    <w:rsid w:val="00432391"/>
    <w:rsid w:val="004323F8"/>
    <w:rsid w:val="0043244D"/>
    <w:rsid w:val="00432451"/>
    <w:rsid w:val="00432593"/>
    <w:rsid w:val="004325E9"/>
    <w:rsid w:val="004326E0"/>
    <w:rsid w:val="00432765"/>
    <w:rsid w:val="004328EC"/>
    <w:rsid w:val="004329A3"/>
    <w:rsid w:val="00432A85"/>
    <w:rsid w:val="00432B1A"/>
    <w:rsid w:val="00432B1F"/>
    <w:rsid w:val="00432B3E"/>
    <w:rsid w:val="00432D24"/>
    <w:rsid w:val="00432D46"/>
    <w:rsid w:val="00432D64"/>
    <w:rsid w:val="00432DF2"/>
    <w:rsid w:val="00432E00"/>
    <w:rsid w:val="00432F90"/>
    <w:rsid w:val="00433274"/>
    <w:rsid w:val="004333FD"/>
    <w:rsid w:val="0043363B"/>
    <w:rsid w:val="00433841"/>
    <w:rsid w:val="004338BC"/>
    <w:rsid w:val="004338FD"/>
    <w:rsid w:val="004339F5"/>
    <w:rsid w:val="00433B89"/>
    <w:rsid w:val="00433BBC"/>
    <w:rsid w:val="00433BF6"/>
    <w:rsid w:val="00433C92"/>
    <w:rsid w:val="00433DBE"/>
    <w:rsid w:val="00433E07"/>
    <w:rsid w:val="00433E35"/>
    <w:rsid w:val="00433ECF"/>
    <w:rsid w:val="00433F3D"/>
    <w:rsid w:val="00433F70"/>
    <w:rsid w:val="00433FFC"/>
    <w:rsid w:val="0043402B"/>
    <w:rsid w:val="00434145"/>
    <w:rsid w:val="0043422F"/>
    <w:rsid w:val="0043440C"/>
    <w:rsid w:val="0043449F"/>
    <w:rsid w:val="004344BE"/>
    <w:rsid w:val="00434538"/>
    <w:rsid w:val="0043457E"/>
    <w:rsid w:val="0043459F"/>
    <w:rsid w:val="004345C6"/>
    <w:rsid w:val="0043467A"/>
    <w:rsid w:val="00434681"/>
    <w:rsid w:val="004346F9"/>
    <w:rsid w:val="004347F7"/>
    <w:rsid w:val="004348C1"/>
    <w:rsid w:val="00434927"/>
    <w:rsid w:val="0043493D"/>
    <w:rsid w:val="00434963"/>
    <w:rsid w:val="00434AC8"/>
    <w:rsid w:val="00434C2D"/>
    <w:rsid w:val="00434C42"/>
    <w:rsid w:val="00434D0B"/>
    <w:rsid w:val="00434D11"/>
    <w:rsid w:val="00434F82"/>
    <w:rsid w:val="0043502C"/>
    <w:rsid w:val="00435076"/>
    <w:rsid w:val="00435106"/>
    <w:rsid w:val="00435294"/>
    <w:rsid w:val="0043529B"/>
    <w:rsid w:val="004352AA"/>
    <w:rsid w:val="00435320"/>
    <w:rsid w:val="0043532F"/>
    <w:rsid w:val="004353F6"/>
    <w:rsid w:val="0043546D"/>
    <w:rsid w:val="00435476"/>
    <w:rsid w:val="004354EA"/>
    <w:rsid w:val="00435561"/>
    <w:rsid w:val="004355B4"/>
    <w:rsid w:val="00435686"/>
    <w:rsid w:val="004356EB"/>
    <w:rsid w:val="00435714"/>
    <w:rsid w:val="004357AF"/>
    <w:rsid w:val="00435807"/>
    <w:rsid w:val="00435A08"/>
    <w:rsid w:val="00435A09"/>
    <w:rsid w:val="00435AA2"/>
    <w:rsid w:val="00435BB8"/>
    <w:rsid w:val="00435C57"/>
    <w:rsid w:val="00435CA1"/>
    <w:rsid w:val="00435CCF"/>
    <w:rsid w:val="00435CD8"/>
    <w:rsid w:val="00435E39"/>
    <w:rsid w:val="00435E9F"/>
    <w:rsid w:val="00435F4E"/>
    <w:rsid w:val="00436068"/>
    <w:rsid w:val="00436176"/>
    <w:rsid w:val="0043622E"/>
    <w:rsid w:val="00436339"/>
    <w:rsid w:val="0043634D"/>
    <w:rsid w:val="00436418"/>
    <w:rsid w:val="004364AB"/>
    <w:rsid w:val="00436624"/>
    <w:rsid w:val="00436632"/>
    <w:rsid w:val="0043669D"/>
    <w:rsid w:val="0043678F"/>
    <w:rsid w:val="00436AC3"/>
    <w:rsid w:val="00436AC7"/>
    <w:rsid w:val="00436BBE"/>
    <w:rsid w:val="00436C2B"/>
    <w:rsid w:val="00436CB6"/>
    <w:rsid w:val="00436D5C"/>
    <w:rsid w:val="00436D92"/>
    <w:rsid w:val="00436F06"/>
    <w:rsid w:val="00436FBB"/>
    <w:rsid w:val="00437068"/>
    <w:rsid w:val="00437443"/>
    <w:rsid w:val="00437580"/>
    <w:rsid w:val="00437594"/>
    <w:rsid w:val="004375EF"/>
    <w:rsid w:val="0043760D"/>
    <w:rsid w:val="0043773B"/>
    <w:rsid w:val="00437757"/>
    <w:rsid w:val="00437828"/>
    <w:rsid w:val="004378FB"/>
    <w:rsid w:val="004379CB"/>
    <w:rsid w:val="004379F1"/>
    <w:rsid w:val="00437A28"/>
    <w:rsid w:val="00437AC5"/>
    <w:rsid w:val="00437B94"/>
    <w:rsid w:val="00437C68"/>
    <w:rsid w:val="00437C69"/>
    <w:rsid w:val="00437E38"/>
    <w:rsid w:val="00437E49"/>
    <w:rsid w:val="00437EB6"/>
    <w:rsid w:val="00437EFB"/>
    <w:rsid w:val="00437F97"/>
    <w:rsid w:val="00437FE4"/>
    <w:rsid w:val="00440032"/>
    <w:rsid w:val="00440102"/>
    <w:rsid w:val="00440110"/>
    <w:rsid w:val="00440154"/>
    <w:rsid w:val="0044016A"/>
    <w:rsid w:val="00440264"/>
    <w:rsid w:val="0044028B"/>
    <w:rsid w:val="00440323"/>
    <w:rsid w:val="004403F2"/>
    <w:rsid w:val="00440472"/>
    <w:rsid w:val="0044048F"/>
    <w:rsid w:val="004406BD"/>
    <w:rsid w:val="00440723"/>
    <w:rsid w:val="004407C6"/>
    <w:rsid w:val="0044082A"/>
    <w:rsid w:val="0044082B"/>
    <w:rsid w:val="00440956"/>
    <w:rsid w:val="0044098C"/>
    <w:rsid w:val="004409BE"/>
    <w:rsid w:val="00440A53"/>
    <w:rsid w:val="00440A78"/>
    <w:rsid w:val="00440CD9"/>
    <w:rsid w:val="00440CF0"/>
    <w:rsid w:val="00440CFC"/>
    <w:rsid w:val="00440DFC"/>
    <w:rsid w:val="00440E7D"/>
    <w:rsid w:val="00440F4F"/>
    <w:rsid w:val="00440F83"/>
    <w:rsid w:val="00440FE9"/>
    <w:rsid w:val="00440FEB"/>
    <w:rsid w:val="004411AB"/>
    <w:rsid w:val="00441218"/>
    <w:rsid w:val="0044121C"/>
    <w:rsid w:val="004412C4"/>
    <w:rsid w:val="00441451"/>
    <w:rsid w:val="00441582"/>
    <w:rsid w:val="00441698"/>
    <w:rsid w:val="004416FA"/>
    <w:rsid w:val="00441729"/>
    <w:rsid w:val="00441736"/>
    <w:rsid w:val="00441760"/>
    <w:rsid w:val="004417E6"/>
    <w:rsid w:val="00441820"/>
    <w:rsid w:val="004418CD"/>
    <w:rsid w:val="004419DF"/>
    <w:rsid w:val="00441A68"/>
    <w:rsid w:val="00441A96"/>
    <w:rsid w:val="00441AB1"/>
    <w:rsid w:val="00441B64"/>
    <w:rsid w:val="00441B86"/>
    <w:rsid w:val="00441C78"/>
    <w:rsid w:val="00441DD7"/>
    <w:rsid w:val="00441E3D"/>
    <w:rsid w:val="00441E67"/>
    <w:rsid w:val="00441EDE"/>
    <w:rsid w:val="00441FA9"/>
    <w:rsid w:val="00441FE5"/>
    <w:rsid w:val="004422E4"/>
    <w:rsid w:val="004423F5"/>
    <w:rsid w:val="00442416"/>
    <w:rsid w:val="00442617"/>
    <w:rsid w:val="004426FC"/>
    <w:rsid w:val="00442750"/>
    <w:rsid w:val="00442772"/>
    <w:rsid w:val="0044278C"/>
    <w:rsid w:val="004427DA"/>
    <w:rsid w:val="0044296D"/>
    <w:rsid w:val="00442A3F"/>
    <w:rsid w:val="00442A5D"/>
    <w:rsid w:val="00442B4D"/>
    <w:rsid w:val="00442CD9"/>
    <w:rsid w:val="00442D08"/>
    <w:rsid w:val="00442E48"/>
    <w:rsid w:val="00442EDD"/>
    <w:rsid w:val="00442F8E"/>
    <w:rsid w:val="00442FC8"/>
    <w:rsid w:val="00443068"/>
    <w:rsid w:val="00443078"/>
    <w:rsid w:val="00443160"/>
    <w:rsid w:val="004431E2"/>
    <w:rsid w:val="00443201"/>
    <w:rsid w:val="0044323B"/>
    <w:rsid w:val="00443256"/>
    <w:rsid w:val="0044328E"/>
    <w:rsid w:val="00443297"/>
    <w:rsid w:val="00443352"/>
    <w:rsid w:val="00443357"/>
    <w:rsid w:val="00443551"/>
    <w:rsid w:val="004435A5"/>
    <w:rsid w:val="004435E2"/>
    <w:rsid w:val="00443634"/>
    <w:rsid w:val="004436C0"/>
    <w:rsid w:val="004436F8"/>
    <w:rsid w:val="0044370D"/>
    <w:rsid w:val="00443736"/>
    <w:rsid w:val="0044376D"/>
    <w:rsid w:val="0044395E"/>
    <w:rsid w:val="0044396F"/>
    <w:rsid w:val="00443A77"/>
    <w:rsid w:val="00443AFE"/>
    <w:rsid w:val="00443B7B"/>
    <w:rsid w:val="00443C30"/>
    <w:rsid w:val="00443C9E"/>
    <w:rsid w:val="00443D7F"/>
    <w:rsid w:val="00443DA6"/>
    <w:rsid w:val="00443DB0"/>
    <w:rsid w:val="00443DD8"/>
    <w:rsid w:val="00443E05"/>
    <w:rsid w:val="00443E17"/>
    <w:rsid w:val="00443EC1"/>
    <w:rsid w:val="00443F70"/>
    <w:rsid w:val="00444071"/>
    <w:rsid w:val="0044419B"/>
    <w:rsid w:val="004442A6"/>
    <w:rsid w:val="0044435F"/>
    <w:rsid w:val="004443C3"/>
    <w:rsid w:val="004443DE"/>
    <w:rsid w:val="004444B2"/>
    <w:rsid w:val="00444645"/>
    <w:rsid w:val="00444652"/>
    <w:rsid w:val="004447E0"/>
    <w:rsid w:val="00444800"/>
    <w:rsid w:val="00444A41"/>
    <w:rsid w:val="00444A4C"/>
    <w:rsid w:val="00444AE5"/>
    <w:rsid w:val="00444B5A"/>
    <w:rsid w:val="00444D0C"/>
    <w:rsid w:val="00444DE1"/>
    <w:rsid w:val="00444E2D"/>
    <w:rsid w:val="00445081"/>
    <w:rsid w:val="0044510C"/>
    <w:rsid w:val="00445169"/>
    <w:rsid w:val="0044525A"/>
    <w:rsid w:val="004452FF"/>
    <w:rsid w:val="00445365"/>
    <w:rsid w:val="00445409"/>
    <w:rsid w:val="0044542F"/>
    <w:rsid w:val="0044547A"/>
    <w:rsid w:val="00445688"/>
    <w:rsid w:val="004456AF"/>
    <w:rsid w:val="004456F5"/>
    <w:rsid w:val="00445868"/>
    <w:rsid w:val="00445883"/>
    <w:rsid w:val="004458E2"/>
    <w:rsid w:val="0044594D"/>
    <w:rsid w:val="004459C8"/>
    <w:rsid w:val="004459F3"/>
    <w:rsid w:val="00445A2B"/>
    <w:rsid w:val="00445A6D"/>
    <w:rsid w:val="00445BD9"/>
    <w:rsid w:val="00445BF0"/>
    <w:rsid w:val="00445DC8"/>
    <w:rsid w:val="00445DE7"/>
    <w:rsid w:val="00445E10"/>
    <w:rsid w:val="00445E37"/>
    <w:rsid w:val="00445ED0"/>
    <w:rsid w:val="00445F0D"/>
    <w:rsid w:val="00445F10"/>
    <w:rsid w:val="00445F9F"/>
    <w:rsid w:val="00446018"/>
    <w:rsid w:val="004460DD"/>
    <w:rsid w:val="004461C3"/>
    <w:rsid w:val="004461FC"/>
    <w:rsid w:val="004462C2"/>
    <w:rsid w:val="00446370"/>
    <w:rsid w:val="0044637E"/>
    <w:rsid w:val="004464EA"/>
    <w:rsid w:val="00446571"/>
    <w:rsid w:val="004465BB"/>
    <w:rsid w:val="0044678C"/>
    <w:rsid w:val="004468CC"/>
    <w:rsid w:val="00446A42"/>
    <w:rsid w:val="00446B7B"/>
    <w:rsid w:val="00446CAD"/>
    <w:rsid w:val="00446DB5"/>
    <w:rsid w:val="00446DDF"/>
    <w:rsid w:val="00446DEF"/>
    <w:rsid w:val="00446E1B"/>
    <w:rsid w:val="00446E93"/>
    <w:rsid w:val="00446F76"/>
    <w:rsid w:val="00446FC3"/>
    <w:rsid w:val="00446FD3"/>
    <w:rsid w:val="00447029"/>
    <w:rsid w:val="0044704F"/>
    <w:rsid w:val="004470F6"/>
    <w:rsid w:val="00447206"/>
    <w:rsid w:val="00447276"/>
    <w:rsid w:val="00447292"/>
    <w:rsid w:val="004472CC"/>
    <w:rsid w:val="004472D2"/>
    <w:rsid w:val="00447378"/>
    <w:rsid w:val="004474DC"/>
    <w:rsid w:val="00447525"/>
    <w:rsid w:val="0044760B"/>
    <w:rsid w:val="0044772D"/>
    <w:rsid w:val="004477AB"/>
    <w:rsid w:val="004478F5"/>
    <w:rsid w:val="00447908"/>
    <w:rsid w:val="00447947"/>
    <w:rsid w:val="00447997"/>
    <w:rsid w:val="004479D9"/>
    <w:rsid w:val="004479E6"/>
    <w:rsid w:val="00447A39"/>
    <w:rsid w:val="00447A89"/>
    <w:rsid w:val="00447B34"/>
    <w:rsid w:val="00447B7C"/>
    <w:rsid w:val="00447C65"/>
    <w:rsid w:val="00447CD6"/>
    <w:rsid w:val="00447D6B"/>
    <w:rsid w:val="00447D8B"/>
    <w:rsid w:val="00447DFE"/>
    <w:rsid w:val="00447E27"/>
    <w:rsid w:val="00447E9B"/>
    <w:rsid w:val="00447EC5"/>
    <w:rsid w:val="00447EF0"/>
    <w:rsid w:val="00447F6B"/>
    <w:rsid w:val="00447F96"/>
    <w:rsid w:val="00450148"/>
    <w:rsid w:val="004501A4"/>
    <w:rsid w:val="00450222"/>
    <w:rsid w:val="004503C2"/>
    <w:rsid w:val="004503FE"/>
    <w:rsid w:val="0045049F"/>
    <w:rsid w:val="004505BE"/>
    <w:rsid w:val="004505D9"/>
    <w:rsid w:val="004505FF"/>
    <w:rsid w:val="004506A5"/>
    <w:rsid w:val="004506AA"/>
    <w:rsid w:val="004506C8"/>
    <w:rsid w:val="00450763"/>
    <w:rsid w:val="004507F6"/>
    <w:rsid w:val="00450837"/>
    <w:rsid w:val="0045093A"/>
    <w:rsid w:val="004509A8"/>
    <w:rsid w:val="004509EA"/>
    <w:rsid w:val="00450AAA"/>
    <w:rsid w:val="00450B2A"/>
    <w:rsid w:val="00450B74"/>
    <w:rsid w:val="00450CC3"/>
    <w:rsid w:val="00450DF8"/>
    <w:rsid w:val="00450F59"/>
    <w:rsid w:val="00451131"/>
    <w:rsid w:val="0045118E"/>
    <w:rsid w:val="004512CC"/>
    <w:rsid w:val="00451398"/>
    <w:rsid w:val="00451400"/>
    <w:rsid w:val="00451493"/>
    <w:rsid w:val="0045155E"/>
    <w:rsid w:val="004515A3"/>
    <w:rsid w:val="00451693"/>
    <w:rsid w:val="0045172E"/>
    <w:rsid w:val="0045184F"/>
    <w:rsid w:val="0045191A"/>
    <w:rsid w:val="00451ADD"/>
    <w:rsid w:val="00451C25"/>
    <w:rsid w:val="00451C39"/>
    <w:rsid w:val="00451CA7"/>
    <w:rsid w:val="00451CFD"/>
    <w:rsid w:val="00451D72"/>
    <w:rsid w:val="00451D9B"/>
    <w:rsid w:val="00451F27"/>
    <w:rsid w:val="00451FAD"/>
    <w:rsid w:val="00451FB0"/>
    <w:rsid w:val="00452112"/>
    <w:rsid w:val="00452176"/>
    <w:rsid w:val="0045232D"/>
    <w:rsid w:val="00452404"/>
    <w:rsid w:val="00452586"/>
    <w:rsid w:val="00452606"/>
    <w:rsid w:val="004526EB"/>
    <w:rsid w:val="00452770"/>
    <w:rsid w:val="00452793"/>
    <w:rsid w:val="00452794"/>
    <w:rsid w:val="004527D1"/>
    <w:rsid w:val="004528E0"/>
    <w:rsid w:val="0045290A"/>
    <w:rsid w:val="004529BF"/>
    <w:rsid w:val="00452A13"/>
    <w:rsid w:val="00452A61"/>
    <w:rsid w:val="00452A97"/>
    <w:rsid w:val="00452B74"/>
    <w:rsid w:val="00452D91"/>
    <w:rsid w:val="00452E21"/>
    <w:rsid w:val="00452E55"/>
    <w:rsid w:val="00452E6B"/>
    <w:rsid w:val="00452E7B"/>
    <w:rsid w:val="00452EC9"/>
    <w:rsid w:val="0045305F"/>
    <w:rsid w:val="004530FD"/>
    <w:rsid w:val="00453195"/>
    <w:rsid w:val="0045326D"/>
    <w:rsid w:val="00453321"/>
    <w:rsid w:val="00453326"/>
    <w:rsid w:val="0045334C"/>
    <w:rsid w:val="0045353C"/>
    <w:rsid w:val="004537CF"/>
    <w:rsid w:val="0045396D"/>
    <w:rsid w:val="004539E7"/>
    <w:rsid w:val="00453A0F"/>
    <w:rsid w:val="00453A4A"/>
    <w:rsid w:val="00453A64"/>
    <w:rsid w:val="00453A81"/>
    <w:rsid w:val="00453B8C"/>
    <w:rsid w:val="00453BED"/>
    <w:rsid w:val="00453C8F"/>
    <w:rsid w:val="00453CBD"/>
    <w:rsid w:val="00453D27"/>
    <w:rsid w:val="00453D29"/>
    <w:rsid w:val="00453D61"/>
    <w:rsid w:val="00453E44"/>
    <w:rsid w:val="00453E9F"/>
    <w:rsid w:val="00453EC4"/>
    <w:rsid w:val="00453F68"/>
    <w:rsid w:val="00454092"/>
    <w:rsid w:val="00454272"/>
    <w:rsid w:val="004542AD"/>
    <w:rsid w:val="004543A7"/>
    <w:rsid w:val="004546D2"/>
    <w:rsid w:val="00454701"/>
    <w:rsid w:val="00454840"/>
    <w:rsid w:val="004548CD"/>
    <w:rsid w:val="004548DB"/>
    <w:rsid w:val="004548F3"/>
    <w:rsid w:val="004549B8"/>
    <w:rsid w:val="00454A69"/>
    <w:rsid w:val="00454B02"/>
    <w:rsid w:val="00454B5C"/>
    <w:rsid w:val="00454B61"/>
    <w:rsid w:val="00454BBD"/>
    <w:rsid w:val="00454C39"/>
    <w:rsid w:val="00454CBC"/>
    <w:rsid w:val="00454CEC"/>
    <w:rsid w:val="00454D58"/>
    <w:rsid w:val="00454DBF"/>
    <w:rsid w:val="00454E1E"/>
    <w:rsid w:val="00454E2F"/>
    <w:rsid w:val="00454E57"/>
    <w:rsid w:val="00454EFE"/>
    <w:rsid w:val="00454F8B"/>
    <w:rsid w:val="004550A7"/>
    <w:rsid w:val="00455113"/>
    <w:rsid w:val="004551C9"/>
    <w:rsid w:val="004552A0"/>
    <w:rsid w:val="004552FE"/>
    <w:rsid w:val="00455301"/>
    <w:rsid w:val="0045536F"/>
    <w:rsid w:val="004553BB"/>
    <w:rsid w:val="0045540E"/>
    <w:rsid w:val="00455419"/>
    <w:rsid w:val="00455489"/>
    <w:rsid w:val="004554D6"/>
    <w:rsid w:val="004554F6"/>
    <w:rsid w:val="00455504"/>
    <w:rsid w:val="0045553F"/>
    <w:rsid w:val="004558DF"/>
    <w:rsid w:val="004559D8"/>
    <w:rsid w:val="00455A3A"/>
    <w:rsid w:val="00455BB5"/>
    <w:rsid w:val="00455BF6"/>
    <w:rsid w:val="00455D1C"/>
    <w:rsid w:val="00455D6D"/>
    <w:rsid w:val="00455DCA"/>
    <w:rsid w:val="00455EB8"/>
    <w:rsid w:val="00455F68"/>
    <w:rsid w:val="00456115"/>
    <w:rsid w:val="00456156"/>
    <w:rsid w:val="00456175"/>
    <w:rsid w:val="00456181"/>
    <w:rsid w:val="0045619C"/>
    <w:rsid w:val="004561AC"/>
    <w:rsid w:val="004562B6"/>
    <w:rsid w:val="004563B4"/>
    <w:rsid w:val="004563F0"/>
    <w:rsid w:val="00456424"/>
    <w:rsid w:val="0045644E"/>
    <w:rsid w:val="004564A9"/>
    <w:rsid w:val="004564D3"/>
    <w:rsid w:val="0045655E"/>
    <w:rsid w:val="004565A1"/>
    <w:rsid w:val="004567D3"/>
    <w:rsid w:val="004567ED"/>
    <w:rsid w:val="00456876"/>
    <w:rsid w:val="00456918"/>
    <w:rsid w:val="0045694A"/>
    <w:rsid w:val="0045699F"/>
    <w:rsid w:val="00456A45"/>
    <w:rsid w:val="00456A59"/>
    <w:rsid w:val="00456A62"/>
    <w:rsid w:val="00456B33"/>
    <w:rsid w:val="00456B57"/>
    <w:rsid w:val="00456BCB"/>
    <w:rsid w:val="00456CC8"/>
    <w:rsid w:val="00456E9E"/>
    <w:rsid w:val="00456F25"/>
    <w:rsid w:val="0045725C"/>
    <w:rsid w:val="00457264"/>
    <w:rsid w:val="00457294"/>
    <w:rsid w:val="004573D3"/>
    <w:rsid w:val="004573DC"/>
    <w:rsid w:val="004573FA"/>
    <w:rsid w:val="0045745C"/>
    <w:rsid w:val="00457587"/>
    <w:rsid w:val="0045773C"/>
    <w:rsid w:val="004577BC"/>
    <w:rsid w:val="00457825"/>
    <w:rsid w:val="00457859"/>
    <w:rsid w:val="00457943"/>
    <w:rsid w:val="00457A3F"/>
    <w:rsid w:val="00457B0E"/>
    <w:rsid w:val="00457BBF"/>
    <w:rsid w:val="00457D62"/>
    <w:rsid w:val="00457DC6"/>
    <w:rsid w:val="00457E0A"/>
    <w:rsid w:val="00457E2C"/>
    <w:rsid w:val="00457E89"/>
    <w:rsid w:val="00457FD5"/>
    <w:rsid w:val="0045BF47"/>
    <w:rsid w:val="00460100"/>
    <w:rsid w:val="00460318"/>
    <w:rsid w:val="00460328"/>
    <w:rsid w:val="00460345"/>
    <w:rsid w:val="00460353"/>
    <w:rsid w:val="004603ED"/>
    <w:rsid w:val="004603F0"/>
    <w:rsid w:val="004604CC"/>
    <w:rsid w:val="004606B9"/>
    <w:rsid w:val="00460702"/>
    <w:rsid w:val="00460759"/>
    <w:rsid w:val="0046075B"/>
    <w:rsid w:val="0046078F"/>
    <w:rsid w:val="004607C7"/>
    <w:rsid w:val="00460838"/>
    <w:rsid w:val="0046099D"/>
    <w:rsid w:val="00460BA1"/>
    <w:rsid w:val="00460D25"/>
    <w:rsid w:val="00460D9F"/>
    <w:rsid w:val="00460DF3"/>
    <w:rsid w:val="00460E22"/>
    <w:rsid w:val="00460E5A"/>
    <w:rsid w:val="00460F8B"/>
    <w:rsid w:val="00461056"/>
    <w:rsid w:val="0046136C"/>
    <w:rsid w:val="004613F2"/>
    <w:rsid w:val="004614E3"/>
    <w:rsid w:val="004614FC"/>
    <w:rsid w:val="004615F2"/>
    <w:rsid w:val="004616D2"/>
    <w:rsid w:val="004616FB"/>
    <w:rsid w:val="004617BE"/>
    <w:rsid w:val="004617D2"/>
    <w:rsid w:val="00461883"/>
    <w:rsid w:val="00461A3D"/>
    <w:rsid w:val="00461ABC"/>
    <w:rsid w:val="00461BC2"/>
    <w:rsid w:val="00461BEC"/>
    <w:rsid w:val="00461C15"/>
    <w:rsid w:val="00461C55"/>
    <w:rsid w:val="00461CD6"/>
    <w:rsid w:val="00461CE4"/>
    <w:rsid w:val="00461E13"/>
    <w:rsid w:val="00461EB2"/>
    <w:rsid w:val="00461EDA"/>
    <w:rsid w:val="00461FE0"/>
    <w:rsid w:val="00461FEF"/>
    <w:rsid w:val="00462008"/>
    <w:rsid w:val="0046204D"/>
    <w:rsid w:val="004620A3"/>
    <w:rsid w:val="004620A5"/>
    <w:rsid w:val="004621DF"/>
    <w:rsid w:val="00462266"/>
    <w:rsid w:val="004622A6"/>
    <w:rsid w:val="00462372"/>
    <w:rsid w:val="00462421"/>
    <w:rsid w:val="0046245E"/>
    <w:rsid w:val="00462499"/>
    <w:rsid w:val="00462500"/>
    <w:rsid w:val="00462584"/>
    <w:rsid w:val="00462676"/>
    <w:rsid w:val="004626E5"/>
    <w:rsid w:val="0046276E"/>
    <w:rsid w:val="00462874"/>
    <w:rsid w:val="00462957"/>
    <w:rsid w:val="004629CA"/>
    <w:rsid w:val="00462A3E"/>
    <w:rsid w:val="00462BF9"/>
    <w:rsid w:val="00462CD0"/>
    <w:rsid w:val="00462DE5"/>
    <w:rsid w:val="00462DFA"/>
    <w:rsid w:val="00462E11"/>
    <w:rsid w:val="00462EB6"/>
    <w:rsid w:val="00462EF8"/>
    <w:rsid w:val="00463032"/>
    <w:rsid w:val="0046305A"/>
    <w:rsid w:val="004630FB"/>
    <w:rsid w:val="00463124"/>
    <w:rsid w:val="00463395"/>
    <w:rsid w:val="00463484"/>
    <w:rsid w:val="004634C7"/>
    <w:rsid w:val="00463520"/>
    <w:rsid w:val="00463606"/>
    <w:rsid w:val="00463625"/>
    <w:rsid w:val="0046364C"/>
    <w:rsid w:val="004636C9"/>
    <w:rsid w:val="004636F5"/>
    <w:rsid w:val="004637D4"/>
    <w:rsid w:val="00463832"/>
    <w:rsid w:val="004639C2"/>
    <w:rsid w:val="004639DA"/>
    <w:rsid w:val="00463A4D"/>
    <w:rsid w:val="00463A82"/>
    <w:rsid w:val="00463AD9"/>
    <w:rsid w:val="00463BAD"/>
    <w:rsid w:val="00463C81"/>
    <w:rsid w:val="00463E88"/>
    <w:rsid w:val="00463FBD"/>
    <w:rsid w:val="004641EA"/>
    <w:rsid w:val="0046424A"/>
    <w:rsid w:val="0046439B"/>
    <w:rsid w:val="004643F4"/>
    <w:rsid w:val="00464429"/>
    <w:rsid w:val="004644E6"/>
    <w:rsid w:val="0046455D"/>
    <w:rsid w:val="0046458A"/>
    <w:rsid w:val="004647A5"/>
    <w:rsid w:val="00464999"/>
    <w:rsid w:val="00464AAC"/>
    <w:rsid w:val="00464B8A"/>
    <w:rsid w:val="00464BDA"/>
    <w:rsid w:val="00464C09"/>
    <w:rsid w:val="00464CD3"/>
    <w:rsid w:val="00464E14"/>
    <w:rsid w:val="00464E9F"/>
    <w:rsid w:val="00464F58"/>
    <w:rsid w:val="00465092"/>
    <w:rsid w:val="00465163"/>
    <w:rsid w:val="004652BE"/>
    <w:rsid w:val="004652D0"/>
    <w:rsid w:val="004652DF"/>
    <w:rsid w:val="004652F2"/>
    <w:rsid w:val="00465446"/>
    <w:rsid w:val="00465474"/>
    <w:rsid w:val="004654C2"/>
    <w:rsid w:val="00465500"/>
    <w:rsid w:val="00465507"/>
    <w:rsid w:val="0046551A"/>
    <w:rsid w:val="0046552C"/>
    <w:rsid w:val="004655D4"/>
    <w:rsid w:val="0046571A"/>
    <w:rsid w:val="00465727"/>
    <w:rsid w:val="00465856"/>
    <w:rsid w:val="00465876"/>
    <w:rsid w:val="004658DF"/>
    <w:rsid w:val="00465908"/>
    <w:rsid w:val="00465994"/>
    <w:rsid w:val="004659BC"/>
    <w:rsid w:val="00465A7B"/>
    <w:rsid w:val="00465B1E"/>
    <w:rsid w:val="00465D6A"/>
    <w:rsid w:val="00465F37"/>
    <w:rsid w:val="00465F76"/>
    <w:rsid w:val="00465FAB"/>
    <w:rsid w:val="00465FCD"/>
    <w:rsid w:val="004660A3"/>
    <w:rsid w:val="004660A4"/>
    <w:rsid w:val="00466251"/>
    <w:rsid w:val="004665A1"/>
    <w:rsid w:val="004665FB"/>
    <w:rsid w:val="0046663D"/>
    <w:rsid w:val="00466654"/>
    <w:rsid w:val="00466726"/>
    <w:rsid w:val="00466765"/>
    <w:rsid w:val="00466767"/>
    <w:rsid w:val="0046684F"/>
    <w:rsid w:val="004668A1"/>
    <w:rsid w:val="004668A6"/>
    <w:rsid w:val="0046694F"/>
    <w:rsid w:val="00466956"/>
    <w:rsid w:val="00466D74"/>
    <w:rsid w:val="00466DDA"/>
    <w:rsid w:val="00466DDF"/>
    <w:rsid w:val="00466E0A"/>
    <w:rsid w:val="00466E29"/>
    <w:rsid w:val="00466E6E"/>
    <w:rsid w:val="00466EE2"/>
    <w:rsid w:val="0046711B"/>
    <w:rsid w:val="004671F0"/>
    <w:rsid w:val="004672A8"/>
    <w:rsid w:val="00467350"/>
    <w:rsid w:val="004673B1"/>
    <w:rsid w:val="004675E9"/>
    <w:rsid w:val="004675F9"/>
    <w:rsid w:val="00467885"/>
    <w:rsid w:val="004678FF"/>
    <w:rsid w:val="004679D7"/>
    <w:rsid w:val="00467AC0"/>
    <w:rsid w:val="00467AE4"/>
    <w:rsid w:val="00467D49"/>
    <w:rsid w:val="00467D53"/>
    <w:rsid w:val="00467E07"/>
    <w:rsid w:val="00467F0E"/>
    <w:rsid w:val="00467F3C"/>
    <w:rsid w:val="00467FCE"/>
    <w:rsid w:val="0047017F"/>
    <w:rsid w:val="0047019E"/>
    <w:rsid w:val="004701D5"/>
    <w:rsid w:val="00470225"/>
    <w:rsid w:val="0047022E"/>
    <w:rsid w:val="0047029E"/>
    <w:rsid w:val="004704B3"/>
    <w:rsid w:val="004705A1"/>
    <w:rsid w:val="004705F7"/>
    <w:rsid w:val="00470600"/>
    <w:rsid w:val="00470626"/>
    <w:rsid w:val="00470636"/>
    <w:rsid w:val="00470A11"/>
    <w:rsid w:val="00470E37"/>
    <w:rsid w:val="00470E60"/>
    <w:rsid w:val="00470EF6"/>
    <w:rsid w:val="004710A9"/>
    <w:rsid w:val="004710FD"/>
    <w:rsid w:val="00471132"/>
    <w:rsid w:val="0047117D"/>
    <w:rsid w:val="00471208"/>
    <w:rsid w:val="00471211"/>
    <w:rsid w:val="004712B2"/>
    <w:rsid w:val="004712D0"/>
    <w:rsid w:val="004712D6"/>
    <w:rsid w:val="0047137A"/>
    <w:rsid w:val="0047145D"/>
    <w:rsid w:val="00471490"/>
    <w:rsid w:val="0047150E"/>
    <w:rsid w:val="004716A8"/>
    <w:rsid w:val="00471C1F"/>
    <w:rsid w:val="00471C2B"/>
    <w:rsid w:val="00471C87"/>
    <w:rsid w:val="00471DFE"/>
    <w:rsid w:val="00471FC1"/>
    <w:rsid w:val="00472046"/>
    <w:rsid w:val="004720DA"/>
    <w:rsid w:val="004720EA"/>
    <w:rsid w:val="004721D7"/>
    <w:rsid w:val="004721F1"/>
    <w:rsid w:val="00472204"/>
    <w:rsid w:val="0047224B"/>
    <w:rsid w:val="00472414"/>
    <w:rsid w:val="0047241D"/>
    <w:rsid w:val="00472672"/>
    <w:rsid w:val="0047268D"/>
    <w:rsid w:val="004726B9"/>
    <w:rsid w:val="00472798"/>
    <w:rsid w:val="004727DD"/>
    <w:rsid w:val="00472897"/>
    <w:rsid w:val="00472A3B"/>
    <w:rsid w:val="00472AA2"/>
    <w:rsid w:val="00472B8B"/>
    <w:rsid w:val="00472BF3"/>
    <w:rsid w:val="00472D06"/>
    <w:rsid w:val="00472E10"/>
    <w:rsid w:val="00472F55"/>
    <w:rsid w:val="00472FBB"/>
    <w:rsid w:val="00473027"/>
    <w:rsid w:val="0047307A"/>
    <w:rsid w:val="004731F8"/>
    <w:rsid w:val="0047323F"/>
    <w:rsid w:val="0047326E"/>
    <w:rsid w:val="00473279"/>
    <w:rsid w:val="00473427"/>
    <w:rsid w:val="00473489"/>
    <w:rsid w:val="00473738"/>
    <w:rsid w:val="00473A04"/>
    <w:rsid w:val="00473AC4"/>
    <w:rsid w:val="00473B13"/>
    <w:rsid w:val="00473B4F"/>
    <w:rsid w:val="00473B55"/>
    <w:rsid w:val="00473BFF"/>
    <w:rsid w:val="00473C1B"/>
    <w:rsid w:val="00473CD2"/>
    <w:rsid w:val="00473D74"/>
    <w:rsid w:val="00473DF2"/>
    <w:rsid w:val="00473EFD"/>
    <w:rsid w:val="00473F20"/>
    <w:rsid w:val="00473F4A"/>
    <w:rsid w:val="00473FE0"/>
    <w:rsid w:val="00474029"/>
    <w:rsid w:val="0047408D"/>
    <w:rsid w:val="00474095"/>
    <w:rsid w:val="004741AC"/>
    <w:rsid w:val="004742B4"/>
    <w:rsid w:val="004742F1"/>
    <w:rsid w:val="0047444B"/>
    <w:rsid w:val="0047454D"/>
    <w:rsid w:val="0047458B"/>
    <w:rsid w:val="0047459D"/>
    <w:rsid w:val="004746E8"/>
    <w:rsid w:val="004746F2"/>
    <w:rsid w:val="00474778"/>
    <w:rsid w:val="00474793"/>
    <w:rsid w:val="00474871"/>
    <w:rsid w:val="00474962"/>
    <w:rsid w:val="0047497D"/>
    <w:rsid w:val="00474A96"/>
    <w:rsid w:val="00474B0F"/>
    <w:rsid w:val="00474BF1"/>
    <w:rsid w:val="00474C30"/>
    <w:rsid w:val="00474C5E"/>
    <w:rsid w:val="00474CB5"/>
    <w:rsid w:val="00474E59"/>
    <w:rsid w:val="00474E80"/>
    <w:rsid w:val="00474E94"/>
    <w:rsid w:val="0047508C"/>
    <w:rsid w:val="00475192"/>
    <w:rsid w:val="004751DC"/>
    <w:rsid w:val="0047527B"/>
    <w:rsid w:val="004752DA"/>
    <w:rsid w:val="00475403"/>
    <w:rsid w:val="0047561D"/>
    <w:rsid w:val="0047564E"/>
    <w:rsid w:val="0047567B"/>
    <w:rsid w:val="004756B0"/>
    <w:rsid w:val="00475771"/>
    <w:rsid w:val="004758AB"/>
    <w:rsid w:val="0047598E"/>
    <w:rsid w:val="00475A09"/>
    <w:rsid w:val="00475A0E"/>
    <w:rsid w:val="00475ABD"/>
    <w:rsid w:val="00475B4F"/>
    <w:rsid w:val="00475C21"/>
    <w:rsid w:val="00475D4B"/>
    <w:rsid w:val="00475D8C"/>
    <w:rsid w:val="00475DEB"/>
    <w:rsid w:val="00475E14"/>
    <w:rsid w:val="00475E3A"/>
    <w:rsid w:val="00475E82"/>
    <w:rsid w:val="00475ED9"/>
    <w:rsid w:val="00475FE0"/>
    <w:rsid w:val="00475FFF"/>
    <w:rsid w:val="00476191"/>
    <w:rsid w:val="004761D2"/>
    <w:rsid w:val="004762EC"/>
    <w:rsid w:val="0047640B"/>
    <w:rsid w:val="00476587"/>
    <w:rsid w:val="0047659C"/>
    <w:rsid w:val="0047674E"/>
    <w:rsid w:val="004767EA"/>
    <w:rsid w:val="00476870"/>
    <w:rsid w:val="004768AC"/>
    <w:rsid w:val="004768DD"/>
    <w:rsid w:val="004768EB"/>
    <w:rsid w:val="004769ED"/>
    <w:rsid w:val="00476C2E"/>
    <w:rsid w:val="00476C9D"/>
    <w:rsid w:val="00476CB3"/>
    <w:rsid w:val="00476CFF"/>
    <w:rsid w:val="00476D6B"/>
    <w:rsid w:val="00476EAE"/>
    <w:rsid w:val="00476F74"/>
    <w:rsid w:val="00476FB1"/>
    <w:rsid w:val="00477081"/>
    <w:rsid w:val="004770F9"/>
    <w:rsid w:val="0047719A"/>
    <w:rsid w:val="004771B0"/>
    <w:rsid w:val="004771E1"/>
    <w:rsid w:val="00477239"/>
    <w:rsid w:val="0047735C"/>
    <w:rsid w:val="00477390"/>
    <w:rsid w:val="004773BB"/>
    <w:rsid w:val="004773C5"/>
    <w:rsid w:val="00477505"/>
    <w:rsid w:val="004775D1"/>
    <w:rsid w:val="004775DE"/>
    <w:rsid w:val="00477731"/>
    <w:rsid w:val="00477770"/>
    <w:rsid w:val="00477821"/>
    <w:rsid w:val="00477A67"/>
    <w:rsid w:val="00477A6E"/>
    <w:rsid w:val="00477CF6"/>
    <w:rsid w:val="00477E27"/>
    <w:rsid w:val="00479C3A"/>
    <w:rsid w:val="00480018"/>
    <w:rsid w:val="0048015F"/>
    <w:rsid w:val="0048016D"/>
    <w:rsid w:val="00480225"/>
    <w:rsid w:val="004802DF"/>
    <w:rsid w:val="004802FC"/>
    <w:rsid w:val="0048043B"/>
    <w:rsid w:val="0048047D"/>
    <w:rsid w:val="004804A1"/>
    <w:rsid w:val="00480552"/>
    <w:rsid w:val="00480572"/>
    <w:rsid w:val="004805FF"/>
    <w:rsid w:val="00480686"/>
    <w:rsid w:val="004806A0"/>
    <w:rsid w:val="004807B6"/>
    <w:rsid w:val="0048092E"/>
    <w:rsid w:val="004809E7"/>
    <w:rsid w:val="00480B07"/>
    <w:rsid w:val="00480B28"/>
    <w:rsid w:val="00480B59"/>
    <w:rsid w:val="00480B6E"/>
    <w:rsid w:val="00480BA5"/>
    <w:rsid w:val="00480C0C"/>
    <w:rsid w:val="00480C72"/>
    <w:rsid w:val="00480D96"/>
    <w:rsid w:val="00480DEF"/>
    <w:rsid w:val="00480F4B"/>
    <w:rsid w:val="0048100F"/>
    <w:rsid w:val="00481090"/>
    <w:rsid w:val="004810F7"/>
    <w:rsid w:val="004812C9"/>
    <w:rsid w:val="00481311"/>
    <w:rsid w:val="0048153C"/>
    <w:rsid w:val="00481604"/>
    <w:rsid w:val="00481725"/>
    <w:rsid w:val="00481749"/>
    <w:rsid w:val="004817C9"/>
    <w:rsid w:val="004817D8"/>
    <w:rsid w:val="004817DE"/>
    <w:rsid w:val="0048181E"/>
    <w:rsid w:val="0048185D"/>
    <w:rsid w:val="004818F4"/>
    <w:rsid w:val="00481989"/>
    <w:rsid w:val="00481ABF"/>
    <w:rsid w:val="00481AD1"/>
    <w:rsid w:val="00481B22"/>
    <w:rsid w:val="00481B77"/>
    <w:rsid w:val="00481C6B"/>
    <w:rsid w:val="00481D71"/>
    <w:rsid w:val="00481D91"/>
    <w:rsid w:val="00481E35"/>
    <w:rsid w:val="00481EF5"/>
    <w:rsid w:val="00481F70"/>
    <w:rsid w:val="004820A2"/>
    <w:rsid w:val="004820B4"/>
    <w:rsid w:val="004821BA"/>
    <w:rsid w:val="0048220D"/>
    <w:rsid w:val="0048221A"/>
    <w:rsid w:val="00482238"/>
    <w:rsid w:val="004822A5"/>
    <w:rsid w:val="00482384"/>
    <w:rsid w:val="00482608"/>
    <w:rsid w:val="004826BA"/>
    <w:rsid w:val="004827B9"/>
    <w:rsid w:val="00482820"/>
    <w:rsid w:val="0048282D"/>
    <w:rsid w:val="004828FB"/>
    <w:rsid w:val="00482933"/>
    <w:rsid w:val="00482AC2"/>
    <w:rsid w:val="00482D56"/>
    <w:rsid w:val="00482E16"/>
    <w:rsid w:val="00482E81"/>
    <w:rsid w:val="00482F7D"/>
    <w:rsid w:val="00483005"/>
    <w:rsid w:val="0048309D"/>
    <w:rsid w:val="004832C2"/>
    <w:rsid w:val="004833F7"/>
    <w:rsid w:val="0048361E"/>
    <w:rsid w:val="00483721"/>
    <w:rsid w:val="004837F9"/>
    <w:rsid w:val="004838E6"/>
    <w:rsid w:val="004839AE"/>
    <w:rsid w:val="00483ADA"/>
    <w:rsid w:val="00483B76"/>
    <w:rsid w:val="00483C1A"/>
    <w:rsid w:val="00483CC7"/>
    <w:rsid w:val="00483D87"/>
    <w:rsid w:val="00483D8D"/>
    <w:rsid w:val="00483DBC"/>
    <w:rsid w:val="00483E30"/>
    <w:rsid w:val="00483F92"/>
    <w:rsid w:val="0048400D"/>
    <w:rsid w:val="00484026"/>
    <w:rsid w:val="00484032"/>
    <w:rsid w:val="004840B0"/>
    <w:rsid w:val="00484470"/>
    <w:rsid w:val="004844C6"/>
    <w:rsid w:val="0048467E"/>
    <w:rsid w:val="0048468E"/>
    <w:rsid w:val="00484759"/>
    <w:rsid w:val="004847B8"/>
    <w:rsid w:val="00484849"/>
    <w:rsid w:val="0048485E"/>
    <w:rsid w:val="00484A39"/>
    <w:rsid w:val="00484AAA"/>
    <w:rsid w:val="00484ADF"/>
    <w:rsid w:val="00484BF1"/>
    <w:rsid w:val="00484D12"/>
    <w:rsid w:val="00484E33"/>
    <w:rsid w:val="00484E61"/>
    <w:rsid w:val="00484ED1"/>
    <w:rsid w:val="00484F8A"/>
    <w:rsid w:val="00484F8B"/>
    <w:rsid w:val="00484F8E"/>
    <w:rsid w:val="0048500D"/>
    <w:rsid w:val="00485075"/>
    <w:rsid w:val="004850BE"/>
    <w:rsid w:val="0048517A"/>
    <w:rsid w:val="0048521B"/>
    <w:rsid w:val="00485281"/>
    <w:rsid w:val="00485282"/>
    <w:rsid w:val="0048529C"/>
    <w:rsid w:val="004853B2"/>
    <w:rsid w:val="00485434"/>
    <w:rsid w:val="00485506"/>
    <w:rsid w:val="004855A9"/>
    <w:rsid w:val="004855CD"/>
    <w:rsid w:val="004855EC"/>
    <w:rsid w:val="00485896"/>
    <w:rsid w:val="00485900"/>
    <w:rsid w:val="00485ACB"/>
    <w:rsid w:val="00485B51"/>
    <w:rsid w:val="00485CD9"/>
    <w:rsid w:val="00485CF1"/>
    <w:rsid w:val="00485D01"/>
    <w:rsid w:val="00485DA5"/>
    <w:rsid w:val="00485E7A"/>
    <w:rsid w:val="00485E88"/>
    <w:rsid w:val="00485EAB"/>
    <w:rsid w:val="00485F82"/>
    <w:rsid w:val="00485F86"/>
    <w:rsid w:val="00485FF7"/>
    <w:rsid w:val="00486089"/>
    <w:rsid w:val="004860B4"/>
    <w:rsid w:val="004861FD"/>
    <w:rsid w:val="00486217"/>
    <w:rsid w:val="00486251"/>
    <w:rsid w:val="004863F1"/>
    <w:rsid w:val="004863F2"/>
    <w:rsid w:val="0048655D"/>
    <w:rsid w:val="004865D7"/>
    <w:rsid w:val="0048660E"/>
    <w:rsid w:val="00486646"/>
    <w:rsid w:val="004867F0"/>
    <w:rsid w:val="004868A5"/>
    <w:rsid w:val="004868F9"/>
    <w:rsid w:val="00486958"/>
    <w:rsid w:val="00486B9D"/>
    <w:rsid w:val="00486BC8"/>
    <w:rsid w:val="00486BD1"/>
    <w:rsid w:val="00486C8F"/>
    <w:rsid w:val="00486DC5"/>
    <w:rsid w:val="00486DE9"/>
    <w:rsid w:val="00486E49"/>
    <w:rsid w:val="00486E92"/>
    <w:rsid w:val="00486E93"/>
    <w:rsid w:val="00486EA3"/>
    <w:rsid w:val="00486F83"/>
    <w:rsid w:val="00487041"/>
    <w:rsid w:val="00487092"/>
    <w:rsid w:val="0048711A"/>
    <w:rsid w:val="00487143"/>
    <w:rsid w:val="00487210"/>
    <w:rsid w:val="00487350"/>
    <w:rsid w:val="004873EB"/>
    <w:rsid w:val="00487433"/>
    <w:rsid w:val="0048746A"/>
    <w:rsid w:val="00487480"/>
    <w:rsid w:val="004874BA"/>
    <w:rsid w:val="00487517"/>
    <w:rsid w:val="0048766B"/>
    <w:rsid w:val="00487700"/>
    <w:rsid w:val="00487960"/>
    <w:rsid w:val="004879F7"/>
    <w:rsid w:val="00487AA2"/>
    <w:rsid w:val="00487B50"/>
    <w:rsid w:val="00487B77"/>
    <w:rsid w:val="00487D14"/>
    <w:rsid w:val="00487FEF"/>
    <w:rsid w:val="00490080"/>
    <w:rsid w:val="004900D0"/>
    <w:rsid w:val="00490136"/>
    <w:rsid w:val="0049015D"/>
    <w:rsid w:val="0049033D"/>
    <w:rsid w:val="00490380"/>
    <w:rsid w:val="00490385"/>
    <w:rsid w:val="00490445"/>
    <w:rsid w:val="0049058A"/>
    <w:rsid w:val="00490591"/>
    <w:rsid w:val="004905A9"/>
    <w:rsid w:val="00490663"/>
    <w:rsid w:val="004906A2"/>
    <w:rsid w:val="00490770"/>
    <w:rsid w:val="00490AC3"/>
    <w:rsid w:val="00490C5E"/>
    <w:rsid w:val="00490C95"/>
    <w:rsid w:val="00490CC9"/>
    <w:rsid w:val="00490D32"/>
    <w:rsid w:val="00490DDB"/>
    <w:rsid w:val="00490E4B"/>
    <w:rsid w:val="00490E7D"/>
    <w:rsid w:val="00490E8E"/>
    <w:rsid w:val="00490EA3"/>
    <w:rsid w:val="00490EF6"/>
    <w:rsid w:val="0049108C"/>
    <w:rsid w:val="00491174"/>
    <w:rsid w:val="004911DF"/>
    <w:rsid w:val="004911E2"/>
    <w:rsid w:val="004913D1"/>
    <w:rsid w:val="00491438"/>
    <w:rsid w:val="00491468"/>
    <w:rsid w:val="00491495"/>
    <w:rsid w:val="004915E3"/>
    <w:rsid w:val="004916C5"/>
    <w:rsid w:val="0049181E"/>
    <w:rsid w:val="004918BA"/>
    <w:rsid w:val="004918E7"/>
    <w:rsid w:val="00491937"/>
    <w:rsid w:val="004919C8"/>
    <w:rsid w:val="00491AF4"/>
    <w:rsid w:val="00491B10"/>
    <w:rsid w:val="00491B19"/>
    <w:rsid w:val="00491C8A"/>
    <w:rsid w:val="00491C8F"/>
    <w:rsid w:val="00491C95"/>
    <w:rsid w:val="00491C96"/>
    <w:rsid w:val="00491CD2"/>
    <w:rsid w:val="00491DFF"/>
    <w:rsid w:val="00491E27"/>
    <w:rsid w:val="0049202C"/>
    <w:rsid w:val="00492257"/>
    <w:rsid w:val="00492276"/>
    <w:rsid w:val="0049227A"/>
    <w:rsid w:val="00492297"/>
    <w:rsid w:val="00492352"/>
    <w:rsid w:val="00492466"/>
    <w:rsid w:val="004925DD"/>
    <w:rsid w:val="004925F8"/>
    <w:rsid w:val="004926E1"/>
    <w:rsid w:val="004927D9"/>
    <w:rsid w:val="0049290F"/>
    <w:rsid w:val="00492995"/>
    <w:rsid w:val="00492A2B"/>
    <w:rsid w:val="00492B2D"/>
    <w:rsid w:val="00492B69"/>
    <w:rsid w:val="00492B75"/>
    <w:rsid w:val="00492C28"/>
    <w:rsid w:val="00492CD7"/>
    <w:rsid w:val="00492EFA"/>
    <w:rsid w:val="00492F89"/>
    <w:rsid w:val="00492FA7"/>
    <w:rsid w:val="00492FE8"/>
    <w:rsid w:val="0049301A"/>
    <w:rsid w:val="00493023"/>
    <w:rsid w:val="0049306D"/>
    <w:rsid w:val="004930C7"/>
    <w:rsid w:val="004930DC"/>
    <w:rsid w:val="0049315F"/>
    <w:rsid w:val="0049321B"/>
    <w:rsid w:val="00493220"/>
    <w:rsid w:val="00493277"/>
    <w:rsid w:val="00493301"/>
    <w:rsid w:val="00493342"/>
    <w:rsid w:val="004934DA"/>
    <w:rsid w:val="00493629"/>
    <w:rsid w:val="004936AC"/>
    <w:rsid w:val="004936F9"/>
    <w:rsid w:val="0049376E"/>
    <w:rsid w:val="004937D3"/>
    <w:rsid w:val="00493884"/>
    <w:rsid w:val="00493911"/>
    <w:rsid w:val="0049393B"/>
    <w:rsid w:val="00493A0E"/>
    <w:rsid w:val="00493A3B"/>
    <w:rsid w:val="00493AD4"/>
    <w:rsid w:val="00493B0B"/>
    <w:rsid w:val="00493C24"/>
    <w:rsid w:val="00493CE8"/>
    <w:rsid w:val="00493D3C"/>
    <w:rsid w:val="00493E0E"/>
    <w:rsid w:val="00493E44"/>
    <w:rsid w:val="00493F2A"/>
    <w:rsid w:val="00493F88"/>
    <w:rsid w:val="00493FC8"/>
    <w:rsid w:val="00494175"/>
    <w:rsid w:val="00494266"/>
    <w:rsid w:val="004942DF"/>
    <w:rsid w:val="004943A7"/>
    <w:rsid w:val="00494406"/>
    <w:rsid w:val="0049441E"/>
    <w:rsid w:val="0049448A"/>
    <w:rsid w:val="004945E5"/>
    <w:rsid w:val="00494626"/>
    <w:rsid w:val="0049474F"/>
    <w:rsid w:val="00494983"/>
    <w:rsid w:val="00494A84"/>
    <w:rsid w:val="00494ACB"/>
    <w:rsid w:val="00494BAC"/>
    <w:rsid w:val="00494BFE"/>
    <w:rsid w:val="00494D1C"/>
    <w:rsid w:val="00494DF4"/>
    <w:rsid w:val="00494E8C"/>
    <w:rsid w:val="0049500B"/>
    <w:rsid w:val="004950B5"/>
    <w:rsid w:val="004952DC"/>
    <w:rsid w:val="00495396"/>
    <w:rsid w:val="00495456"/>
    <w:rsid w:val="00495476"/>
    <w:rsid w:val="004954B6"/>
    <w:rsid w:val="00495581"/>
    <w:rsid w:val="0049558F"/>
    <w:rsid w:val="00495619"/>
    <w:rsid w:val="00495676"/>
    <w:rsid w:val="00495687"/>
    <w:rsid w:val="004956B9"/>
    <w:rsid w:val="004956D2"/>
    <w:rsid w:val="004956FA"/>
    <w:rsid w:val="00495721"/>
    <w:rsid w:val="00495896"/>
    <w:rsid w:val="004958A1"/>
    <w:rsid w:val="004958C1"/>
    <w:rsid w:val="00495ABB"/>
    <w:rsid w:val="00495B0D"/>
    <w:rsid w:val="00495B27"/>
    <w:rsid w:val="00495B44"/>
    <w:rsid w:val="00495EAA"/>
    <w:rsid w:val="00495F10"/>
    <w:rsid w:val="00495F72"/>
    <w:rsid w:val="00496070"/>
    <w:rsid w:val="004960A6"/>
    <w:rsid w:val="004960C4"/>
    <w:rsid w:val="004960CE"/>
    <w:rsid w:val="004962C5"/>
    <w:rsid w:val="004962F2"/>
    <w:rsid w:val="004963E1"/>
    <w:rsid w:val="00496497"/>
    <w:rsid w:val="00496546"/>
    <w:rsid w:val="00496594"/>
    <w:rsid w:val="00496940"/>
    <w:rsid w:val="00496943"/>
    <w:rsid w:val="004969D4"/>
    <w:rsid w:val="00496A70"/>
    <w:rsid w:val="00496B73"/>
    <w:rsid w:val="00496B7D"/>
    <w:rsid w:val="00496C78"/>
    <w:rsid w:val="00496F04"/>
    <w:rsid w:val="00497075"/>
    <w:rsid w:val="00497239"/>
    <w:rsid w:val="004972B0"/>
    <w:rsid w:val="004973D4"/>
    <w:rsid w:val="004973EF"/>
    <w:rsid w:val="00497448"/>
    <w:rsid w:val="004974C2"/>
    <w:rsid w:val="00497581"/>
    <w:rsid w:val="00497770"/>
    <w:rsid w:val="0049777A"/>
    <w:rsid w:val="00497794"/>
    <w:rsid w:val="0049780A"/>
    <w:rsid w:val="0049786B"/>
    <w:rsid w:val="004978B2"/>
    <w:rsid w:val="00497967"/>
    <w:rsid w:val="0049797A"/>
    <w:rsid w:val="00497A29"/>
    <w:rsid w:val="00497AA2"/>
    <w:rsid w:val="00497D07"/>
    <w:rsid w:val="00497D95"/>
    <w:rsid w:val="004A00FB"/>
    <w:rsid w:val="004A0131"/>
    <w:rsid w:val="004A01DF"/>
    <w:rsid w:val="004A0279"/>
    <w:rsid w:val="004A02F6"/>
    <w:rsid w:val="004A04AE"/>
    <w:rsid w:val="004A055B"/>
    <w:rsid w:val="004A06F2"/>
    <w:rsid w:val="004A0720"/>
    <w:rsid w:val="004A07BC"/>
    <w:rsid w:val="004A0AAD"/>
    <w:rsid w:val="004A0B23"/>
    <w:rsid w:val="004A0CB0"/>
    <w:rsid w:val="004A0CC7"/>
    <w:rsid w:val="004A0CD2"/>
    <w:rsid w:val="004A0CDB"/>
    <w:rsid w:val="004A0CF8"/>
    <w:rsid w:val="004A0D5D"/>
    <w:rsid w:val="004A0D82"/>
    <w:rsid w:val="004A102A"/>
    <w:rsid w:val="004A10F3"/>
    <w:rsid w:val="004A112D"/>
    <w:rsid w:val="004A123D"/>
    <w:rsid w:val="004A156A"/>
    <w:rsid w:val="004A1585"/>
    <w:rsid w:val="004A160F"/>
    <w:rsid w:val="004A174F"/>
    <w:rsid w:val="004A17A8"/>
    <w:rsid w:val="004A17AE"/>
    <w:rsid w:val="004A1826"/>
    <w:rsid w:val="004A1835"/>
    <w:rsid w:val="004A1856"/>
    <w:rsid w:val="004A18D0"/>
    <w:rsid w:val="004A19F1"/>
    <w:rsid w:val="004A1AA0"/>
    <w:rsid w:val="004A1C42"/>
    <w:rsid w:val="004A1D42"/>
    <w:rsid w:val="004A1F3A"/>
    <w:rsid w:val="004A21DC"/>
    <w:rsid w:val="004A2480"/>
    <w:rsid w:val="004A24D9"/>
    <w:rsid w:val="004A24F9"/>
    <w:rsid w:val="004A265B"/>
    <w:rsid w:val="004A2665"/>
    <w:rsid w:val="004A2729"/>
    <w:rsid w:val="004A29DC"/>
    <w:rsid w:val="004A2A27"/>
    <w:rsid w:val="004A2A32"/>
    <w:rsid w:val="004A2A5C"/>
    <w:rsid w:val="004A2ACE"/>
    <w:rsid w:val="004A2B78"/>
    <w:rsid w:val="004A2BD5"/>
    <w:rsid w:val="004A2C74"/>
    <w:rsid w:val="004A2CD2"/>
    <w:rsid w:val="004A2D1A"/>
    <w:rsid w:val="004A2E32"/>
    <w:rsid w:val="004A2E33"/>
    <w:rsid w:val="004A2E76"/>
    <w:rsid w:val="004A2F81"/>
    <w:rsid w:val="004A32DD"/>
    <w:rsid w:val="004A3346"/>
    <w:rsid w:val="004A33EE"/>
    <w:rsid w:val="004A34EC"/>
    <w:rsid w:val="004A35CE"/>
    <w:rsid w:val="004A3657"/>
    <w:rsid w:val="004A3658"/>
    <w:rsid w:val="004A387B"/>
    <w:rsid w:val="004A38C4"/>
    <w:rsid w:val="004A39BC"/>
    <w:rsid w:val="004A3A8A"/>
    <w:rsid w:val="004A3B44"/>
    <w:rsid w:val="004A3BBC"/>
    <w:rsid w:val="004A3C09"/>
    <w:rsid w:val="004A3C24"/>
    <w:rsid w:val="004A3CCE"/>
    <w:rsid w:val="004A3D33"/>
    <w:rsid w:val="004A3D80"/>
    <w:rsid w:val="004A3EA5"/>
    <w:rsid w:val="004A3EB1"/>
    <w:rsid w:val="004A3EC5"/>
    <w:rsid w:val="004A3F8A"/>
    <w:rsid w:val="004A3FEE"/>
    <w:rsid w:val="004A4074"/>
    <w:rsid w:val="004A4131"/>
    <w:rsid w:val="004A413C"/>
    <w:rsid w:val="004A42F6"/>
    <w:rsid w:val="004A42F9"/>
    <w:rsid w:val="004A4349"/>
    <w:rsid w:val="004A4364"/>
    <w:rsid w:val="004A43CF"/>
    <w:rsid w:val="004A43D6"/>
    <w:rsid w:val="004A444B"/>
    <w:rsid w:val="004A4493"/>
    <w:rsid w:val="004A4503"/>
    <w:rsid w:val="004A4511"/>
    <w:rsid w:val="004A4568"/>
    <w:rsid w:val="004A45D8"/>
    <w:rsid w:val="004A4880"/>
    <w:rsid w:val="004A48B8"/>
    <w:rsid w:val="004A48C3"/>
    <w:rsid w:val="004A48D2"/>
    <w:rsid w:val="004A4968"/>
    <w:rsid w:val="004A49E8"/>
    <w:rsid w:val="004A4B35"/>
    <w:rsid w:val="004A4C85"/>
    <w:rsid w:val="004A4D99"/>
    <w:rsid w:val="004A4DA7"/>
    <w:rsid w:val="004A4F48"/>
    <w:rsid w:val="004A5009"/>
    <w:rsid w:val="004A50A8"/>
    <w:rsid w:val="004A5115"/>
    <w:rsid w:val="004A51A9"/>
    <w:rsid w:val="004A524D"/>
    <w:rsid w:val="004A53A1"/>
    <w:rsid w:val="004A55AB"/>
    <w:rsid w:val="004A5603"/>
    <w:rsid w:val="004A5634"/>
    <w:rsid w:val="004A5799"/>
    <w:rsid w:val="004A57DE"/>
    <w:rsid w:val="004A586C"/>
    <w:rsid w:val="004A5899"/>
    <w:rsid w:val="004A5ACC"/>
    <w:rsid w:val="004A5B1F"/>
    <w:rsid w:val="004A5C65"/>
    <w:rsid w:val="004A5E02"/>
    <w:rsid w:val="004A5F73"/>
    <w:rsid w:val="004A5FA7"/>
    <w:rsid w:val="004A600D"/>
    <w:rsid w:val="004A604A"/>
    <w:rsid w:val="004A605C"/>
    <w:rsid w:val="004A60F2"/>
    <w:rsid w:val="004A613B"/>
    <w:rsid w:val="004A6250"/>
    <w:rsid w:val="004A65E9"/>
    <w:rsid w:val="004A66CF"/>
    <w:rsid w:val="004A67AF"/>
    <w:rsid w:val="004A6836"/>
    <w:rsid w:val="004A68FA"/>
    <w:rsid w:val="004A6A32"/>
    <w:rsid w:val="004A6C82"/>
    <w:rsid w:val="004A6CB0"/>
    <w:rsid w:val="004A6D9A"/>
    <w:rsid w:val="004A6E0C"/>
    <w:rsid w:val="004A6E50"/>
    <w:rsid w:val="004A6EB4"/>
    <w:rsid w:val="004A6F0D"/>
    <w:rsid w:val="004A70A3"/>
    <w:rsid w:val="004A7244"/>
    <w:rsid w:val="004A724C"/>
    <w:rsid w:val="004A7315"/>
    <w:rsid w:val="004A7468"/>
    <w:rsid w:val="004A757E"/>
    <w:rsid w:val="004A757F"/>
    <w:rsid w:val="004A75FE"/>
    <w:rsid w:val="004A764C"/>
    <w:rsid w:val="004A76A5"/>
    <w:rsid w:val="004A76B5"/>
    <w:rsid w:val="004A7759"/>
    <w:rsid w:val="004A7782"/>
    <w:rsid w:val="004A786D"/>
    <w:rsid w:val="004A7923"/>
    <w:rsid w:val="004A7A6C"/>
    <w:rsid w:val="004A7B6A"/>
    <w:rsid w:val="004A7BC8"/>
    <w:rsid w:val="004A7CDE"/>
    <w:rsid w:val="004A7CE7"/>
    <w:rsid w:val="004A7CEA"/>
    <w:rsid w:val="004A7D69"/>
    <w:rsid w:val="004A7D75"/>
    <w:rsid w:val="004A7DC7"/>
    <w:rsid w:val="004A7E99"/>
    <w:rsid w:val="004A7F4F"/>
    <w:rsid w:val="004B0006"/>
    <w:rsid w:val="004B00E6"/>
    <w:rsid w:val="004B01A4"/>
    <w:rsid w:val="004B0422"/>
    <w:rsid w:val="004B0466"/>
    <w:rsid w:val="004B04CD"/>
    <w:rsid w:val="004B0557"/>
    <w:rsid w:val="004B06BC"/>
    <w:rsid w:val="004B0826"/>
    <w:rsid w:val="004B086D"/>
    <w:rsid w:val="004B087C"/>
    <w:rsid w:val="004B091F"/>
    <w:rsid w:val="004B092F"/>
    <w:rsid w:val="004B0979"/>
    <w:rsid w:val="004B0A3E"/>
    <w:rsid w:val="004B0A70"/>
    <w:rsid w:val="004B0BD3"/>
    <w:rsid w:val="004B0C6C"/>
    <w:rsid w:val="004B0C87"/>
    <w:rsid w:val="004B0CFD"/>
    <w:rsid w:val="004B0D84"/>
    <w:rsid w:val="004B0DF0"/>
    <w:rsid w:val="004B0E9D"/>
    <w:rsid w:val="004B0EC2"/>
    <w:rsid w:val="004B1352"/>
    <w:rsid w:val="004B13C6"/>
    <w:rsid w:val="004B13DC"/>
    <w:rsid w:val="004B14FE"/>
    <w:rsid w:val="004B159D"/>
    <w:rsid w:val="004B15B6"/>
    <w:rsid w:val="004B15C3"/>
    <w:rsid w:val="004B17E2"/>
    <w:rsid w:val="004B19D7"/>
    <w:rsid w:val="004B1B6E"/>
    <w:rsid w:val="004B1BBB"/>
    <w:rsid w:val="004B1BF8"/>
    <w:rsid w:val="004B1C67"/>
    <w:rsid w:val="004B1CE5"/>
    <w:rsid w:val="004B1F33"/>
    <w:rsid w:val="004B202C"/>
    <w:rsid w:val="004B210E"/>
    <w:rsid w:val="004B2130"/>
    <w:rsid w:val="004B214E"/>
    <w:rsid w:val="004B218C"/>
    <w:rsid w:val="004B2194"/>
    <w:rsid w:val="004B21A5"/>
    <w:rsid w:val="004B21EE"/>
    <w:rsid w:val="004B235B"/>
    <w:rsid w:val="004B2373"/>
    <w:rsid w:val="004B23A5"/>
    <w:rsid w:val="004B23C7"/>
    <w:rsid w:val="004B2417"/>
    <w:rsid w:val="004B246C"/>
    <w:rsid w:val="004B2502"/>
    <w:rsid w:val="004B2562"/>
    <w:rsid w:val="004B26AA"/>
    <w:rsid w:val="004B26D7"/>
    <w:rsid w:val="004B26EB"/>
    <w:rsid w:val="004B2713"/>
    <w:rsid w:val="004B275B"/>
    <w:rsid w:val="004B283E"/>
    <w:rsid w:val="004B28BD"/>
    <w:rsid w:val="004B2991"/>
    <w:rsid w:val="004B2A2C"/>
    <w:rsid w:val="004B2BF8"/>
    <w:rsid w:val="004B2E0E"/>
    <w:rsid w:val="004B2E9D"/>
    <w:rsid w:val="004B2FEA"/>
    <w:rsid w:val="004B3037"/>
    <w:rsid w:val="004B3099"/>
    <w:rsid w:val="004B313D"/>
    <w:rsid w:val="004B317C"/>
    <w:rsid w:val="004B31B9"/>
    <w:rsid w:val="004B3219"/>
    <w:rsid w:val="004B3232"/>
    <w:rsid w:val="004B371B"/>
    <w:rsid w:val="004B3812"/>
    <w:rsid w:val="004B38DB"/>
    <w:rsid w:val="004B3945"/>
    <w:rsid w:val="004B3A26"/>
    <w:rsid w:val="004B3AF6"/>
    <w:rsid w:val="004B3BF9"/>
    <w:rsid w:val="004B3E07"/>
    <w:rsid w:val="004B3F2B"/>
    <w:rsid w:val="004B3F6C"/>
    <w:rsid w:val="004B4095"/>
    <w:rsid w:val="004B40B6"/>
    <w:rsid w:val="004B40E7"/>
    <w:rsid w:val="004B41A6"/>
    <w:rsid w:val="004B41E4"/>
    <w:rsid w:val="004B42C2"/>
    <w:rsid w:val="004B42FF"/>
    <w:rsid w:val="004B434B"/>
    <w:rsid w:val="004B436E"/>
    <w:rsid w:val="004B4453"/>
    <w:rsid w:val="004B4487"/>
    <w:rsid w:val="004B4593"/>
    <w:rsid w:val="004B45CA"/>
    <w:rsid w:val="004B4671"/>
    <w:rsid w:val="004B467B"/>
    <w:rsid w:val="004B471D"/>
    <w:rsid w:val="004B473D"/>
    <w:rsid w:val="004B48BC"/>
    <w:rsid w:val="004B48E1"/>
    <w:rsid w:val="004B49C0"/>
    <w:rsid w:val="004B4A10"/>
    <w:rsid w:val="004B4AB6"/>
    <w:rsid w:val="004B4AD7"/>
    <w:rsid w:val="004B4C0C"/>
    <w:rsid w:val="004B4D23"/>
    <w:rsid w:val="004B4D69"/>
    <w:rsid w:val="004B4E14"/>
    <w:rsid w:val="004B4FB1"/>
    <w:rsid w:val="004B5103"/>
    <w:rsid w:val="004B513A"/>
    <w:rsid w:val="004B5183"/>
    <w:rsid w:val="004B51DE"/>
    <w:rsid w:val="004B522C"/>
    <w:rsid w:val="004B527D"/>
    <w:rsid w:val="004B53D4"/>
    <w:rsid w:val="004B540D"/>
    <w:rsid w:val="004B541D"/>
    <w:rsid w:val="004B552C"/>
    <w:rsid w:val="004B5533"/>
    <w:rsid w:val="004B569C"/>
    <w:rsid w:val="004B56C6"/>
    <w:rsid w:val="004B570B"/>
    <w:rsid w:val="004B57CF"/>
    <w:rsid w:val="004B582A"/>
    <w:rsid w:val="004B5930"/>
    <w:rsid w:val="004B5976"/>
    <w:rsid w:val="004B59DD"/>
    <w:rsid w:val="004B5A41"/>
    <w:rsid w:val="004B5A69"/>
    <w:rsid w:val="004B5AAC"/>
    <w:rsid w:val="004B5AE3"/>
    <w:rsid w:val="004B5B03"/>
    <w:rsid w:val="004B5B06"/>
    <w:rsid w:val="004B5BDF"/>
    <w:rsid w:val="004B5C60"/>
    <w:rsid w:val="004B5D81"/>
    <w:rsid w:val="004B5DC5"/>
    <w:rsid w:val="004B5E5B"/>
    <w:rsid w:val="004B5F88"/>
    <w:rsid w:val="004B6050"/>
    <w:rsid w:val="004B6073"/>
    <w:rsid w:val="004B6096"/>
    <w:rsid w:val="004B60A9"/>
    <w:rsid w:val="004B60FB"/>
    <w:rsid w:val="004B611A"/>
    <w:rsid w:val="004B61D4"/>
    <w:rsid w:val="004B6203"/>
    <w:rsid w:val="004B637D"/>
    <w:rsid w:val="004B638C"/>
    <w:rsid w:val="004B6614"/>
    <w:rsid w:val="004B6673"/>
    <w:rsid w:val="004B66F6"/>
    <w:rsid w:val="004B673C"/>
    <w:rsid w:val="004B687D"/>
    <w:rsid w:val="004B6A26"/>
    <w:rsid w:val="004B6B1F"/>
    <w:rsid w:val="004B6B48"/>
    <w:rsid w:val="004B6D07"/>
    <w:rsid w:val="004B6D86"/>
    <w:rsid w:val="004B6DDC"/>
    <w:rsid w:val="004B700C"/>
    <w:rsid w:val="004B7056"/>
    <w:rsid w:val="004B7074"/>
    <w:rsid w:val="004B7083"/>
    <w:rsid w:val="004B7084"/>
    <w:rsid w:val="004B7152"/>
    <w:rsid w:val="004B724D"/>
    <w:rsid w:val="004B7250"/>
    <w:rsid w:val="004B74E2"/>
    <w:rsid w:val="004B74EB"/>
    <w:rsid w:val="004B752F"/>
    <w:rsid w:val="004B764A"/>
    <w:rsid w:val="004B7752"/>
    <w:rsid w:val="004B7777"/>
    <w:rsid w:val="004B778F"/>
    <w:rsid w:val="004B78B4"/>
    <w:rsid w:val="004B78F9"/>
    <w:rsid w:val="004B7998"/>
    <w:rsid w:val="004B7B22"/>
    <w:rsid w:val="004B7C06"/>
    <w:rsid w:val="004B7C32"/>
    <w:rsid w:val="004B7C3A"/>
    <w:rsid w:val="004B7E74"/>
    <w:rsid w:val="004B7F51"/>
    <w:rsid w:val="004C0029"/>
    <w:rsid w:val="004C0099"/>
    <w:rsid w:val="004C01AA"/>
    <w:rsid w:val="004C01EC"/>
    <w:rsid w:val="004C0260"/>
    <w:rsid w:val="004C0328"/>
    <w:rsid w:val="004C035F"/>
    <w:rsid w:val="004C05D7"/>
    <w:rsid w:val="004C065E"/>
    <w:rsid w:val="004C06E6"/>
    <w:rsid w:val="004C076D"/>
    <w:rsid w:val="004C081A"/>
    <w:rsid w:val="004C0881"/>
    <w:rsid w:val="004C0935"/>
    <w:rsid w:val="004C096F"/>
    <w:rsid w:val="004C0A15"/>
    <w:rsid w:val="004C0A2D"/>
    <w:rsid w:val="004C0A90"/>
    <w:rsid w:val="004C0BFD"/>
    <w:rsid w:val="004C0C43"/>
    <w:rsid w:val="004C0C58"/>
    <w:rsid w:val="004C0C76"/>
    <w:rsid w:val="004C0EC9"/>
    <w:rsid w:val="004C0F80"/>
    <w:rsid w:val="004C0F98"/>
    <w:rsid w:val="004C0FAA"/>
    <w:rsid w:val="004C122D"/>
    <w:rsid w:val="004C1240"/>
    <w:rsid w:val="004C1244"/>
    <w:rsid w:val="004C1306"/>
    <w:rsid w:val="004C1682"/>
    <w:rsid w:val="004C169F"/>
    <w:rsid w:val="004C1723"/>
    <w:rsid w:val="004C17AD"/>
    <w:rsid w:val="004C17BC"/>
    <w:rsid w:val="004C17BF"/>
    <w:rsid w:val="004C1886"/>
    <w:rsid w:val="004C18A6"/>
    <w:rsid w:val="004C18C4"/>
    <w:rsid w:val="004C1A44"/>
    <w:rsid w:val="004C1A4F"/>
    <w:rsid w:val="004C1B3D"/>
    <w:rsid w:val="004C1B69"/>
    <w:rsid w:val="004C1B84"/>
    <w:rsid w:val="004C1BB3"/>
    <w:rsid w:val="004C1C60"/>
    <w:rsid w:val="004C1CB5"/>
    <w:rsid w:val="004C1D80"/>
    <w:rsid w:val="004C1E25"/>
    <w:rsid w:val="004C1E7E"/>
    <w:rsid w:val="004C1F69"/>
    <w:rsid w:val="004C1F6F"/>
    <w:rsid w:val="004C20C1"/>
    <w:rsid w:val="004C20FA"/>
    <w:rsid w:val="004C216E"/>
    <w:rsid w:val="004C21DA"/>
    <w:rsid w:val="004C23F1"/>
    <w:rsid w:val="004C2406"/>
    <w:rsid w:val="004C2416"/>
    <w:rsid w:val="004C2422"/>
    <w:rsid w:val="004C24C7"/>
    <w:rsid w:val="004C2513"/>
    <w:rsid w:val="004C2553"/>
    <w:rsid w:val="004C2571"/>
    <w:rsid w:val="004C25CA"/>
    <w:rsid w:val="004C2749"/>
    <w:rsid w:val="004C274C"/>
    <w:rsid w:val="004C2800"/>
    <w:rsid w:val="004C281D"/>
    <w:rsid w:val="004C28D4"/>
    <w:rsid w:val="004C2978"/>
    <w:rsid w:val="004C2B3A"/>
    <w:rsid w:val="004C2D50"/>
    <w:rsid w:val="004C2D63"/>
    <w:rsid w:val="004C2E2F"/>
    <w:rsid w:val="004C2F13"/>
    <w:rsid w:val="004C2F57"/>
    <w:rsid w:val="004C2F7F"/>
    <w:rsid w:val="004C2FBA"/>
    <w:rsid w:val="004C30C6"/>
    <w:rsid w:val="004C32E8"/>
    <w:rsid w:val="004C3367"/>
    <w:rsid w:val="004C3617"/>
    <w:rsid w:val="004C3991"/>
    <w:rsid w:val="004C39DB"/>
    <w:rsid w:val="004C3A7B"/>
    <w:rsid w:val="004C3AFA"/>
    <w:rsid w:val="004C3B5A"/>
    <w:rsid w:val="004C3CE6"/>
    <w:rsid w:val="004C3D03"/>
    <w:rsid w:val="004C3EAD"/>
    <w:rsid w:val="004C3EF3"/>
    <w:rsid w:val="004C405B"/>
    <w:rsid w:val="004C40DE"/>
    <w:rsid w:val="004C4188"/>
    <w:rsid w:val="004C421E"/>
    <w:rsid w:val="004C4355"/>
    <w:rsid w:val="004C435D"/>
    <w:rsid w:val="004C437A"/>
    <w:rsid w:val="004C43F8"/>
    <w:rsid w:val="004C445C"/>
    <w:rsid w:val="004C4529"/>
    <w:rsid w:val="004C4576"/>
    <w:rsid w:val="004C4686"/>
    <w:rsid w:val="004C4830"/>
    <w:rsid w:val="004C489C"/>
    <w:rsid w:val="004C4983"/>
    <w:rsid w:val="004C49D6"/>
    <w:rsid w:val="004C49EC"/>
    <w:rsid w:val="004C4A6C"/>
    <w:rsid w:val="004C4CC0"/>
    <w:rsid w:val="004C4CC6"/>
    <w:rsid w:val="004C4CED"/>
    <w:rsid w:val="004C4D1A"/>
    <w:rsid w:val="004C4D9B"/>
    <w:rsid w:val="004C4DA2"/>
    <w:rsid w:val="004C4E75"/>
    <w:rsid w:val="004C4EE5"/>
    <w:rsid w:val="004C4F36"/>
    <w:rsid w:val="004C4FF2"/>
    <w:rsid w:val="004C5053"/>
    <w:rsid w:val="004C5091"/>
    <w:rsid w:val="004C50A4"/>
    <w:rsid w:val="004C5394"/>
    <w:rsid w:val="004C54D8"/>
    <w:rsid w:val="004C583E"/>
    <w:rsid w:val="004C5943"/>
    <w:rsid w:val="004C5966"/>
    <w:rsid w:val="004C59A8"/>
    <w:rsid w:val="004C5A59"/>
    <w:rsid w:val="004C5A62"/>
    <w:rsid w:val="004C5AA4"/>
    <w:rsid w:val="004C5AA8"/>
    <w:rsid w:val="004C5CC8"/>
    <w:rsid w:val="004C5E41"/>
    <w:rsid w:val="004C5FC0"/>
    <w:rsid w:val="004C5FC1"/>
    <w:rsid w:val="004C60BA"/>
    <w:rsid w:val="004C60E7"/>
    <w:rsid w:val="004C60FB"/>
    <w:rsid w:val="004C6143"/>
    <w:rsid w:val="004C6320"/>
    <w:rsid w:val="004C6456"/>
    <w:rsid w:val="004C651A"/>
    <w:rsid w:val="004C65D1"/>
    <w:rsid w:val="004C6630"/>
    <w:rsid w:val="004C66E6"/>
    <w:rsid w:val="004C6716"/>
    <w:rsid w:val="004C6721"/>
    <w:rsid w:val="004C676D"/>
    <w:rsid w:val="004C6775"/>
    <w:rsid w:val="004C677F"/>
    <w:rsid w:val="004C68E0"/>
    <w:rsid w:val="004C6BCF"/>
    <w:rsid w:val="004C6C0B"/>
    <w:rsid w:val="004C6C23"/>
    <w:rsid w:val="004C6C3D"/>
    <w:rsid w:val="004C6CD7"/>
    <w:rsid w:val="004C6D4D"/>
    <w:rsid w:val="004C6DDE"/>
    <w:rsid w:val="004C6F44"/>
    <w:rsid w:val="004C710B"/>
    <w:rsid w:val="004C71A7"/>
    <w:rsid w:val="004C73CB"/>
    <w:rsid w:val="004C743C"/>
    <w:rsid w:val="004C746C"/>
    <w:rsid w:val="004C749B"/>
    <w:rsid w:val="004C753C"/>
    <w:rsid w:val="004C7562"/>
    <w:rsid w:val="004C7671"/>
    <w:rsid w:val="004C7677"/>
    <w:rsid w:val="004C76E7"/>
    <w:rsid w:val="004C76EE"/>
    <w:rsid w:val="004C77C0"/>
    <w:rsid w:val="004C77C7"/>
    <w:rsid w:val="004C7844"/>
    <w:rsid w:val="004C79E0"/>
    <w:rsid w:val="004C7C05"/>
    <w:rsid w:val="004C7D52"/>
    <w:rsid w:val="004C7D73"/>
    <w:rsid w:val="004C7DBF"/>
    <w:rsid w:val="004C7F4A"/>
    <w:rsid w:val="004C7F4E"/>
    <w:rsid w:val="004C7FB3"/>
    <w:rsid w:val="004D0121"/>
    <w:rsid w:val="004D0127"/>
    <w:rsid w:val="004D013E"/>
    <w:rsid w:val="004D01F7"/>
    <w:rsid w:val="004D020D"/>
    <w:rsid w:val="004D02A9"/>
    <w:rsid w:val="004D02FB"/>
    <w:rsid w:val="004D0434"/>
    <w:rsid w:val="004D04BD"/>
    <w:rsid w:val="004D04FE"/>
    <w:rsid w:val="004D059F"/>
    <w:rsid w:val="004D05CF"/>
    <w:rsid w:val="004D0613"/>
    <w:rsid w:val="004D075F"/>
    <w:rsid w:val="004D081E"/>
    <w:rsid w:val="004D083C"/>
    <w:rsid w:val="004D0872"/>
    <w:rsid w:val="004D09CA"/>
    <w:rsid w:val="004D0A82"/>
    <w:rsid w:val="004D0AE8"/>
    <w:rsid w:val="004D0B15"/>
    <w:rsid w:val="004D0CBF"/>
    <w:rsid w:val="004D0CFA"/>
    <w:rsid w:val="004D0D26"/>
    <w:rsid w:val="004D0ED1"/>
    <w:rsid w:val="004D0F78"/>
    <w:rsid w:val="004D0FA9"/>
    <w:rsid w:val="004D106D"/>
    <w:rsid w:val="004D11AB"/>
    <w:rsid w:val="004D11F5"/>
    <w:rsid w:val="004D126B"/>
    <w:rsid w:val="004D1351"/>
    <w:rsid w:val="004D13C0"/>
    <w:rsid w:val="004D143C"/>
    <w:rsid w:val="004D1531"/>
    <w:rsid w:val="004D15D7"/>
    <w:rsid w:val="004D1690"/>
    <w:rsid w:val="004D175C"/>
    <w:rsid w:val="004D186E"/>
    <w:rsid w:val="004D198C"/>
    <w:rsid w:val="004D19DA"/>
    <w:rsid w:val="004D19EE"/>
    <w:rsid w:val="004D1A16"/>
    <w:rsid w:val="004D1A1F"/>
    <w:rsid w:val="004D1A41"/>
    <w:rsid w:val="004D1A97"/>
    <w:rsid w:val="004D1B70"/>
    <w:rsid w:val="004D1C3C"/>
    <w:rsid w:val="004D1CB0"/>
    <w:rsid w:val="004D1D2C"/>
    <w:rsid w:val="004D1D7B"/>
    <w:rsid w:val="004D1F66"/>
    <w:rsid w:val="004D1F7D"/>
    <w:rsid w:val="004D1FC1"/>
    <w:rsid w:val="004D1FC9"/>
    <w:rsid w:val="004D2131"/>
    <w:rsid w:val="004D2236"/>
    <w:rsid w:val="004D2291"/>
    <w:rsid w:val="004D22DB"/>
    <w:rsid w:val="004D251F"/>
    <w:rsid w:val="004D262B"/>
    <w:rsid w:val="004D26EE"/>
    <w:rsid w:val="004D279F"/>
    <w:rsid w:val="004D2897"/>
    <w:rsid w:val="004D28BA"/>
    <w:rsid w:val="004D28DA"/>
    <w:rsid w:val="004D2B74"/>
    <w:rsid w:val="004D2BED"/>
    <w:rsid w:val="004D2C55"/>
    <w:rsid w:val="004D2CEE"/>
    <w:rsid w:val="004D2D2A"/>
    <w:rsid w:val="004D2D35"/>
    <w:rsid w:val="004D2D7C"/>
    <w:rsid w:val="004D2E3B"/>
    <w:rsid w:val="004D2EF9"/>
    <w:rsid w:val="004D3162"/>
    <w:rsid w:val="004D31A7"/>
    <w:rsid w:val="004D31AE"/>
    <w:rsid w:val="004D321A"/>
    <w:rsid w:val="004D3298"/>
    <w:rsid w:val="004D3313"/>
    <w:rsid w:val="004D3344"/>
    <w:rsid w:val="004D33A0"/>
    <w:rsid w:val="004D346D"/>
    <w:rsid w:val="004D347C"/>
    <w:rsid w:val="004D359C"/>
    <w:rsid w:val="004D35BB"/>
    <w:rsid w:val="004D35DA"/>
    <w:rsid w:val="004D364B"/>
    <w:rsid w:val="004D36C9"/>
    <w:rsid w:val="004D36E8"/>
    <w:rsid w:val="004D3737"/>
    <w:rsid w:val="004D37CD"/>
    <w:rsid w:val="004D3821"/>
    <w:rsid w:val="004D3983"/>
    <w:rsid w:val="004D3AF5"/>
    <w:rsid w:val="004D3B13"/>
    <w:rsid w:val="004D3BFC"/>
    <w:rsid w:val="004D3CB4"/>
    <w:rsid w:val="004D3D65"/>
    <w:rsid w:val="004D3D7D"/>
    <w:rsid w:val="004D3EC3"/>
    <w:rsid w:val="004D4117"/>
    <w:rsid w:val="004D4234"/>
    <w:rsid w:val="004D42A1"/>
    <w:rsid w:val="004D42A2"/>
    <w:rsid w:val="004D4333"/>
    <w:rsid w:val="004D44E4"/>
    <w:rsid w:val="004D45FC"/>
    <w:rsid w:val="004D46D8"/>
    <w:rsid w:val="004D4893"/>
    <w:rsid w:val="004D497A"/>
    <w:rsid w:val="004D49D9"/>
    <w:rsid w:val="004D49FE"/>
    <w:rsid w:val="004D4A49"/>
    <w:rsid w:val="004D4B9F"/>
    <w:rsid w:val="004D4DB4"/>
    <w:rsid w:val="004D4E74"/>
    <w:rsid w:val="004D4EE4"/>
    <w:rsid w:val="004D4F42"/>
    <w:rsid w:val="004D4F51"/>
    <w:rsid w:val="004D4F82"/>
    <w:rsid w:val="004D503A"/>
    <w:rsid w:val="004D5050"/>
    <w:rsid w:val="004D510B"/>
    <w:rsid w:val="004D51AD"/>
    <w:rsid w:val="004D51E1"/>
    <w:rsid w:val="004D5230"/>
    <w:rsid w:val="004D525D"/>
    <w:rsid w:val="004D5362"/>
    <w:rsid w:val="004D5420"/>
    <w:rsid w:val="004D54D2"/>
    <w:rsid w:val="004D5529"/>
    <w:rsid w:val="004D570C"/>
    <w:rsid w:val="004D5726"/>
    <w:rsid w:val="004D574F"/>
    <w:rsid w:val="004D579C"/>
    <w:rsid w:val="004D57BE"/>
    <w:rsid w:val="004D57E8"/>
    <w:rsid w:val="004D582E"/>
    <w:rsid w:val="004D592D"/>
    <w:rsid w:val="004D5934"/>
    <w:rsid w:val="004D5A8E"/>
    <w:rsid w:val="004D5ADA"/>
    <w:rsid w:val="004D5B11"/>
    <w:rsid w:val="004D5CD2"/>
    <w:rsid w:val="004D5EB0"/>
    <w:rsid w:val="004D5EB8"/>
    <w:rsid w:val="004D5EE3"/>
    <w:rsid w:val="004D5F93"/>
    <w:rsid w:val="004D60AF"/>
    <w:rsid w:val="004D61AF"/>
    <w:rsid w:val="004D61B0"/>
    <w:rsid w:val="004D634A"/>
    <w:rsid w:val="004D6391"/>
    <w:rsid w:val="004D6524"/>
    <w:rsid w:val="004D65BB"/>
    <w:rsid w:val="004D66C6"/>
    <w:rsid w:val="004D6731"/>
    <w:rsid w:val="004D6734"/>
    <w:rsid w:val="004D6858"/>
    <w:rsid w:val="004D68B2"/>
    <w:rsid w:val="004D68B3"/>
    <w:rsid w:val="004D6948"/>
    <w:rsid w:val="004D6AEB"/>
    <w:rsid w:val="004D6B8E"/>
    <w:rsid w:val="004D6BCD"/>
    <w:rsid w:val="004D6C19"/>
    <w:rsid w:val="004D6E1E"/>
    <w:rsid w:val="004D6F0B"/>
    <w:rsid w:val="004D7041"/>
    <w:rsid w:val="004D7056"/>
    <w:rsid w:val="004D70C5"/>
    <w:rsid w:val="004D719B"/>
    <w:rsid w:val="004D71D5"/>
    <w:rsid w:val="004D72FA"/>
    <w:rsid w:val="004D732A"/>
    <w:rsid w:val="004D734D"/>
    <w:rsid w:val="004D7369"/>
    <w:rsid w:val="004D73E0"/>
    <w:rsid w:val="004D7489"/>
    <w:rsid w:val="004D76D0"/>
    <w:rsid w:val="004D76D7"/>
    <w:rsid w:val="004D770D"/>
    <w:rsid w:val="004D778C"/>
    <w:rsid w:val="004D78D4"/>
    <w:rsid w:val="004D792D"/>
    <w:rsid w:val="004D7AFF"/>
    <w:rsid w:val="004D7B01"/>
    <w:rsid w:val="004D7BBE"/>
    <w:rsid w:val="004D7C15"/>
    <w:rsid w:val="004D7C44"/>
    <w:rsid w:val="004D7CE8"/>
    <w:rsid w:val="004D7D1A"/>
    <w:rsid w:val="004D7D21"/>
    <w:rsid w:val="004D7D44"/>
    <w:rsid w:val="004D7E89"/>
    <w:rsid w:val="004D7F29"/>
    <w:rsid w:val="004D7FE3"/>
    <w:rsid w:val="004E0044"/>
    <w:rsid w:val="004E00D7"/>
    <w:rsid w:val="004E0135"/>
    <w:rsid w:val="004E0150"/>
    <w:rsid w:val="004E01B6"/>
    <w:rsid w:val="004E0217"/>
    <w:rsid w:val="004E025A"/>
    <w:rsid w:val="004E0263"/>
    <w:rsid w:val="004E042E"/>
    <w:rsid w:val="004E078B"/>
    <w:rsid w:val="004E096A"/>
    <w:rsid w:val="004E0A5A"/>
    <w:rsid w:val="004E0A8F"/>
    <w:rsid w:val="004E0A93"/>
    <w:rsid w:val="004E0C04"/>
    <w:rsid w:val="004E0C45"/>
    <w:rsid w:val="004E0C6E"/>
    <w:rsid w:val="004E0D2F"/>
    <w:rsid w:val="004E0F62"/>
    <w:rsid w:val="004E0FA3"/>
    <w:rsid w:val="004E0FAA"/>
    <w:rsid w:val="004E0FF8"/>
    <w:rsid w:val="004E104C"/>
    <w:rsid w:val="004E11AF"/>
    <w:rsid w:val="004E1286"/>
    <w:rsid w:val="004E1323"/>
    <w:rsid w:val="004E1501"/>
    <w:rsid w:val="004E1740"/>
    <w:rsid w:val="004E1AAE"/>
    <w:rsid w:val="004E1B40"/>
    <w:rsid w:val="004E1C64"/>
    <w:rsid w:val="004E1C80"/>
    <w:rsid w:val="004E1CCF"/>
    <w:rsid w:val="004E1CE3"/>
    <w:rsid w:val="004E1E73"/>
    <w:rsid w:val="004E1FC7"/>
    <w:rsid w:val="004E201A"/>
    <w:rsid w:val="004E2055"/>
    <w:rsid w:val="004E20BE"/>
    <w:rsid w:val="004E2190"/>
    <w:rsid w:val="004E21D5"/>
    <w:rsid w:val="004E22E4"/>
    <w:rsid w:val="004E2472"/>
    <w:rsid w:val="004E24AF"/>
    <w:rsid w:val="004E255B"/>
    <w:rsid w:val="004E25D8"/>
    <w:rsid w:val="004E2699"/>
    <w:rsid w:val="004E2835"/>
    <w:rsid w:val="004E28E9"/>
    <w:rsid w:val="004E290E"/>
    <w:rsid w:val="004E296C"/>
    <w:rsid w:val="004E2A53"/>
    <w:rsid w:val="004E2A91"/>
    <w:rsid w:val="004E2B96"/>
    <w:rsid w:val="004E2B99"/>
    <w:rsid w:val="004E2D16"/>
    <w:rsid w:val="004E2E2F"/>
    <w:rsid w:val="004E2E34"/>
    <w:rsid w:val="004E2E47"/>
    <w:rsid w:val="004E2E88"/>
    <w:rsid w:val="004E2FC2"/>
    <w:rsid w:val="004E3021"/>
    <w:rsid w:val="004E3168"/>
    <w:rsid w:val="004E3382"/>
    <w:rsid w:val="004E33BB"/>
    <w:rsid w:val="004E33FD"/>
    <w:rsid w:val="004E3423"/>
    <w:rsid w:val="004E3741"/>
    <w:rsid w:val="004E37E2"/>
    <w:rsid w:val="004E3875"/>
    <w:rsid w:val="004E38C4"/>
    <w:rsid w:val="004E3909"/>
    <w:rsid w:val="004E39E5"/>
    <w:rsid w:val="004E3C8E"/>
    <w:rsid w:val="004E3E83"/>
    <w:rsid w:val="004E3FEB"/>
    <w:rsid w:val="004E4012"/>
    <w:rsid w:val="004E4016"/>
    <w:rsid w:val="004E40D7"/>
    <w:rsid w:val="004E4426"/>
    <w:rsid w:val="004E457C"/>
    <w:rsid w:val="004E45C3"/>
    <w:rsid w:val="004E4784"/>
    <w:rsid w:val="004E47BE"/>
    <w:rsid w:val="004E47C7"/>
    <w:rsid w:val="004E4874"/>
    <w:rsid w:val="004E48AD"/>
    <w:rsid w:val="004E4A8E"/>
    <w:rsid w:val="004E4B0B"/>
    <w:rsid w:val="004E4C9E"/>
    <w:rsid w:val="004E4CCC"/>
    <w:rsid w:val="004E4CF9"/>
    <w:rsid w:val="004E4DC8"/>
    <w:rsid w:val="004E4EEE"/>
    <w:rsid w:val="004E4FFD"/>
    <w:rsid w:val="004E5138"/>
    <w:rsid w:val="004E5293"/>
    <w:rsid w:val="004E5348"/>
    <w:rsid w:val="004E53E8"/>
    <w:rsid w:val="004E5493"/>
    <w:rsid w:val="004E54CF"/>
    <w:rsid w:val="004E5578"/>
    <w:rsid w:val="004E5613"/>
    <w:rsid w:val="004E568C"/>
    <w:rsid w:val="004E5762"/>
    <w:rsid w:val="004E5983"/>
    <w:rsid w:val="004E5B75"/>
    <w:rsid w:val="004E5BB1"/>
    <w:rsid w:val="004E5C77"/>
    <w:rsid w:val="004E5CC5"/>
    <w:rsid w:val="004E5F38"/>
    <w:rsid w:val="004E609F"/>
    <w:rsid w:val="004E6172"/>
    <w:rsid w:val="004E644A"/>
    <w:rsid w:val="004E64EB"/>
    <w:rsid w:val="004E677D"/>
    <w:rsid w:val="004E688E"/>
    <w:rsid w:val="004E68B4"/>
    <w:rsid w:val="004E6995"/>
    <w:rsid w:val="004E6BE7"/>
    <w:rsid w:val="004E6D8C"/>
    <w:rsid w:val="004E6DA6"/>
    <w:rsid w:val="004E6E25"/>
    <w:rsid w:val="004E6E51"/>
    <w:rsid w:val="004E6E6C"/>
    <w:rsid w:val="004E6E80"/>
    <w:rsid w:val="004E6E94"/>
    <w:rsid w:val="004E6FD6"/>
    <w:rsid w:val="004E7117"/>
    <w:rsid w:val="004E7202"/>
    <w:rsid w:val="004E7244"/>
    <w:rsid w:val="004E724D"/>
    <w:rsid w:val="004E7478"/>
    <w:rsid w:val="004E75C6"/>
    <w:rsid w:val="004E7634"/>
    <w:rsid w:val="004E7643"/>
    <w:rsid w:val="004E774A"/>
    <w:rsid w:val="004E777A"/>
    <w:rsid w:val="004E77A2"/>
    <w:rsid w:val="004E77D3"/>
    <w:rsid w:val="004E77F5"/>
    <w:rsid w:val="004E798F"/>
    <w:rsid w:val="004E7A93"/>
    <w:rsid w:val="004E7AF0"/>
    <w:rsid w:val="004E7C82"/>
    <w:rsid w:val="004E7D66"/>
    <w:rsid w:val="004E7D72"/>
    <w:rsid w:val="004E7FFA"/>
    <w:rsid w:val="004F0023"/>
    <w:rsid w:val="004F0027"/>
    <w:rsid w:val="004F0157"/>
    <w:rsid w:val="004F0162"/>
    <w:rsid w:val="004F0172"/>
    <w:rsid w:val="004F01D8"/>
    <w:rsid w:val="004F02B7"/>
    <w:rsid w:val="004F02C1"/>
    <w:rsid w:val="004F0464"/>
    <w:rsid w:val="004F0511"/>
    <w:rsid w:val="004F05C8"/>
    <w:rsid w:val="004F05EF"/>
    <w:rsid w:val="004F0602"/>
    <w:rsid w:val="004F083C"/>
    <w:rsid w:val="004F0939"/>
    <w:rsid w:val="004F0C22"/>
    <w:rsid w:val="004F0CDF"/>
    <w:rsid w:val="004F0D94"/>
    <w:rsid w:val="004F0E13"/>
    <w:rsid w:val="004F0E1E"/>
    <w:rsid w:val="004F0E74"/>
    <w:rsid w:val="004F0E88"/>
    <w:rsid w:val="004F0EAB"/>
    <w:rsid w:val="004F0F53"/>
    <w:rsid w:val="004F0F8A"/>
    <w:rsid w:val="004F1223"/>
    <w:rsid w:val="004F1269"/>
    <w:rsid w:val="004F13CE"/>
    <w:rsid w:val="004F14B6"/>
    <w:rsid w:val="004F1639"/>
    <w:rsid w:val="004F1691"/>
    <w:rsid w:val="004F16CA"/>
    <w:rsid w:val="004F16F1"/>
    <w:rsid w:val="004F1703"/>
    <w:rsid w:val="004F17A3"/>
    <w:rsid w:val="004F17FA"/>
    <w:rsid w:val="004F182A"/>
    <w:rsid w:val="004F18C6"/>
    <w:rsid w:val="004F19F7"/>
    <w:rsid w:val="004F1B48"/>
    <w:rsid w:val="004F1BEF"/>
    <w:rsid w:val="004F1FFC"/>
    <w:rsid w:val="004F200D"/>
    <w:rsid w:val="004F202F"/>
    <w:rsid w:val="004F21D2"/>
    <w:rsid w:val="004F21F9"/>
    <w:rsid w:val="004F2248"/>
    <w:rsid w:val="004F22E2"/>
    <w:rsid w:val="004F230D"/>
    <w:rsid w:val="004F23C4"/>
    <w:rsid w:val="004F2481"/>
    <w:rsid w:val="004F2633"/>
    <w:rsid w:val="004F2703"/>
    <w:rsid w:val="004F2A10"/>
    <w:rsid w:val="004F2A85"/>
    <w:rsid w:val="004F2C68"/>
    <w:rsid w:val="004F2C77"/>
    <w:rsid w:val="004F2E21"/>
    <w:rsid w:val="004F2FEB"/>
    <w:rsid w:val="004F3083"/>
    <w:rsid w:val="004F3181"/>
    <w:rsid w:val="004F3185"/>
    <w:rsid w:val="004F3261"/>
    <w:rsid w:val="004F3278"/>
    <w:rsid w:val="004F3289"/>
    <w:rsid w:val="004F3295"/>
    <w:rsid w:val="004F3307"/>
    <w:rsid w:val="004F33BE"/>
    <w:rsid w:val="004F342C"/>
    <w:rsid w:val="004F3577"/>
    <w:rsid w:val="004F386B"/>
    <w:rsid w:val="004F3B7B"/>
    <w:rsid w:val="004F3BC1"/>
    <w:rsid w:val="004F3CFE"/>
    <w:rsid w:val="004F3D14"/>
    <w:rsid w:val="004F3D5A"/>
    <w:rsid w:val="004F3EEF"/>
    <w:rsid w:val="004F3FB0"/>
    <w:rsid w:val="004F41FE"/>
    <w:rsid w:val="004F4341"/>
    <w:rsid w:val="004F4348"/>
    <w:rsid w:val="004F44AE"/>
    <w:rsid w:val="004F44C3"/>
    <w:rsid w:val="004F4508"/>
    <w:rsid w:val="004F4514"/>
    <w:rsid w:val="004F46AA"/>
    <w:rsid w:val="004F480A"/>
    <w:rsid w:val="004F486F"/>
    <w:rsid w:val="004F4897"/>
    <w:rsid w:val="004F4B02"/>
    <w:rsid w:val="004F4B9C"/>
    <w:rsid w:val="004F4BFC"/>
    <w:rsid w:val="004F4C0C"/>
    <w:rsid w:val="004F4C6C"/>
    <w:rsid w:val="004F4DD0"/>
    <w:rsid w:val="004F4ED0"/>
    <w:rsid w:val="004F4F84"/>
    <w:rsid w:val="004F514B"/>
    <w:rsid w:val="004F515E"/>
    <w:rsid w:val="004F516C"/>
    <w:rsid w:val="004F5170"/>
    <w:rsid w:val="004F5194"/>
    <w:rsid w:val="004F5474"/>
    <w:rsid w:val="004F54AC"/>
    <w:rsid w:val="004F557D"/>
    <w:rsid w:val="004F55C1"/>
    <w:rsid w:val="004F55FB"/>
    <w:rsid w:val="004F56A1"/>
    <w:rsid w:val="004F571C"/>
    <w:rsid w:val="004F58F2"/>
    <w:rsid w:val="004F590B"/>
    <w:rsid w:val="004F5A07"/>
    <w:rsid w:val="004F5B4B"/>
    <w:rsid w:val="004F5B53"/>
    <w:rsid w:val="004F5BC9"/>
    <w:rsid w:val="004F5D5B"/>
    <w:rsid w:val="004F5D7A"/>
    <w:rsid w:val="004F5E63"/>
    <w:rsid w:val="004F5F62"/>
    <w:rsid w:val="004F5F69"/>
    <w:rsid w:val="004F5F7B"/>
    <w:rsid w:val="004F5FDA"/>
    <w:rsid w:val="004F608E"/>
    <w:rsid w:val="004F60F4"/>
    <w:rsid w:val="004F616E"/>
    <w:rsid w:val="004F6358"/>
    <w:rsid w:val="004F641F"/>
    <w:rsid w:val="004F650A"/>
    <w:rsid w:val="004F6639"/>
    <w:rsid w:val="004F66B0"/>
    <w:rsid w:val="004F66E0"/>
    <w:rsid w:val="004F66F9"/>
    <w:rsid w:val="004F685D"/>
    <w:rsid w:val="004F68D5"/>
    <w:rsid w:val="004F68E7"/>
    <w:rsid w:val="004F6913"/>
    <w:rsid w:val="004F6914"/>
    <w:rsid w:val="004F6A63"/>
    <w:rsid w:val="004F6B3E"/>
    <w:rsid w:val="004F6D2C"/>
    <w:rsid w:val="004F6DD2"/>
    <w:rsid w:val="004F6F19"/>
    <w:rsid w:val="004F6FA0"/>
    <w:rsid w:val="004F6FB0"/>
    <w:rsid w:val="004F707D"/>
    <w:rsid w:val="004F70AE"/>
    <w:rsid w:val="004F70ED"/>
    <w:rsid w:val="004F7100"/>
    <w:rsid w:val="004F7127"/>
    <w:rsid w:val="004F713B"/>
    <w:rsid w:val="004F713D"/>
    <w:rsid w:val="004F7290"/>
    <w:rsid w:val="004F72EC"/>
    <w:rsid w:val="004F744A"/>
    <w:rsid w:val="004F745E"/>
    <w:rsid w:val="004F7566"/>
    <w:rsid w:val="004F75EB"/>
    <w:rsid w:val="004F76A7"/>
    <w:rsid w:val="004F7757"/>
    <w:rsid w:val="004F7A1B"/>
    <w:rsid w:val="004F7A8E"/>
    <w:rsid w:val="004F7B0F"/>
    <w:rsid w:val="004F7CEF"/>
    <w:rsid w:val="004F7E85"/>
    <w:rsid w:val="004F7EDA"/>
    <w:rsid w:val="004F7F83"/>
    <w:rsid w:val="00500075"/>
    <w:rsid w:val="00500111"/>
    <w:rsid w:val="00500459"/>
    <w:rsid w:val="00500481"/>
    <w:rsid w:val="00500565"/>
    <w:rsid w:val="005005CC"/>
    <w:rsid w:val="005005E1"/>
    <w:rsid w:val="005006C2"/>
    <w:rsid w:val="00500709"/>
    <w:rsid w:val="00500736"/>
    <w:rsid w:val="00500A53"/>
    <w:rsid w:val="00500A54"/>
    <w:rsid w:val="00500A7A"/>
    <w:rsid w:val="00500B13"/>
    <w:rsid w:val="00500B62"/>
    <w:rsid w:val="00500D2C"/>
    <w:rsid w:val="00500E49"/>
    <w:rsid w:val="00501014"/>
    <w:rsid w:val="005010D6"/>
    <w:rsid w:val="00501132"/>
    <w:rsid w:val="005011CB"/>
    <w:rsid w:val="005011CF"/>
    <w:rsid w:val="005011F1"/>
    <w:rsid w:val="00501210"/>
    <w:rsid w:val="00501360"/>
    <w:rsid w:val="005013BA"/>
    <w:rsid w:val="0050148C"/>
    <w:rsid w:val="005014FA"/>
    <w:rsid w:val="00501502"/>
    <w:rsid w:val="00501625"/>
    <w:rsid w:val="00501626"/>
    <w:rsid w:val="005016A0"/>
    <w:rsid w:val="00501788"/>
    <w:rsid w:val="005017D6"/>
    <w:rsid w:val="0050182E"/>
    <w:rsid w:val="0050186B"/>
    <w:rsid w:val="005018A3"/>
    <w:rsid w:val="005018D2"/>
    <w:rsid w:val="00501A6D"/>
    <w:rsid w:val="00501B0F"/>
    <w:rsid w:val="00501B62"/>
    <w:rsid w:val="00501BB6"/>
    <w:rsid w:val="00501C13"/>
    <w:rsid w:val="00501CC3"/>
    <w:rsid w:val="00501DF7"/>
    <w:rsid w:val="00501E79"/>
    <w:rsid w:val="00501FA8"/>
    <w:rsid w:val="00502033"/>
    <w:rsid w:val="00502070"/>
    <w:rsid w:val="005021AA"/>
    <w:rsid w:val="00502217"/>
    <w:rsid w:val="00502263"/>
    <w:rsid w:val="0050226A"/>
    <w:rsid w:val="00502324"/>
    <w:rsid w:val="005024F3"/>
    <w:rsid w:val="005024FD"/>
    <w:rsid w:val="0050267F"/>
    <w:rsid w:val="00502685"/>
    <w:rsid w:val="005027C6"/>
    <w:rsid w:val="00502821"/>
    <w:rsid w:val="005028A2"/>
    <w:rsid w:val="0050291F"/>
    <w:rsid w:val="00502995"/>
    <w:rsid w:val="00502A71"/>
    <w:rsid w:val="00502B94"/>
    <w:rsid w:val="00502C70"/>
    <w:rsid w:val="00502C7B"/>
    <w:rsid w:val="00502C95"/>
    <w:rsid w:val="00502D1B"/>
    <w:rsid w:val="00502E1B"/>
    <w:rsid w:val="00502E26"/>
    <w:rsid w:val="00502E62"/>
    <w:rsid w:val="00502E6B"/>
    <w:rsid w:val="00502EA6"/>
    <w:rsid w:val="00502F78"/>
    <w:rsid w:val="00502FF4"/>
    <w:rsid w:val="00503089"/>
    <w:rsid w:val="005030A6"/>
    <w:rsid w:val="00503223"/>
    <w:rsid w:val="00503404"/>
    <w:rsid w:val="0050340B"/>
    <w:rsid w:val="005034BC"/>
    <w:rsid w:val="0050355B"/>
    <w:rsid w:val="00503677"/>
    <w:rsid w:val="00503796"/>
    <w:rsid w:val="005037C6"/>
    <w:rsid w:val="00503873"/>
    <w:rsid w:val="0050391D"/>
    <w:rsid w:val="00503AE4"/>
    <w:rsid w:val="00503C37"/>
    <w:rsid w:val="00503D4D"/>
    <w:rsid w:val="00503E81"/>
    <w:rsid w:val="00503EAA"/>
    <w:rsid w:val="00504227"/>
    <w:rsid w:val="00504247"/>
    <w:rsid w:val="005042C2"/>
    <w:rsid w:val="00504467"/>
    <w:rsid w:val="0050454E"/>
    <w:rsid w:val="00504586"/>
    <w:rsid w:val="005045FF"/>
    <w:rsid w:val="0050481A"/>
    <w:rsid w:val="00504884"/>
    <w:rsid w:val="00504902"/>
    <w:rsid w:val="00504985"/>
    <w:rsid w:val="005049DE"/>
    <w:rsid w:val="00504A00"/>
    <w:rsid w:val="00504A4C"/>
    <w:rsid w:val="00504BAF"/>
    <w:rsid w:val="00504D50"/>
    <w:rsid w:val="00504DAF"/>
    <w:rsid w:val="00504EF1"/>
    <w:rsid w:val="00504F38"/>
    <w:rsid w:val="0050507E"/>
    <w:rsid w:val="00505144"/>
    <w:rsid w:val="0050529E"/>
    <w:rsid w:val="00505319"/>
    <w:rsid w:val="00505567"/>
    <w:rsid w:val="005056F7"/>
    <w:rsid w:val="00505745"/>
    <w:rsid w:val="00505822"/>
    <w:rsid w:val="005059A3"/>
    <w:rsid w:val="00505B4E"/>
    <w:rsid w:val="00505B4F"/>
    <w:rsid w:val="00505B71"/>
    <w:rsid w:val="00505C5B"/>
    <w:rsid w:val="00505C86"/>
    <w:rsid w:val="00505F5B"/>
    <w:rsid w:val="00506027"/>
    <w:rsid w:val="005060B7"/>
    <w:rsid w:val="00506121"/>
    <w:rsid w:val="005061B9"/>
    <w:rsid w:val="00506249"/>
    <w:rsid w:val="00506286"/>
    <w:rsid w:val="005063C0"/>
    <w:rsid w:val="005063DB"/>
    <w:rsid w:val="005063F3"/>
    <w:rsid w:val="00506462"/>
    <w:rsid w:val="00506494"/>
    <w:rsid w:val="00506530"/>
    <w:rsid w:val="00506543"/>
    <w:rsid w:val="00506555"/>
    <w:rsid w:val="005067BB"/>
    <w:rsid w:val="005067FF"/>
    <w:rsid w:val="0050690A"/>
    <w:rsid w:val="0050691F"/>
    <w:rsid w:val="00506A04"/>
    <w:rsid w:val="00506A4F"/>
    <w:rsid w:val="00506ABF"/>
    <w:rsid w:val="00506AE6"/>
    <w:rsid w:val="00506C72"/>
    <w:rsid w:val="00506D82"/>
    <w:rsid w:val="00506E67"/>
    <w:rsid w:val="00507015"/>
    <w:rsid w:val="00507205"/>
    <w:rsid w:val="005074C5"/>
    <w:rsid w:val="0050763A"/>
    <w:rsid w:val="00507685"/>
    <w:rsid w:val="00507739"/>
    <w:rsid w:val="00507744"/>
    <w:rsid w:val="00507880"/>
    <w:rsid w:val="005078B1"/>
    <w:rsid w:val="005078BE"/>
    <w:rsid w:val="005078FF"/>
    <w:rsid w:val="00507A14"/>
    <w:rsid w:val="00507A42"/>
    <w:rsid w:val="00507AE0"/>
    <w:rsid w:val="00507C2D"/>
    <w:rsid w:val="00507D26"/>
    <w:rsid w:val="00507DAF"/>
    <w:rsid w:val="00507EB1"/>
    <w:rsid w:val="00507F4A"/>
    <w:rsid w:val="005100A7"/>
    <w:rsid w:val="0051010B"/>
    <w:rsid w:val="00510176"/>
    <w:rsid w:val="005102A1"/>
    <w:rsid w:val="005102CD"/>
    <w:rsid w:val="0051032A"/>
    <w:rsid w:val="005103A3"/>
    <w:rsid w:val="0051044E"/>
    <w:rsid w:val="0051048D"/>
    <w:rsid w:val="005104EF"/>
    <w:rsid w:val="005106DD"/>
    <w:rsid w:val="005106E3"/>
    <w:rsid w:val="005106EE"/>
    <w:rsid w:val="005107EE"/>
    <w:rsid w:val="005108B2"/>
    <w:rsid w:val="005109B4"/>
    <w:rsid w:val="005109CC"/>
    <w:rsid w:val="00510A3B"/>
    <w:rsid w:val="00510B79"/>
    <w:rsid w:val="00510B7A"/>
    <w:rsid w:val="00510B83"/>
    <w:rsid w:val="00510BC6"/>
    <w:rsid w:val="00510C98"/>
    <w:rsid w:val="00510CD7"/>
    <w:rsid w:val="00510CEB"/>
    <w:rsid w:val="00510D52"/>
    <w:rsid w:val="00510DB5"/>
    <w:rsid w:val="00511105"/>
    <w:rsid w:val="0051116E"/>
    <w:rsid w:val="00511269"/>
    <w:rsid w:val="005112AE"/>
    <w:rsid w:val="00511366"/>
    <w:rsid w:val="00511431"/>
    <w:rsid w:val="005117B1"/>
    <w:rsid w:val="005117BC"/>
    <w:rsid w:val="00511814"/>
    <w:rsid w:val="00511847"/>
    <w:rsid w:val="0051196B"/>
    <w:rsid w:val="005119DF"/>
    <w:rsid w:val="00511A73"/>
    <w:rsid w:val="00511C96"/>
    <w:rsid w:val="00511CDA"/>
    <w:rsid w:val="00511D83"/>
    <w:rsid w:val="00511E3C"/>
    <w:rsid w:val="00511F6D"/>
    <w:rsid w:val="00511F77"/>
    <w:rsid w:val="00511F9E"/>
    <w:rsid w:val="0051215E"/>
    <w:rsid w:val="0051216E"/>
    <w:rsid w:val="00512398"/>
    <w:rsid w:val="005123B5"/>
    <w:rsid w:val="005123ED"/>
    <w:rsid w:val="0051244F"/>
    <w:rsid w:val="00512530"/>
    <w:rsid w:val="0051253E"/>
    <w:rsid w:val="00512612"/>
    <w:rsid w:val="00512784"/>
    <w:rsid w:val="005128DD"/>
    <w:rsid w:val="00512945"/>
    <w:rsid w:val="0051296E"/>
    <w:rsid w:val="00512A05"/>
    <w:rsid w:val="00512A29"/>
    <w:rsid w:val="00512B4D"/>
    <w:rsid w:val="00512B7C"/>
    <w:rsid w:val="00512BA6"/>
    <w:rsid w:val="00512C48"/>
    <w:rsid w:val="00512DA0"/>
    <w:rsid w:val="00512EDA"/>
    <w:rsid w:val="00513224"/>
    <w:rsid w:val="0051327F"/>
    <w:rsid w:val="005132A1"/>
    <w:rsid w:val="005132CA"/>
    <w:rsid w:val="00513359"/>
    <w:rsid w:val="00513395"/>
    <w:rsid w:val="00513415"/>
    <w:rsid w:val="00513429"/>
    <w:rsid w:val="0051343D"/>
    <w:rsid w:val="005134A6"/>
    <w:rsid w:val="00513525"/>
    <w:rsid w:val="00513528"/>
    <w:rsid w:val="00513581"/>
    <w:rsid w:val="00513683"/>
    <w:rsid w:val="00513847"/>
    <w:rsid w:val="00513A28"/>
    <w:rsid w:val="00513AE7"/>
    <w:rsid w:val="00513BCA"/>
    <w:rsid w:val="00513C39"/>
    <w:rsid w:val="00513E60"/>
    <w:rsid w:val="00513EDA"/>
    <w:rsid w:val="00514010"/>
    <w:rsid w:val="0051416C"/>
    <w:rsid w:val="0051419E"/>
    <w:rsid w:val="0051420D"/>
    <w:rsid w:val="00514255"/>
    <w:rsid w:val="005143CB"/>
    <w:rsid w:val="00514472"/>
    <w:rsid w:val="00514549"/>
    <w:rsid w:val="005145B9"/>
    <w:rsid w:val="005145E8"/>
    <w:rsid w:val="005147B9"/>
    <w:rsid w:val="005147FF"/>
    <w:rsid w:val="0051481E"/>
    <w:rsid w:val="0051483D"/>
    <w:rsid w:val="0051487F"/>
    <w:rsid w:val="0051497D"/>
    <w:rsid w:val="00514AB0"/>
    <w:rsid w:val="00514BF2"/>
    <w:rsid w:val="00514C11"/>
    <w:rsid w:val="00514DA7"/>
    <w:rsid w:val="00514ECD"/>
    <w:rsid w:val="00514F1D"/>
    <w:rsid w:val="00514F3C"/>
    <w:rsid w:val="00514F94"/>
    <w:rsid w:val="0051521F"/>
    <w:rsid w:val="005152AC"/>
    <w:rsid w:val="0051538B"/>
    <w:rsid w:val="005153FD"/>
    <w:rsid w:val="005154D2"/>
    <w:rsid w:val="0051556D"/>
    <w:rsid w:val="00515586"/>
    <w:rsid w:val="005155D6"/>
    <w:rsid w:val="005155F4"/>
    <w:rsid w:val="00515642"/>
    <w:rsid w:val="0051565A"/>
    <w:rsid w:val="005156A2"/>
    <w:rsid w:val="005156E6"/>
    <w:rsid w:val="0051572A"/>
    <w:rsid w:val="00515747"/>
    <w:rsid w:val="005157A6"/>
    <w:rsid w:val="005157C9"/>
    <w:rsid w:val="005157E8"/>
    <w:rsid w:val="005158A7"/>
    <w:rsid w:val="00515985"/>
    <w:rsid w:val="00515ABD"/>
    <w:rsid w:val="00515C7D"/>
    <w:rsid w:val="00515CAD"/>
    <w:rsid w:val="00515E90"/>
    <w:rsid w:val="00515E96"/>
    <w:rsid w:val="00515EDB"/>
    <w:rsid w:val="00515EFA"/>
    <w:rsid w:val="00515F6D"/>
    <w:rsid w:val="00516045"/>
    <w:rsid w:val="005161FF"/>
    <w:rsid w:val="005162C9"/>
    <w:rsid w:val="00516445"/>
    <w:rsid w:val="00516676"/>
    <w:rsid w:val="005166C8"/>
    <w:rsid w:val="00516733"/>
    <w:rsid w:val="005167F1"/>
    <w:rsid w:val="005168A2"/>
    <w:rsid w:val="0051693F"/>
    <w:rsid w:val="0051694F"/>
    <w:rsid w:val="00516988"/>
    <w:rsid w:val="005169DE"/>
    <w:rsid w:val="00516A0B"/>
    <w:rsid w:val="00516A4D"/>
    <w:rsid w:val="00516AF9"/>
    <w:rsid w:val="00516BE2"/>
    <w:rsid w:val="00516DAE"/>
    <w:rsid w:val="00516E2F"/>
    <w:rsid w:val="00516E93"/>
    <w:rsid w:val="00517028"/>
    <w:rsid w:val="00517179"/>
    <w:rsid w:val="005172E8"/>
    <w:rsid w:val="005173D4"/>
    <w:rsid w:val="005174AE"/>
    <w:rsid w:val="005174B1"/>
    <w:rsid w:val="005174D3"/>
    <w:rsid w:val="00517879"/>
    <w:rsid w:val="005178BA"/>
    <w:rsid w:val="005178DD"/>
    <w:rsid w:val="00517919"/>
    <w:rsid w:val="00517965"/>
    <w:rsid w:val="00517A0A"/>
    <w:rsid w:val="00517A51"/>
    <w:rsid w:val="00517B90"/>
    <w:rsid w:val="00517C67"/>
    <w:rsid w:val="00517CFA"/>
    <w:rsid w:val="00517D4F"/>
    <w:rsid w:val="00517EEE"/>
    <w:rsid w:val="00517F33"/>
    <w:rsid w:val="00517F6D"/>
    <w:rsid w:val="00517FA8"/>
    <w:rsid w:val="00520166"/>
    <w:rsid w:val="005202E3"/>
    <w:rsid w:val="0052035A"/>
    <w:rsid w:val="005204FA"/>
    <w:rsid w:val="00520819"/>
    <w:rsid w:val="005208AD"/>
    <w:rsid w:val="005209FD"/>
    <w:rsid w:val="00520A29"/>
    <w:rsid w:val="00520BAC"/>
    <w:rsid w:val="00520BC9"/>
    <w:rsid w:val="00520D23"/>
    <w:rsid w:val="00520D93"/>
    <w:rsid w:val="00520EF4"/>
    <w:rsid w:val="00520FE7"/>
    <w:rsid w:val="005210D0"/>
    <w:rsid w:val="005211C5"/>
    <w:rsid w:val="005212AA"/>
    <w:rsid w:val="005213B2"/>
    <w:rsid w:val="00521539"/>
    <w:rsid w:val="00521567"/>
    <w:rsid w:val="005215A0"/>
    <w:rsid w:val="005216EE"/>
    <w:rsid w:val="00521772"/>
    <w:rsid w:val="0052193B"/>
    <w:rsid w:val="005219CA"/>
    <w:rsid w:val="005219E2"/>
    <w:rsid w:val="00521A64"/>
    <w:rsid w:val="00521B47"/>
    <w:rsid w:val="00521CB2"/>
    <w:rsid w:val="00521DCC"/>
    <w:rsid w:val="00521EC0"/>
    <w:rsid w:val="00521ED9"/>
    <w:rsid w:val="005220C0"/>
    <w:rsid w:val="005220D0"/>
    <w:rsid w:val="00522112"/>
    <w:rsid w:val="0052217D"/>
    <w:rsid w:val="0052222E"/>
    <w:rsid w:val="005222D4"/>
    <w:rsid w:val="0052248B"/>
    <w:rsid w:val="00522526"/>
    <w:rsid w:val="00522604"/>
    <w:rsid w:val="0052274B"/>
    <w:rsid w:val="00522754"/>
    <w:rsid w:val="00522791"/>
    <w:rsid w:val="00522898"/>
    <w:rsid w:val="005229AC"/>
    <w:rsid w:val="005229B5"/>
    <w:rsid w:val="00522AB4"/>
    <w:rsid w:val="00522B35"/>
    <w:rsid w:val="00522B40"/>
    <w:rsid w:val="00522B92"/>
    <w:rsid w:val="00522BAC"/>
    <w:rsid w:val="00522BFD"/>
    <w:rsid w:val="00522C1E"/>
    <w:rsid w:val="00522C74"/>
    <w:rsid w:val="00522DA7"/>
    <w:rsid w:val="00522DAC"/>
    <w:rsid w:val="00522F20"/>
    <w:rsid w:val="00523001"/>
    <w:rsid w:val="00523015"/>
    <w:rsid w:val="0052305B"/>
    <w:rsid w:val="00523116"/>
    <w:rsid w:val="00523215"/>
    <w:rsid w:val="00523267"/>
    <w:rsid w:val="0052326B"/>
    <w:rsid w:val="005232A3"/>
    <w:rsid w:val="005232E3"/>
    <w:rsid w:val="005234A4"/>
    <w:rsid w:val="005236FF"/>
    <w:rsid w:val="0052374D"/>
    <w:rsid w:val="005237CA"/>
    <w:rsid w:val="005237FA"/>
    <w:rsid w:val="0052383D"/>
    <w:rsid w:val="00523918"/>
    <w:rsid w:val="0052396F"/>
    <w:rsid w:val="00523A11"/>
    <w:rsid w:val="00523AA9"/>
    <w:rsid w:val="00523B5E"/>
    <w:rsid w:val="00523D8F"/>
    <w:rsid w:val="00523E9F"/>
    <w:rsid w:val="00523FED"/>
    <w:rsid w:val="005240F9"/>
    <w:rsid w:val="005244B8"/>
    <w:rsid w:val="00524512"/>
    <w:rsid w:val="0052453F"/>
    <w:rsid w:val="005246D6"/>
    <w:rsid w:val="00524796"/>
    <w:rsid w:val="005247A4"/>
    <w:rsid w:val="0052489A"/>
    <w:rsid w:val="005248BA"/>
    <w:rsid w:val="0052490D"/>
    <w:rsid w:val="0052497E"/>
    <w:rsid w:val="00524A5F"/>
    <w:rsid w:val="00524A7A"/>
    <w:rsid w:val="00524B09"/>
    <w:rsid w:val="00524D0F"/>
    <w:rsid w:val="00524E4E"/>
    <w:rsid w:val="00524E6E"/>
    <w:rsid w:val="00524F61"/>
    <w:rsid w:val="00524F6C"/>
    <w:rsid w:val="00524FF4"/>
    <w:rsid w:val="00525036"/>
    <w:rsid w:val="0052508E"/>
    <w:rsid w:val="005250D4"/>
    <w:rsid w:val="00525148"/>
    <w:rsid w:val="00525195"/>
    <w:rsid w:val="005252B3"/>
    <w:rsid w:val="005252B5"/>
    <w:rsid w:val="0052547D"/>
    <w:rsid w:val="005254C9"/>
    <w:rsid w:val="00525616"/>
    <w:rsid w:val="0052582D"/>
    <w:rsid w:val="00525A4A"/>
    <w:rsid w:val="00525B92"/>
    <w:rsid w:val="00525C86"/>
    <w:rsid w:val="00525D02"/>
    <w:rsid w:val="00525E24"/>
    <w:rsid w:val="00525E78"/>
    <w:rsid w:val="00525E8E"/>
    <w:rsid w:val="00525FD2"/>
    <w:rsid w:val="00525FFC"/>
    <w:rsid w:val="00526001"/>
    <w:rsid w:val="0052603A"/>
    <w:rsid w:val="005260FE"/>
    <w:rsid w:val="00526193"/>
    <w:rsid w:val="005261D7"/>
    <w:rsid w:val="005262C1"/>
    <w:rsid w:val="005263B7"/>
    <w:rsid w:val="005264B9"/>
    <w:rsid w:val="005264D1"/>
    <w:rsid w:val="0052652C"/>
    <w:rsid w:val="00526568"/>
    <w:rsid w:val="005265AB"/>
    <w:rsid w:val="005265FB"/>
    <w:rsid w:val="00526674"/>
    <w:rsid w:val="005267A1"/>
    <w:rsid w:val="005267ED"/>
    <w:rsid w:val="005268D2"/>
    <w:rsid w:val="00526946"/>
    <w:rsid w:val="005269A1"/>
    <w:rsid w:val="00526A2F"/>
    <w:rsid w:val="00526AE7"/>
    <w:rsid w:val="00526B78"/>
    <w:rsid w:val="00526B9D"/>
    <w:rsid w:val="00526BC3"/>
    <w:rsid w:val="00526DCE"/>
    <w:rsid w:val="00526DEA"/>
    <w:rsid w:val="00526E4F"/>
    <w:rsid w:val="00526F3D"/>
    <w:rsid w:val="00526FF2"/>
    <w:rsid w:val="00527004"/>
    <w:rsid w:val="00527027"/>
    <w:rsid w:val="00527077"/>
    <w:rsid w:val="005270AD"/>
    <w:rsid w:val="0052713F"/>
    <w:rsid w:val="0052717E"/>
    <w:rsid w:val="005271C5"/>
    <w:rsid w:val="005272A0"/>
    <w:rsid w:val="00527331"/>
    <w:rsid w:val="00527385"/>
    <w:rsid w:val="005273E3"/>
    <w:rsid w:val="0052749E"/>
    <w:rsid w:val="00527549"/>
    <w:rsid w:val="0052758C"/>
    <w:rsid w:val="0052763F"/>
    <w:rsid w:val="00527855"/>
    <w:rsid w:val="0052788F"/>
    <w:rsid w:val="005278D2"/>
    <w:rsid w:val="00527982"/>
    <w:rsid w:val="00527A3C"/>
    <w:rsid w:val="00527A76"/>
    <w:rsid w:val="00527B16"/>
    <w:rsid w:val="00527B86"/>
    <w:rsid w:val="00527C0C"/>
    <w:rsid w:val="00527DE1"/>
    <w:rsid w:val="00527EC5"/>
    <w:rsid w:val="0053006F"/>
    <w:rsid w:val="0053007C"/>
    <w:rsid w:val="00530098"/>
    <w:rsid w:val="005300CC"/>
    <w:rsid w:val="00530195"/>
    <w:rsid w:val="00530226"/>
    <w:rsid w:val="0053023C"/>
    <w:rsid w:val="0053025D"/>
    <w:rsid w:val="005302B3"/>
    <w:rsid w:val="005302F7"/>
    <w:rsid w:val="0053030D"/>
    <w:rsid w:val="005303A8"/>
    <w:rsid w:val="005303AC"/>
    <w:rsid w:val="00530572"/>
    <w:rsid w:val="005305F7"/>
    <w:rsid w:val="0053062D"/>
    <w:rsid w:val="005306D6"/>
    <w:rsid w:val="005306F8"/>
    <w:rsid w:val="005307DF"/>
    <w:rsid w:val="005307EB"/>
    <w:rsid w:val="0053081E"/>
    <w:rsid w:val="0053098F"/>
    <w:rsid w:val="005309D0"/>
    <w:rsid w:val="00530A14"/>
    <w:rsid w:val="00530A80"/>
    <w:rsid w:val="00530AB7"/>
    <w:rsid w:val="00530BCC"/>
    <w:rsid w:val="00530BFD"/>
    <w:rsid w:val="00530C02"/>
    <w:rsid w:val="00530C44"/>
    <w:rsid w:val="00530E1D"/>
    <w:rsid w:val="00530F99"/>
    <w:rsid w:val="0053111D"/>
    <w:rsid w:val="00531137"/>
    <w:rsid w:val="0053117A"/>
    <w:rsid w:val="0053135C"/>
    <w:rsid w:val="00531369"/>
    <w:rsid w:val="00531373"/>
    <w:rsid w:val="0053150B"/>
    <w:rsid w:val="005315B7"/>
    <w:rsid w:val="005315EA"/>
    <w:rsid w:val="005317D2"/>
    <w:rsid w:val="005318F7"/>
    <w:rsid w:val="00531A50"/>
    <w:rsid w:val="00531A93"/>
    <w:rsid w:val="00531B17"/>
    <w:rsid w:val="00531B3C"/>
    <w:rsid w:val="00531B5D"/>
    <w:rsid w:val="00531BC0"/>
    <w:rsid w:val="00531BEA"/>
    <w:rsid w:val="00531C31"/>
    <w:rsid w:val="00531C38"/>
    <w:rsid w:val="00531D3A"/>
    <w:rsid w:val="00531D7C"/>
    <w:rsid w:val="00531DAE"/>
    <w:rsid w:val="00531DB1"/>
    <w:rsid w:val="00531E24"/>
    <w:rsid w:val="00531EC6"/>
    <w:rsid w:val="00531F4F"/>
    <w:rsid w:val="00532166"/>
    <w:rsid w:val="0053235F"/>
    <w:rsid w:val="005323D0"/>
    <w:rsid w:val="0053260A"/>
    <w:rsid w:val="005326B0"/>
    <w:rsid w:val="00532716"/>
    <w:rsid w:val="00532756"/>
    <w:rsid w:val="005327EE"/>
    <w:rsid w:val="005328B2"/>
    <w:rsid w:val="005328D7"/>
    <w:rsid w:val="005329F6"/>
    <w:rsid w:val="00532A28"/>
    <w:rsid w:val="00532AF8"/>
    <w:rsid w:val="00532B16"/>
    <w:rsid w:val="00532B71"/>
    <w:rsid w:val="00532CFB"/>
    <w:rsid w:val="00532D5B"/>
    <w:rsid w:val="00532D9B"/>
    <w:rsid w:val="00532DA3"/>
    <w:rsid w:val="00532DB0"/>
    <w:rsid w:val="00532E56"/>
    <w:rsid w:val="00532F1F"/>
    <w:rsid w:val="0053301A"/>
    <w:rsid w:val="00533036"/>
    <w:rsid w:val="005331EB"/>
    <w:rsid w:val="0053329C"/>
    <w:rsid w:val="005332F5"/>
    <w:rsid w:val="0053333B"/>
    <w:rsid w:val="00533497"/>
    <w:rsid w:val="005334BE"/>
    <w:rsid w:val="0053358A"/>
    <w:rsid w:val="0053368C"/>
    <w:rsid w:val="0053369C"/>
    <w:rsid w:val="0053384E"/>
    <w:rsid w:val="005338A1"/>
    <w:rsid w:val="005338C2"/>
    <w:rsid w:val="00533BF7"/>
    <w:rsid w:val="00533C65"/>
    <w:rsid w:val="00533DC0"/>
    <w:rsid w:val="00533DCA"/>
    <w:rsid w:val="00533F34"/>
    <w:rsid w:val="00534052"/>
    <w:rsid w:val="00534087"/>
    <w:rsid w:val="005342DC"/>
    <w:rsid w:val="00534302"/>
    <w:rsid w:val="005345A7"/>
    <w:rsid w:val="005345C5"/>
    <w:rsid w:val="005345CF"/>
    <w:rsid w:val="005345ED"/>
    <w:rsid w:val="0053469C"/>
    <w:rsid w:val="00534A24"/>
    <w:rsid w:val="00534B2F"/>
    <w:rsid w:val="00534B30"/>
    <w:rsid w:val="00534B3C"/>
    <w:rsid w:val="00534B53"/>
    <w:rsid w:val="00534B91"/>
    <w:rsid w:val="00534BF9"/>
    <w:rsid w:val="00534F0A"/>
    <w:rsid w:val="00534FC2"/>
    <w:rsid w:val="00535016"/>
    <w:rsid w:val="00535019"/>
    <w:rsid w:val="00535044"/>
    <w:rsid w:val="0053508A"/>
    <w:rsid w:val="00535097"/>
    <w:rsid w:val="00535122"/>
    <w:rsid w:val="005351F4"/>
    <w:rsid w:val="005352DB"/>
    <w:rsid w:val="00535304"/>
    <w:rsid w:val="00535392"/>
    <w:rsid w:val="005353BB"/>
    <w:rsid w:val="0053544C"/>
    <w:rsid w:val="00535552"/>
    <w:rsid w:val="00535597"/>
    <w:rsid w:val="00535659"/>
    <w:rsid w:val="005356AB"/>
    <w:rsid w:val="005356AD"/>
    <w:rsid w:val="005356B9"/>
    <w:rsid w:val="0053575B"/>
    <w:rsid w:val="005357AF"/>
    <w:rsid w:val="00535827"/>
    <w:rsid w:val="0053583D"/>
    <w:rsid w:val="00535ABE"/>
    <w:rsid w:val="00535B5D"/>
    <w:rsid w:val="00535B86"/>
    <w:rsid w:val="00535C72"/>
    <w:rsid w:val="00535C8F"/>
    <w:rsid w:val="00535CEC"/>
    <w:rsid w:val="00535D48"/>
    <w:rsid w:val="00535E5D"/>
    <w:rsid w:val="00535EB4"/>
    <w:rsid w:val="00535F36"/>
    <w:rsid w:val="00535FE3"/>
    <w:rsid w:val="00536000"/>
    <w:rsid w:val="0053608C"/>
    <w:rsid w:val="005360FF"/>
    <w:rsid w:val="00536115"/>
    <w:rsid w:val="005361B0"/>
    <w:rsid w:val="0053625C"/>
    <w:rsid w:val="0053638B"/>
    <w:rsid w:val="0053646B"/>
    <w:rsid w:val="00536564"/>
    <w:rsid w:val="005365DA"/>
    <w:rsid w:val="00536618"/>
    <w:rsid w:val="0053662C"/>
    <w:rsid w:val="0053671F"/>
    <w:rsid w:val="00536753"/>
    <w:rsid w:val="00536765"/>
    <w:rsid w:val="005367D2"/>
    <w:rsid w:val="00536835"/>
    <w:rsid w:val="005368EE"/>
    <w:rsid w:val="00536A56"/>
    <w:rsid w:val="00536A64"/>
    <w:rsid w:val="00536AFB"/>
    <w:rsid w:val="00536B1F"/>
    <w:rsid w:val="00536C03"/>
    <w:rsid w:val="00536D76"/>
    <w:rsid w:val="00536DD5"/>
    <w:rsid w:val="00536EC4"/>
    <w:rsid w:val="00536F04"/>
    <w:rsid w:val="00536F68"/>
    <w:rsid w:val="00537088"/>
    <w:rsid w:val="0053715A"/>
    <w:rsid w:val="00537193"/>
    <w:rsid w:val="00537329"/>
    <w:rsid w:val="0053733A"/>
    <w:rsid w:val="00537474"/>
    <w:rsid w:val="0053750B"/>
    <w:rsid w:val="00537539"/>
    <w:rsid w:val="0053765A"/>
    <w:rsid w:val="0053767A"/>
    <w:rsid w:val="0053767C"/>
    <w:rsid w:val="0053771F"/>
    <w:rsid w:val="005377F3"/>
    <w:rsid w:val="00537803"/>
    <w:rsid w:val="00537882"/>
    <w:rsid w:val="00537950"/>
    <w:rsid w:val="00537956"/>
    <w:rsid w:val="0053798A"/>
    <w:rsid w:val="00537A7C"/>
    <w:rsid w:val="00537B28"/>
    <w:rsid w:val="00537BA1"/>
    <w:rsid w:val="00537C8B"/>
    <w:rsid w:val="00537CC0"/>
    <w:rsid w:val="00537D0C"/>
    <w:rsid w:val="00537E3C"/>
    <w:rsid w:val="00537F5A"/>
    <w:rsid w:val="00537FEC"/>
    <w:rsid w:val="00540093"/>
    <w:rsid w:val="00540109"/>
    <w:rsid w:val="00540291"/>
    <w:rsid w:val="00540446"/>
    <w:rsid w:val="00540458"/>
    <w:rsid w:val="005404AD"/>
    <w:rsid w:val="005406E4"/>
    <w:rsid w:val="0054076C"/>
    <w:rsid w:val="0054085B"/>
    <w:rsid w:val="00540932"/>
    <w:rsid w:val="00540995"/>
    <w:rsid w:val="005409F9"/>
    <w:rsid w:val="00540A02"/>
    <w:rsid w:val="00540A7E"/>
    <w:rsid w:val="00540AD2"/>
    <w:rsid w:val="00540B0F"/>
    <w:rsid w:val="00540B56"/>
    <w:rsid w:val="00540B77"/>
    <w:rsid w:val="00540C88"/>
    <w:rsid w:val="00540D0C"/>
    <w:rsid w:val="00540DA9"/>
    <w:rsid w:val="00540DB3"/>
    <w:rsid w:val="00540F40"/>
    <w:rsid w:val="00540F78"/>
    <w:rsid w:val="00540F80"/>
    <w:rsid w:val="00540FAE"/>
    <w:rsid w:val="0054128B"/>
    <w:rsid w:val="005412CE"/>
    <w:rsid w:val="005412CF"/>
    <w:rsid w:val="00541549"/>
    <w:rsid w:val="0054157A"/>
    <w:rsid w:val="00541607"/>
    <w:rsid w:val="005416FF"/>
    <w:rsid w:val="00541777"/>
    <w:rsid w:val="005418AD"/>
    <w:rsid w:val="00541971"/>
    <w:rsid w:val="005419DD"/>
    <w:rsid w:val="00541A17"/>
    <w:rsid w:val="00541BBE"/>
    <w:rsid w:val="00541E9E"/>
    <w:rsid w:val="00541F3B"/>
    <w:rsid w:val="00541F3F"/>
    <w:rsid w:val="0054202C"/>
    <w:rsid w:val="005420F2"/>
    <w:rsid w:val="0054219C"/>
    <w:rsid w:val="005421FA"/>
    <w:rsid w:val="005423BB"/>
    <w:rsid w:val="00542404"/>
    <w:rsid w:val="00542591"/>
    <w:rsid w:val="0054259C"/>
    <w:rsid w:val="005425EC"/>
    <w:rsid w:val="00542795"/>
    <w:rsid w:val="0054293E"/>
    <w:rsid w:val="005429CA"/>
    <w:rsid w:val="00542A3D"/>
    <w:rsid w:val="00542A6E"/>
    <w:rsid w:val="00542BDE"/>
    <w:rsid w:val="00542C68"/>
    <w:rsid w:val="00542CB5"/>
    <w:rsid w:val="00542CF2"/>
    <w:rsid w:val="00542E08"/>
    <w:rsid w:val="00542E7D"/>
    <w:rsid w:val="00542EDA"/>
    <w:rsid w:val="00542F03"/>
    <w:rsid w:val="00543004"/>
    <w:rsid w:val="00543134"/>
    <w:rsid w:val="00543230"/>
    <w:rsid w:val="005432A0"/>
    <w:rsid w:val="005433AE"/>
    <w:rsid w:val="0054341D"/>
    <w:rsid w:val="00543472"/>
    <w:rsid w:val="00543581"/>
    <w:rsid w:val="00543821"/>
    <w:rsid w:val="005439B0"/>
    <w:rsid w:val="00543A61"/>
    <w:rsid w:val="00543A93"/>
    <w:rsid w:val="00543C34"/>
    <w:rsid w:val="00543E19"/>
    <w:rsid w:val="00543E41"/>
    <w:rsid w:val="00543E8E"/>
    <w:rsid w:val="00543EFA"/>
    <w:rsid w:val="00543FEF"/>
    <w:rsid w:val="00544007"/>
    <w:rsid w:val="0054409B"/>
    <w:rsid w:val="00544130"/>
    <w:rsid w:val="0054417C"/>
    <w:rsid w:val="005441B3"/>
    <w:rsid w:val="005441CD"/>
    <w:rsid w:val="005441D0"/>
    <w:rsid w:val="0054432C"/>
    <w:rsid w:val="00544448"/>
    <w:rsid w:val="00544469"/>
    <w:rsid w:val="005444E1"/>
    <w:rsid w:val="00544529"/>
    <w:rsid w:val="005445FC"/>
    <w:rsid w:val="00544601"/>
    <w:rsid w:val="0054476C"/>
    <w:rsid w:val="005447F1"/>
    <w:rsid w:val="00544848"/>
    <w:rsid w:val="0054487C"/>
    <w:rsid w:val="005448E5"/>
    <w:rsid w:val="0054490A"/>
    <w:rsid w:val="00544966"/>
    <w:rsid w:val="00544AFB"/>
    <w:rsid w:val="00544B28"/>
    <w:rsid w:val="00544BC4"/>
    <w:rsid w:val="00544BF9"/>
    <w:rsid w:val="00544C40"/>
    <w:rsid w:val="00544CAF"/>
    <w:rsid w:val="00544CC3"/>
    <w:rsid w:val="00544E6D"/>
    <w:rsid w:val="00544F00"/>
    <w:rsid w:val="00544F66"/>
    <w:rsid w:val="00544FBF"/>
    <w:rsid w:val="005450C8"/>
    <w:rsid w:val="005450FE"/>
    <w:rsid w:val="00545133"/>
    <w:rsid w:val="005451DB"/>
    <w:rsid w:val="00545338"/>
    <w:rsid w:val="00545401"/>
    <w:rsid w:val="00545488"/>
    <w:rsid w:val="00545832"/>
    <w:rsid w:val="00545904"/>
    <w:rsid w:val="0054597F"/>
    <w:rsid w:val="00545A57"/>
    <w:rsid w:val="00545A5D"/>
    <w:rsid w:val="00545B28"/>
    <w:rsid w:val="00545B71"/>
    <w:rsid w:val="00545BF5"/>
    <w:rsid w:val="00545D5E"/>
    <w:rsid w:val="00545EA8"/>
    <w:rsid w:val="00545EEF"/>
    <w:rsid w:val="00545F48"/>
    <w:rsid w:val="00546163"/>
    <w:rsid w:val="00546246"/>
    <w:rsid w:val="00546265"/>
    <w:rsid w:val="00546267"/>
    <w:rsid w:val="005462CE"/>
    <w:rsid w:val="005463E8"/>
    <w:rsid w:val="005463F0"/>
    <w:rsid w:val="00546480"/>
    <w:rsid w:val="00546509"/>
    <w:rsid w:val="005465B2"/>
    <w:rsid w:val="00546713"/>
    <w:rsid w:val="0054671B"/>
    <w:rsid w:val="0054684E"/>
    <w:rsid w:val="005469C5"/>
    <w:rsid w:val="00546BB8"/>
    <w:rsid w:val="00546BBB"/>
    <w:rsid w:val="00546C7A"/>
    <w:rsid w:val="00546D90"/>
    <w:rsid w:val="00546DB9"/>
    <w:rsid w:val="00546E06"/>
    <w:rsid w:val="00546ED9"/>
    <w:rsid w:val="00546F05"/>
    <w:rsid w:val="00546F30"/>
    <w:rsid w:val="00546F84"/>
    <w:rsid w:val="0054711C"/>
    <w:rsid w:val="00547354"/>
    <w:rsid w:val="005473A5"/>
    <w:rsid w:val="00547448"/>
    <w:rsid w:val="0054753F"/>
    <w:rsid w:val="0054756A"/>
    <w:rsid w:val="00547614"/>
    <w:rsid w:val="005476B0"/>
    <w:rsid w:val="00547A4B"/>
    <w:rsid w:val="00547AB0"/>
    <w:rsid w:val="00547AF6"/>
    <w:rsid w:val="00547B8C"/>
    <w:rsid w:val="00547BF5"/>
    <w:rsid w:val="00547C8C"/>
    <w:rsid w:val="00547DD2"/>
    <w:rsid w:val="00547E15"/>
    <w:rsid w:val="00547F4F"/>
    <w:rsid w:val="005500AA"/>
    <w:rsid w:val="00550134"/>
    <w:rsid w:val="005501E1"/>
    <w:rsid w:val="005501EA"/>
    <w:rsid w:val="00550200"/>
    <w:rsid w:val="00550201"/>
    <w:rsid w:val="00550289"/>
    <w:rsid w:val="00550480"/>
    <w:rsid w:val="0055048B"/>
    <w:rsid w:val="005506D5"/>
    <w:rsid w:val="0055070B"/>
    <w:rsid w:val="00550753"/>
    <w:rsid w:val="00550823"/>
    <w:rsid w:val="0055097F"/>
    <w:rsid w:val="005509AE"/>
    <w:rsid w:val="00550A16"/>
    <w:rsid w:val="00550B38"/>
    <w:rsid w:val="00550B96"/>
    <w:rsid w:val="00550C70"/>
    <w:rsid w:val="00550C8B"/>
    <w:rsid w:val="00550C93"/>
    <w:rsid w:val="00550C96"/>
    <w:rsid w:val="00550CC4"/>
    <w:rsid w:val="00550D41"/>
    <w:rsid w:val="00550D9C"/>
    <w:rsid w:val="00550ECC"/>
    <w:rsid w:val="00550F30"/>
    <w:rsid w:val="00550FA2"/>
    <w:rsid w:val="00550FA4"/>
    <w:rsid w:val="005511FB"/>
    <w:rsid w:val="00551278"/>
    <w:rsid w:val="00551344"/>
    <w:rsid w:val="0055134C"/>
    <w:rsid w:val="0055141E"/>
    <w:rsid w:val="0055154B"/>
    <w:rsid w:val="00551615"/>
    <w:rsid w:val="0055167C"/>
    <w:rsid w:val="0055173A"/>
    <w:rsid w:val="005517B1"/>
    <w:rsid w:val="00551834"/>
    <w:rsid w:val="0055183A"/>
    <w:rsid w:val="005518F8"/>
    <w:rsid w:val="0055197D"/>
    <w:rsid w:val="00551A0E"/>
    <w:rsid w:val="00551A71"/>
    <w:rsid w:val="00551B46"/>
    <w:rsid w:val="00551B4F"/>
    <w:rsid w:val="00551C73"/>
    <w:rsid w:val="00551C95"/>
    <w:rsid w:val="00551CF5"/>
    <w:rsid w:val="00551CFF"/>
    <w:rsid w:val="00551D1F"/>
    <w:rsid w:val="00551D21"/>
    <w:rsid w:val="00551D6D"/>
    <w:rsid w:val="00551DB3"/>
    <w:rsid w:val="00551DFA"/>
    <w:rsid w:val="00551EC8"/>
    <w:rsid w:val="00551F18"/>
    <w:rsid w:val="00551F34"/>
    <w:rsid w:val="00551FD2"/>
    <w:rsid w:val="00551FE5"/>
    <w:rsid w:val="0055201D"/>
    <w:rsid w:val="0055206F"/>
    <w:rsid w:val="005521D1"/>
    <w:rsid w:val="005522C4"/>
    <w:rsid w:val="0055234B"/>
    <w:rsid w:val="0055242D"/>
    <w:rsid w:val="005524C8"/>
    <w:rsid w:val="00552567"/>
    <w:rsid w:val="00552638"/>
    <w:rsid w:val="005526AA"/>
    <w:rsid w:val="0055271D"/>
    <w:rsid w:val="0055293C"/>
    <w:rsid w:val="0055296B"/>
    <w:rsid w:val="00552A7F"/>
    <w:rsid w:val="00552B17"/>
    <w:rsid w:val="00552B55"/>
    <w:rsid w:val="00552D82"/>
    <w:rsid w:val="00552DA6"/>
    <w:rsid w:val="00552E6A"/>
    <w:rsid w:val="00552FDF"/>
    <w:rsid w:val="0055307F"/>
    <w:rsid w:val="00553106"/>
    <w:rsid w:val="00553126"/>
    <w:rsid w:val="00553312"/>
    <w:rsid w:val="005533D5"/>
    <w:rsid w:val="00553458"/>
    <w:rsid w:val="005534EF"/>
    <w:rsid w:val="00553589"/>
    <w:rsid w:val="005535CE"/>
    <w:rsid w:val="0055379B"/>
    <w:rsid w:val="005537D3"/>
    <w:rsid w:val="0055389A"/>
    <w:rsid w:val="005538AF"/>
    <w:rsid w:val="005539E9"/>
    <w:rsid w:val="00553A04"/>
    <w:rsid w:val="00553ACC"/>
    <w:rsid w:val="00553CE0"/>
    <w:rsid w:val="00553CE6"/>
    <w:rsid w:val="00553DD8"/>
    <w:rsid w:val="00553EF6"/>
    <w:rsid w:val="00553F98"/>
    <w:rsid w:val="0055408F"/>
    <w:rsid w:val="005540DD"/>
    <w:rsid w:val="005540FB"/>
    <w:rsid w:val="00554147"/>
    <w:rsid w:val="0055415B"/>
    <w:rsid w:val="005541EF"/>
    <w:rsid w:val="0055422A"/>
    <w:rsid w:val="0055429D"/>
    <w:rsid w:val="005542BA"/>
    <w:rsid w:val="005542E5"/>
    <w:rsid w:val="00554303"/>
    <w:rsid w:val="00554364"/>
    <w:rsid w:val="0055438F"/>
    <w:rsid w:val="00554411"/>
    <w:rsid w:val="005544DB"/>
    <w:rsid w:val="00554522"/>
    <w:rsid w:val="005545EB"/>
    <w:rsid w:val="00554652"/>
    <w:rsid w:val="00554684"/>
    <w:rsid w:val="0055469C"/>
    <w:rsid w:val="005546F4"/>
    <w:rsid w:val="005547DE"/>
    <w:rsid w:val="005547FF"/>
    <w:rsid w:val="0055487C"/>
    <w:rsid w:val="005549C6"/>
    <w:rsid w:val="005549F2"/>
    <w:rsid w:val="00554CB0"/>
    <w:rsid w:val="00554D6F"/>
    <w:rsid w:val="00554D9D"/>
    <w:rsid w:val="00554E21"/>
    <w:rsid w:val="00554E60"/>
    <w:rsid w:val="00554E7F"/>
    <w:rsid w:val="00555298"/>
    <w:rsid w:val="00555299"/>
    <w:rsid w:val="005552E3"/>
    <w:rsid w:val="005552F1"/>
    <w:rsid w:val="00555435"/>
    <w:rsid w:val="00555583"/>
    <w:rsid w:val="005555E4"/>
    <w:rsid w:val="00555757"/>
    <w:rsid w:val="005557D2"/>
    <w:rsid w:val="0055596E"/>
    <w:rsid w:val="005559BD"/>
    <w:rsid w:val="00555A28"/>
    <w:rsid w:val="00555A5F"/>
    <w:rsid w:val="00555A8E"/>
    <w:rsid w:val="00555B6D"/>
    <w:rsid w:val="00555B98"/>
    <w:rsid w:val="00555BAF"/>
    <w:rsid w:val="00555DBA"/>
    <w:rsid w:val="00555E41"/>
    <w:rsid w:val="00555EC6"/>
    <w:rsid w:val="00555F3D"/>
    <w:rsid w:val="00555F41"/>
    <w:rsid w:val="00555F93"/>
    <w:rsid w:val="00556068"/>
    <w:rsid w:val="005560ED"/>
    <w:rsid w:val="00556119"/>
    <w:rsid w:val="00556122"/>
    <w:rsid w:val="0055613F"/>
    <w:rsid w:val="005561BD"/>
    <w:rsid w:val="005561C2"/>
    <w:rsid w:val="0055621F"/>
    <w:rsid w:val="00556255"/>
    <w:rsid w:val="00556282"/>
    <w:rsid w:val="00556334"/>
    <w:rsid w:val="005563B3"/>
    <w:rsid w:val="005564C9"/>
    <w:rsid w:val="00556517"/>
    <w:rsid w:val="0055665D"/>
    <w:rsid w:val="0055675A"/>
    <w:rsid w:val="005567E0"/>
    <w:rsid w:val="005568F5"/>
    <w:rsid w:val="00556905"/>
    <w:rsid w:val="00556A9E"/>
    <w:rsid w:val="00556AFF"/>
    <w:rsid w:val="00556C16"/>
    <w:rsid w:val="00556CF6"/>
    <w:rsid w:val="00556D41"/>
    <w:rsid w:val="00556E44"/>
    <w:rsid w:val="00556FBD"/>
    <w:rsid w:val="00557113"/>
    <w:rsid w:val="0055724E"/>
    <w:rsid w:val="005574D5"/>
    <w:rsid w:val="0055752C"/>
    <w:rsid w:val="005575C9"/>
    <w:rsid w:val="005576CE"/>
    <w:rsid w:val="0055794A"/>
    <w:rsid w:val="005579D7"/>
    <w:rsid w:val="005579DA"/>
    <w:rsid w:val="005579EC"/>
    <w:rsid w:val="00557BC0"/>
    <w:rsid w:val="00557D02"/>
    <w:rsid w:val="00557E14"/>
    <w:rsid w:val="00557E1E"/>
    <w:rsid w:val="00557EF9"/>
    <w:rsid w:val="00557F8E"/>
    <w:rsid w:val="005600A7"/>
    <w:rsid w:val="0056010C"/>
    <w:rsid w:val="0056020C"/>
    <w:rsid w:val="005602B9"/>
    <w:rsid w:val="005603D5"/>
    <w:rsid w:val="00560407"/>
    <w:rsid w:val="0056050B"/>
    <w:rsid w:val="00560520"/>
    <w:rsid w:val="005605CE"/>
    <w:rsid w:val="005605FD"/>
    <w:rsid w:val="00560610"/>
    <w:rsid w:val="00560641"/>
    <w:rsid w:val="00560643"/>
    <w:rsid w:val="005606EC"/>
    <w:rsid w:val="005606F7"/>
    <w:rsid w:val="005606FE"/>
    <w:rsid w:val="00560B1F"/>
    <w:rsid w:val="00560BA3"/>
    <w:rsid w:val="00560C84"/>
    <w:rsid w:val="00560CCC"/>
    <w:rsid w:val="00560D78"/>
    <w:rsid w:val="00560DCD"/>
    <w:rsid w:val="00560DED"/>
    <w:rsid w:val="00560E29"/>
    <w:rsid w:val="00560E48"/>
    <w:rsid w:val="00560ED1"/>
    <w:rsid w:val="00560FD6"/>
    <w:rsid w:val="005610A9"/>
    <w:rsid w:val="00561336"/>
    <w:rsid w:val="00561411"/>
    <w:rsid w:val="005614C1"/>
    <w:rsid w:val="0056151C"/>
    <w:rsid w:val="0056157B"/>
    <w:rsid w:val="005615BE"/>
    <w:rsid w:val="0056172C"/>
    <w:rsid w:val="0056173B"/>
    <w:rsid w:val="005617F0"/>
    <w:rsid w:val="005617FD"/>
    <w:rsid w:val="00561874"/>
    <w:rsid w:val="005619A4"/>
    <w:rsid w:val="005619F7"/>
    <w:rsid w:val="00561A2C"/>
    <w:rsid w:val="00561AAD"/>
    <w:rsid w:val="00561AB3"/>
    <w:rsid w:val="00561B42"/>
    <w:rsid w:val="00561D35"/>
    <w:rsid w:val="00561D44"/>
    <w:rsid w:val="00561DDD"/>
    <w:rsid w:val="00561EBF"/>
    <w:rsid w:val="005620BF"/>
    <w:rsid w:val="0056241C"/>
    <w:rsid w:val="0056244F"/>
    <w:rsid w:val="005624C9"/>
    <w:rsid w:val="0056263B"/>
    <w:rsid w:val="0056278C"/>
    <w:rsid w:val="005628E1"/>
    <w:rsid w:val="00562971"/>
    <w:rsid w:val="00562B12"/>
    <w:rsid w:val="00562B28"/>
    <w:rsid w:val="00562BB5"/>
    <w:rsid w:val="00562C2B"/>
    <w:rsid w:val="00562D52"/>
    <w:rsid w:val="00562DEB"/>
    <w:rsid w:val="00562F1B"/>
    <w:rsid w:val="0056305F"/>
    <w:rsid w:val="005630B5"/>
    <w:rsid w:val="00563219"/>
    <w:rsid w:val="00563255"/>
    <w:rsid w:val="0056326A"/>
    <w:rsid w:val="005632B4"/>
    <w:rsid w:val="005632FC"/>
    <w:rsid w:val="00563321"/>
    <w:rsid w:val="005634B1"/>
    <w:rsid w:val="00563551"/>
    <w:rsid w:val="005635BF"/>
    <w:rsid w:val="0056362F"/>
    <w:rsid w:val="00563664"/>
    <w:rsid w:val="005637CA"/>
    <w:rsid w:val="00563861"/>
    <w:rsid w:val="005638DA"/>
    <w:rsid w:val="005638DC"/>
    <w:rsid w:val="00563A27"/>
    <w:rsid w:val="00563AFF"/>
    <w:rsid w:val="00563B03"/>
    <w:rsid w:val="00563B18"/>
    <w:rsid w:val="00563B23"/>
    <w:rsid w:val="00563CF6"/>
    <w:rsid w:val="00563D5B"/>
    <w:rsid w:val="00563E58"/>
    <w:rsid w:val="00563F13"/>
    <w:rsid w:val="00563F77"/>
    <w:rsid w:val="00563F84"/>
    <w:rsid w:val="005640AA"/>
    <w:rsid w:val="005641D8"/>
    <w:rsid w:val="0056420E"/>
    <w:rsid w:val="00564244"/>
    <w:rsid w:val="005642DA"/>
    <w:rsid w:val="00564343"/>
    <w:rsid w:val="0056435B"/>
    <w:rsid w:val="00564473"/>
    <w:rsid w:val="005644E2"/>
    <w:rsid w:val="005644EA"/>
    <w:rsid w:val="005645A0"/>
    <w:rsid w:val="005645BD"/>
    <w:rsid w:val="0056477A"/>
    <w:rsid w:val="00564874"/>
    <w:rsid w:val="005648A8"/>
    <w:rsid w:val="005648D0"/>
    <w:rsid w:val="00564C04"/>
    <w:rsid w:val="00564CCB"/>
    <w:rsid w:val="00564E24"/>
    <w:rsid w:val="00564E47"/>
    <w:rsid w:val="00564F43"/>
    <w:rsid w:val="00564FA5"/>
    <w:rsid w:val="005650EE"/>
    <w:rsid w:val="0056516D"/>
    <w:rsid w:val="0056518A"/>
    <w:rsid w:val="005651CC"/>
    <w:rsid w:val="00565212"/>
    <w:rsid w:val="005653FC"/>
    <w:rsid w:val="005655B7"/>
    <w:rsid w:val="0056562B"/>
    <w:rsid w:val="0056564F"/>
    <w:rsid w:val="005656A7"/>
    <w:rsid w:val="00565770"/>
    <w:rsid w:val="00565849"/>
    <w:rsid w:val="00565877"/>
    <w:rsid w:val="00565942"/>
    <w:rsid w:val="00565AB6"/>
    <w:rsid w:val="00565AC5"/>
    <w:rsid w:val="00565C1A"/>
    <w:rsid w:val="00565CD6"/>
    <w:rsid w:val="00565DFA"/>
    <w:rsid w:val="00565EEB"/>
    <w:rsid w:val="00565F17"/>
    <w:rsid w:val="00565F3F"/>
    <w:rsid w:val="00565F6D"/>
    <w:rsid w:val="00565FFD"/>
    <w:rsid w:val="00566033"/>
    <w:rsid w:val="00566069"/>
    <w:rsid w:val="005660BC"/>
    <w:rsid w:val="00566137"/>
    <w:rsid w:val="00566205"/>
    <w:rsid w:val="00566209"/>
    <w:rsid w:val="005662B9"/>
    <w:rsid w:val="00566301"/>
    <w:rsid w:val="005664AC"/>
    <w:rsid w:val="00566580"/>
    <w:rsid w:val="005665A2"/>
    <w:rsid w:val="005666BF"/>
    <w:rsid w:val="005666D6"/>
    <w:rsid w:val="0056674E"/>
    <w:rsid w:val="0056676E"/>
    <w:rsid w:val="00566778"/>
    <w:rsid w:val="00566879"/>
    <w:rsid w:val="005668AF"/>
    <w:rsid w:val="00566A41"/>
    <w:rsid w:val="00566BB1"/>
    <w:rsid w:val="00566D59"/>
    <w:rsid w:val="00566D76"/>
    <w:rsid w:val="00566E50"/>
    <w:rsid w:val="00566F97"/>
    <w:rsid w:val="00567033"/>
    <w:rsid w:val="00567160"/>
    <w:rsid w:val="00567162"/>
    <w:rsid w:val="005671E7"/>
    <w:rsid w:val="00567279"/>
    <w:rsid w:val="0056751B"/>
    <w:rsid w:val="0056757D"/>
    <w:rsid w:val="005675CF"/>
    <w:rsid w:val="005675F4"/>
    <w:rsid w:val="005676FC"/>
    <w:rsid w:val="00567987"/>
    <w:rsid w:val="005679AB"/>
    <w:rsid w:val="00567BE7"/>
    <w:rsid w:val="00567E70"/>
    <w:rsid w:val="00567E7A"/>
    <w:rsid w:val="00567ED9"/>
    <w:rsid w:val="005700B7"/>
    <w:rsid w:val="00570358"/>
    <w:rsid w:val="005703C8"/>
    <w:rsid w:val="00570436"/>
    <w:rsid w:val="005704B5"/>
    <w:rsid w:val="005704E1"/>
    <w:rsid w:val="00570550"/>
    <w:rsid w:val="0057058D"/>
    <w:rsid w:val="005705B6"/>
    <w:rsid w:val="0057060D"/>
    <w:rsid w:val="00570648"/>
    <w:rsid w:val="0057069B"/>
    <w:rsid w:val="005706A3"/>
    <w:rsid w:val="005708A4"/>
    <w:rsid w:val="0057090E"/>
    <w:rsid w:val="00570A3E"/>
    <w:rsid w:val="00570E0B"/>
    <w:rsid w:val="00570E6E"/>
    <w:rsid w:val="00571077"/>
    <w:rsid w:val="005710A5"/>
    <w:rsid w:val="00571132"/>
    <w:rsid w:val="00571186"/>
    <w:rsid w:val="005711E8"/>
    <w:rsid w:val="0057124A"/>
    <w:rsid w:val="0057126C"/>
    <w:rsid w:val="00571287"/>
    <w:rsid w:val="00571472"/>
    <w:rsid w:val="005714B7"/>
    <w:rsid w:val="005714CF"/>
    <w:rsid w:val="005715D4"/>
    <w:rsid w:val="00571601"/>
    <w:rsid w:val="0057182B"/>
    <w:rsid w:val="00571A41"/>
    <w:rsid w:val="00571A92"/>
    <w:rsid w:val="00571AB3"/>
    <w:rsid w:val="00571AD7"/>
    <w:rsid w:val="00571B46"/>
    <w:rsid w:val="00571C5C"/>
    <w:rsid w:val="00571C99"/>
    <w:rsid w:val="00571CB3"/>
    <w:rsid w:val="00571DA3"/>
    <w:rsid w:val="00571E1A"/>
    <w:rsid w:val="00571E3B"/>
    <w:rsid w:val="00571ED9"/>
    <w:rsid w:val="00571EEF"/>
    <w:rsid w:val="00571FA8"/>
    <w:rsid w:val="0057213C"/>
    <w:rsid w:val="0057220F"/>
    <w:rsid w:val="00572266"/>
    <w:rsid w:val="00572277"/>
    <w:rsid w:val="005722BF"/>
    <w:rsid w:val="00572322"/>
    <w:rsid w:val="0057236E"/>
    <w:rsid w:val="00572480"/>
    <w:rsid w:val="00572544"/>
    <w:rsid w:val="00572565"/>
    <w:rsid w:val="005726B2"/>
    <w:rsid w:val="005727DE"/>
    <w:rsid w:val="005727DF"/>
    <w:rsid w:val="00572823"/>
    <w:rsid w:val="00572838"/>
    <w:rsid w:val="0057288A"/>
    <w:rsid w:val="005728BE"/>
    <w:rsid w:val="005729E7"/>
    <w:rsid w:val="00572A13"/>
    <w:rsid w:val="00572B8D"/>
    <w:rsid w:val="00572BE2"/>
    <w:rsid w:val="00572CAF"/>
    <w:rsid w:val="00572E54"/>
    <w:rsid w:val="00572E87"/>
    <w:rsid w:val="00572F23"/>
    <w:rsid w:val="00572F56"/>
    <w:rsid w:val="00572F61"/>
    <w:rsid w:val="00572F81"/>
    <w:rsid w:val="00573085"/>
    <w:rsid w:val="0057324C"/>
    <w:rsid w:val="00573253"/>
    <w:rsid w:val="005732E9"/>
    <w:rsid w:val="00573330"/>
    <w:rsid w:val="005733D4"/>
    <w:rsid w:val="00573714"/>
    <w:rsid w:val="00573755"/>
    <w:rsid w:val="00573763"/>
    <w:rsid w:val="00573866"/>
    <w:rsid w:val="0057392D"/>
    <w:rsid w:val="00573A31"/>
    <w:rsid w:val="00573A8A"/>
    <w:rsid w:val="00573AA7"/>
    <w:rsid w:val="00573AAC"/>
    <w:rsid w:val="00573B08"/>
    <w:rsid w:val="00573B58"/>
    <w:rsid w:val="00573BAF"/>
    <w:rsid w:val="00573C26"/>
    <w:rsid w:val="00573CA1"/>
    <w:rsid w:val="00573CA9"/>
    <w:rsid w:val="00573E73"/>
    <w:rsid w:val="00573EBB"/>
    <w:rsid w:val="00573F6D"/>
    <w:rsid w:val="0057401B"/>
    <w:rsid w:val="005740AC"/>
    <w:rsid w:val="00574147"/>
    <w:rsid w:val="00574182"/>
    <w:rsid w:val="005742FC"/>
    <w:rsid w:val="00574323"/>
    <w:rsid w:val="0057436D"/>
    <w:rsid w:val="005743F7"/>
    <w:rsid w:val="00574588"/>
    <w:rsid w:val="00574606"/>
    <w:rsid w:val="00574639"/>
    <w:rsid w:val="0057474F"/>
    <w:rsid w:val="005747E2"/>
    <w:rsid w:val="00574882"/>
    <w:rsid w:val="005749DA"/>
    <w:rsid w:val="00574DA8"/>
    <w:rsid w:val="00574E90"/>
    <w:rsid w:val="00574E94"/>
    <w:rsid w:val="00574FA9"/>
    <w:rsid w:val="005751E8"/>
    <w:rsid w:val="00575287"/>
    <w:rsid w:val="005753F2"/>
    <w:rsid w:val="00575641"/>
    <w:rsid w:val="00575943"/>
    <w:rsid w:val="00575959"/>
    <w:rsid w:val="00575983"/>
    <w:rsid w:val="00575992"/>
    <w:rsid w:val="005759A0"/>
    <w:rsid w:val="00575B06"/>
    <w:rsid w:val="00575B5B"/>
    <w:rsid w:val="00575BA7"/>
    <w:rsid w:val="00575BD0"/>
    <w:rsid w:val="00575D0F"/>
    <w:rsid w:val="00575D9B"/>
    <w:rsid w:val="00575E5A"/>
    <w:rsid w:val="00575F4F"/>
    <w:rsid w:val="00575FF6"/>
    <w:rsid w:val="00576097"/>
    <w:rsid w:val="005760E3"/>
    <w:rsid w:val="0057611E"/>
    <w:rsid w:val="0057628A"/>
    <w:rsid w:val="005762C0"/>
    <w:rsid w:val="005762D7"/>
    <w:rsid w:val="00576317"/>
    <w:rsid w:val="00576468"/>
    <w:rsid w:val="005764F3"/>
    <w:rsid w:val="005767B8"/>
    <w:rsid w:val="005767E6"/>
    <w:rsid w:val="005768C4"/>
    <w:rsid w:val="005768E0"/>
    <w:rsid w:val="005769B6"/>
    <w:rsid w:val="00576A5A"/>
    <w:rsid w:val="00576C05"/>
    <w:rsid w:val="00576C46"/>
    <w:rsid w:val="00576CA2"/>
    <w:rsid w:val="00576CAE"/>
    <w:rsid w:val="00576CEA"/>
    <w:rsid w:val="00576DF7"/>
    <w:rsid w:val="00576E02"/>
    <w:rsid w:val="00576E74"/>
    <w:rsid w:val="005771DC"/>
    <w:rsid w:val="0057727F"/>
    <w:rsid w:val="005772F2"/>
    <w:rsid w:val="0057730C"/>
    <w:rsid w:val="00577390"/>
    <w:rsid w:val="005773BD"/>
    <w:rsid w:val="0057745D"/>
    <w:rsid w:val="00577476"/>
    <w:rsid w:val="005775F3"/>
    <w:rsid w:val="0057783A"/>
    <w:rsid w:val="00577915"/>
    <w:rsid w:val="005779B8"/>
    <w:rsid w:val="00577B17"/>
    <w:rsid w:val="00577B38"/>
    <w:rsid w:val="00577BFE"/>
    <w:rsid w:val="00577C2C"/>
    <w:rsid w:val="00577C3A"/>
    <w:rsid w:val="00577C4B"/>
    <w:rsid w:val="00577C9C"/>
    <w:rsid w:val="00577CA9"/>
    <w:rsid w:val="00577E7F"/>
    <w:rsid w:val="00577F24"/>
    <w:rsid w:val="00577FDE"/>
    <w:rsid w:val="00577FF8"/>
    <w:rsid w:val="0058006E"/>
    <w:rsid w:val="00580080"/>
    <w:rsid w:val="0058010D"/>
    <w:rsid w:val="0058024C"/>
    <w:rsid w:val="00580365"/>
    <w:rsid w:val="00580408"/>
    <w:rsid w:val="00580451"/>
    <w:rsid w:val="00580486"/>
    <w:rsid w:val="005804EE"/>
    <w:rsid w:val="00580707"/>
    <w:rsid w:val="0058095B"/>
    <w:rsid w:val="00580A13"/>
    <w:rsid w:val="00580A4F"/>
    <w:rsid w:val="00580B24"/>
    <w:rsid w:val="00580B4D"/>
    <w:rsid w:val="00580C86"/>
    <w:rsid w:val="00580C8E"/>
    <w:rsid w:val="00580CDD"/>
    <w:rsid w:val="00580D02"/>
    <w:rsid w:val="00580D8A"/>
    <w:rsid w:val="00580D9F"/>
    <w:rsid w:val="00580DB7"/>
    <w:rsid w:val="00580F22"/>
    <w:rsid w:val="005810B5"/>
    <w:rsid w:val="00581155"/>
    <w:rsid w:val="0058115D"/>
    <w:rsid w:val="005811C1"/>
    <w:rsid w:val="005811D1"/>
    <w:rsid w:val="00581233"/>
    <w:rsid w:val="00581299"/>
    <w:rsid w:val="005812B2"/>
    <w:rsid w:val="00581316"/>
    <w:rsid w:val="0058139F"/>
    <w:rsid w:val="005813B3"/>
    <w:rsid w:val="00581482"/>
    <w:rsid w:val="00581496"/>
    <w:rsid w:val="005814DB"/>
    <w:rsid w:val="00581538"/>
    <w:rsid w:val="0058155C"/>
    <w:rsid w:val="00581603"/>
    <w:rsid w:val="00581648"/>
    <w:rsid w:val="005817F0"/>
    <w:rsid w:val="00581854"/>
    <w:rsid w:val="005819EE"/>
    <w:rsid w:val="00581A8A"/>
    <w:rsid w:val="00581ADD"/>
    <w:rsid w:val="00581B68"/>
    <w:rsid w:val="00581B8D"/>
    <w:rsid w:val="00581C0B"/>
    <w:rsid w:val="00581C29"/>
    <w:rsid w:val="00581C55"/>
    <w:rsid w:val="00581CFD"/>
    <w:rsid w:val="00581DF5"/>
    <w:rsid w:val="00581ECF"/>
    <w:rsid w:val="00581EEB"/>
    <w:rsid w:val="00581F79"/>
    <w:rsid w:val="00581FA4"/>
    <w:rsid w:val="005820BE"/>
    <w:rsid w:val="005820CF"/>
    <w:rsid w:val="0058212A"/>
    <w:rsid w:val="00582198"/>
    <w:rsid w:val="0058219F"/>
    <w:rsid w:val="00582317"/>
    <w:rsid w:val="005823DF"/>
    <w:rsid w:val="00582723"/>
    <w:rsid w:val="005827E2"/>
    <w:rsid w:val="005827E4"/>
    <w:rsid w:val="0058283E"/>
    <w:rsid w:val="00582885"/>
    <w:rsid w:val="005828EF"/>
    <w:rsid w:val="00582943"/>
    <w:rsid w:val="00582AC8"/>
    <w:rsid w:val="00582ACA"/>
    <w:rsid w:val="00582AD5"/>
    <w:rsid w:val="00582BA0"/>
    <w:rsid w:val="00582BE6"/>
    <w:rsid w:val="00582EAE"/>
    <w:rsid w:val="00582F69"/>
    <w:rsid w:val="00583025"/>
    <w:rsid w:val="00583055"/>
    <w:rsid w:val="00583205"/>
    <w:rsid w:val="00583214"/>
    <w:rsid w:val="005832B2"/>
    <w:rsid w:val="0058336D"/>
    <w:rsid w:val="005833D7"/>
    <w:rsid w:val="0058345F"/>
    <w:rsid w:val="00583531"/>
    <w:rsid w:val="005835B9"/>
    <w:rsid w:val="00583605"/>
    <w:rsid w:val="00583607"/>
    <w:rsid w:val="005836D4"/>
    <w:rsid w:val="00583743"/>
    <w:rsid w:val="00583949"/>
    <w:rsid w:val="0058394A"/>
    <w:rsid w:val="00583AFE"/>
    <w:rsid w:val="00583C05"/>
    <w:rsid w:val="00583F5C"/>
    <w:rsid w:val="00583FEC"/>
    <w:rsid w:val="0058401D"/>
    <w:rsid w:val="0058403D"/>
    <w:rsid w:val="00584095"/>
    <w:rsid w:val="0058409F"/>
    <w:rsid w:val="005840B9"/>
    <w:rsid w:val="005840BC"/>
    <w:rsid w:val="00584254"/>
    <w:rsid w:val="005842A1"/>
    <w:rsid w:val="00584492"/>
    <w:rsid w:val="005844FB"/>
    <w:rsid w:val="0058458F"/>
    <w:rsid w:val="00584664"/>
    <w:rsid w:val="005846B8"/>
    <w:rsid w:val="005846C0"/>
    <w:rsid w:val="0058475F"/>
    <w:rsid w:val="00584777"/>
    <w:rsid w:val="00584795"/>
    <w:rsid w:val="0058488B"/>
    <w:rsid w:val="005848EA"/>
    <w:rsid w:val="005848F4"/>
    <w:rsid w:val="00584976"/>
    <w:rsid w:val="00584AAC"/>
    <w:rsid w:val="00584C48"/>
    <w:rsid w:val="00584C69"/>
    <w:rsid w:val="00584C6E"/>
    <w:rsid w:val="00584D02"/>
    <w:rsid w:val="00584D85"/>
    <w:rsid w:val="00584D97"/>
    <w:rsid w:val="00584DF0"/>
    <w:rsid w:val="00584E02"/>
    <w:rsid w:val="00584EA6"/>
    <w:rsid w:val="005850A9"/>
    <w:rsid w:val="005850DC"/>
    <w:rsid w:val="00585305"/>
    <w:rsid w:val="005853A6"/>
    <w:rsid w:val="005853D5"/>
    <w:rsid w:val="0058542E"/>
    <w:rsid w:val="00585431"/>
    <w:rsid w:val="005854D8"/>
    <w:rsid w:val="00585539"/>
    <w:rsid w:val="00585580"/>
    <w:rsid w:val="005856D1"/>
    <w:rsid w:val="005856FD"/>
    <w:rsid w:val="00585757"/>
    <w:rsid w:val="00585791"/>
    <w:rsid w:val="0058587F"/>
    <w:rsid w:val="00585937"/>
    <w:rsid w:val="00585969"/>
    <w:rsid w:val="00585A70"/>
    <w:rsid w:val="00585AAA"/>
    <w:rsid w:val="00585ABC"/>
    <w:rsid w:val="00585BA5"/>
    <w:rsid w:val="00585CAC"/>
    <w:rsid w:val="00585ED9"/>
    <w:rsid w:val="00585F59"/>
    <w:rsid w:val="00585F8F"/>
    <w:rsid w:val="00586009"/>
    <w:rsid w:val="005860B9"/>
    <w:rsid w:val="005860E5"/>
    <w:rsid w:val="00586184"/>
    <w:rsid w:val="0058619D"/>
    <w:rsid w:val="0058643B"/>
    <w:rsid w:val="0058644E"/>
    <w:rsid w:val="005865DB"/>
    <w:rsid w:val="00586651"/>
    <w:rsid w:val="00586741"/>
    <w:rsid w:val="0058678F"/>
    <w:rsid w:val="0058679E"/>
    <w:rsid w:val="005867B0"/>
    <w:rsid w:val="00586849"/>
    <w:rsid w:val="005868AC"/>
    <w:rsid w:val="005869FB"/>
    <w:rsid w:val="00586A3F"/>
    <w:rsid w:val="00586AA2"/>
    <w:rsid w:val="00586B96"/>
    <w:rsid w:val="00586D18"/>
    <w:rsid w:val="00586D71"/>
    <w:rsid w:val="00586E80"/>
    <w:rsid w:val="00586F8A"/>
    <w:rsid w:val="00586FE4"/>
    <w:rsid w:val="00587064"/>
    <w:rsid w:val="005872A9"/>
    <w:rsid w:val="0058739D"/>
    <w:rsid w:val="005873BA"/>
    <w:rsid w:val="0058740F"/>
    <w:rsid w:val="0058760C"/>
    <w:rsid w:val="0058777A"/>
    <w:rsid w:val="005877C9"/>
    <w:rsid w:val="00587808"/>
    <w:rsid w:val="0058798A"/>
    <w:rsid w:val="005879BE"/>
    <w:rsid w:val="00587A42"/>
    <w:rsid w:val="00587A69"/>
    <w:rsid w:val="00587B3A"/>
    <w:rsid w:val="00587B3D"/>
    <w:rsid w:val="00587B5C"/>
    <w:rsid w:val="00587C35"/>
    <w:rsid w:val="00587C8B"/>
    <w:rsid w:val="00587D1A"/>
    <w:rsid w:val="00587E07"/>
    <w:rsid w:val="00587E9D"/>
    <w:rsid w:val="00587F0B"/>
    <w:rsid w:val="00587F12"/>
    <w:rsid w:val="00587FF6"/>
    <w:rsid w:val="00590378"/>
    <w:rsid w:val="005903C6"/>
    <w:rsid w:val="005904E8"/>
    <w:rsid w:val="00590506"/>
    <w:rsid w:val="00590536"/>
    <w:rsid w:val="0059062C"/>
    <w:rsid w:val="00590662"/>
    <w:rsid w:val="005906A5"/>
    <w:rsid w:val="005906AD"/>
    <w:rsid w:val="0059083D"/>
    <w:rsid w:val="0059084D"/>
    <w:rsid w:val="00590852"/>
    <w:rsid w:val="00590894"/>
    <w:rsid w:val="00590951"/>
    <w:rsid w:val="00590960"/>
    <w:rsid w:val="00590989"/>
    <w:rsid w:val="005909F3"/>
    <w:rsid w:val="00590A9D"/>
    <w:rsid w:val="00590AD4"/>
    <w:rsid w:val="00590AF3"/>
    <w:rsid w:val="00590B07"/>
    <w:rsid w:val="00590B3E"/>
    <w:rsid w:val="00590C18"/>
    <w:rsid w:val="00590CCF"/>
    <w:rsid w:val="00590CD2"/>
    <w:rsid w:val="00590D90"/>
    <w:rsid w:val="00590DE1"/>
    <w:rsid w:val="00590F12"/>
    <w:rsid w:val="00590FC3"/>
    <w:rsid w:val="0059104D"/>
    <w:rsid w:val="00591068"/>
    <w:rsid w:val="00591134"/>
    <w:rsid w:val="005911CC"/>
    <w:rsid w:val="0059136E"/>
    <w:rsid w:val="005913E3"/>
    <w:rsid w:val="00591414"/>
    <w:rsid w:val="00591420"/>
    <w:rsid w:val="00591426"/>
    <w:rsid w:val="005914CB"/>
    <w:rsid w:val="00591707"/>
    <w:rsid w:val="005917CB"/>
    <w:rsid w:val="00591833"/>
    <w:rsid w:val="005919AF"/>
    <w:rsid w:val="005919B0"/>
    <w:rsid w:val="00591A6B"/>
    <w:rsid w:val="00591CC8"/>
    <w:rsid w:val="00591DB3"/>
    <w:rsid w:val="00591DB4"/>
    <w:rsid w:val="00591DFD"/>
    <w:rsid w:val="00591E4C"/>
    <w:rsid w:val="00591F91"/>
    <w:rsid w:val="00591FD7"/>
    <w:rsid w:val="00592009"/>
    <w:rsid w:val="00592085"/>
    <w:rsid w:val="00592100"/>
    <w:rsid w:val="00592174"/>
    <w:rsid w:val="00592251"/>
    <w:rsid w:val="00592565"/>
    <w:rsid w:val="00592571"/>
    <w:rsid w:val="0059259C"/>
    <w:rsid w:val="00592635"/>
    <w:rsid w:val="00592647"/>
    <w:rsid w:val="00592794"/>
    <w:rsid w:val="00592839"/>
    <w:rsid w:val="00592877"/>
    <w:rsid w:val="005928BC"/>
    <w:rsid w:val="005929D8"/>
    <w:rsid w:val="00592A0A"/>
    <w:rsid w:val="00592B30"/>
    <w:rsid w:val="00592B41"/>
    <w:rsid w:val="00592B7D"/>
    <w:rsid w:val="00592D58"/>
    <w:rsid w:val="00592D9E"/>
    <w:rsid w:val="00592EF1"/>
    <w:rsid w:val="00592F69"/>
    <w:rsid w:val="005930C3"/>
    <w:rsid w:val="00593162"/>
    <w:rsid w:val="005931FF"/>
    <w:rsid w:val="00593264"/>
    <w:rsid w:val="0059329A"/>
    <w:rsid w:val="00593339"/>
    <w:rsid w:val="005933D0"/>
    <w:rsid w:val="00593481"/>
    <w:rsid w:val="00593487"/>
    <w:rsid w:val="00593508"/>
    <w:rsid w:val="00593600"/>
    <w:rsid w:val="00593609"/>
    <w:rsid w:val="00593636"/>
    <w:rsid w:val="00593771"/>
    <w:rsid w:val="005937CC"/>
    <w:rsid w:val="00593924"/>
    <w:rsid w:val="00593A00"/>
    <w:rsid w:val="00593A51"/>
    <w:rsid w:val="00593C9E"/>
    <w:rsid w:val="00593CED"/>
    <w:rsid w:val="00593CF3"/>
    <w:rsid w:val="00593E15"/>
    <w:rsid w:val="00593E26"/>
    <w:rsid w:val="00593F8D"/>
    <w:rsid w:val="00594010"/>
    <w:rsid w:val="0059412B"/>
    <w:rsid w:val="005941A4"/>
    <w:rsid w:val="00594203"/>
    <w:rsid w:val="00594209"/>
    <w:rsid w:val="005942AC"/>
    <w:rsid w:val="005942EE"/>
    <w:rsid w:val="00594315"/>
    <w:rsid w:val="005943F9"/>
    <w:rsid w:val="0059443E"/>
    <w:rsid w:val="005944EC"/>
    <w:rsid w:val="00594567"/>
    <w:rsid w:val="00594627"/>
    <w:rsid w:val="00594714"/>
    <w:rsid w:val="0059477C"/>
    <w:rsid w:val="005947F1"/>
    <w:rsid w:val="0059482C"/>
    <w:rsid w:val="005948D6"/>
    <w:rsid w:val="005948DF"/>
    <w:rsid w:val="0059492C"/>
    <w:rsid w:val="005949EA"/>
    <w:rsid w:val="00594C6D"/>
    <w:rsid w:val="00594CF6"/>
    <w:rsid w:val="00594D7E"/>
    <w:rsid w:val="00594DA0"/>
    <w:rsid w:val="00594DE7"/>
    <w:rsid w:val="00594E3D"/>
    <w:rsid w:val="00594EBC"/>
    <w:rsid w:val="00594FAB"/>
    <w:rsid w:val="00594FFE"/>
    <w:rsid w:val="00595034"/>
    <w:rsid w:val="00595109"/>
    <w:rsid w:val="00595111"/>
    <w:rsid w:val="00595124"/>
    <w:rsid w:val="0059517B"/>
    <w:rsid w:val="005951F9"/>
    <w:rsid w:val="00595300"/>
    <w:rsid w:val="0059530B"/>
    <w:rsid w:val="0059532A"/>
    <w:rsid w:val="00595360"/>
    <w:rsid w:val="005953E3"/>
    <w:rsid w:val="005954E0"/>
    <w:rsid w:val="0059556B"/>
    <w:rsid w:val="005955A4"/>
    <w:rsid w:val="005955B0"/>
    <w:rsid w:val="005955B2"/>
    <w:rsid w:val="005958E5"/>
    <w:rsid w:val="00595904"/>
    <w:rsid w:val="005959FA"/>
    <w:rsid w:val="00595B02"/>
    <w:rsid w:val="00595B8C"/>
    <w:rsid w:val="00595D1C"/>
    <w:rsid w:val="00595DD0"/>
    <w:rsid w:val="00595E07"/>
    <w:rsid w:val="00595E94"/>
    <w:rsid w:val="00596090"/>
    <w:rsid w:val="0059618F"/>
    <w:rsid w:val="005962A4"/>
    <w:rsid w:val="005962A6"/>
    <w:rsid w:val="0059638B"/>
    <w:rsid w:val="005964F3"/>
    <w:rsid w:val="0059656A"/>
    <w:rsid w:val="0059656F"/>
    <w:rsid w:val="005965CC"/>
    <w:rsid w:val="00596692"/>
    <w:rsid w:val="005966E7"/>
    <w:rsid w:val="00596738"/>
    <w:rsid w:val="005967B2"/>
    <w:rsid w:val="00596802"/>
    <w:rsid w:val="0059686F"/>
    <w:rsid w:val="005968D8"/>
    <w:rsid w:val="005968DB"/>
    <w:rsid w:val="0059694E"/>
    <w:rsid w:val="005969DE"/>
    <w:rsid w:val="00596A83"/>
    <w:rsid w:val="00596AE3"/>
    <w:rsid w:val="00596C92"/>
    <w:rsid w:val="00596E4C"/>
    <w:rsid w:val="005971CE"/>
    <w:rsid w:val="00597255"/>
    <w:rsid w:val="0059727E"/>
    <w:rsid w:val="005972C3"/>
    <w:rsid w:val="00597435"/>
    <w:rsid w:val="005974BB"/>
    <w:rsid w:val="00597671"/>
    <w:rsid w:val="005976C2"/>
    <w:rsid w:val="005977B2"/>
    <w:rsid w:val="005977E9"/>
    <w:rsid w:val="0059793B"/>
    <w:rsid w:val="00597B01"/>
    <w:rsid w:val="00597CE7"/>
    <w:rsid w:val="00597CF3"/>
    <w:rsid w:val="00597DB5"/>
    <w:rsid w:val="00597DEE"/>
    <w:rsid w:val="00597E4A"/>
    <w:rsid w:val="00597EA2"/>
    <w:rsid w:val="005A00B0"/>
    <w:rsid w:val="005A011C"/>
    <w:rsid w:val="005A0185"/>
    <w:rsid w:val="005A03C9"/>
    <w:rsid w:val="005A048F"/>
    <w:rsid w:val="005A04B7"/>
    <w:rsid w:val="005A04FA"/>
    <w:rsid w:val="005A0510"/>
    <w:rsid w:val="005A0519"/>
    <w:rsid w:val="005A05CE"/>
    <w:rsid w:val="005A05DB"/>
    <w:rsid w:val="005A06B3"/>
    <w:rsid w:val="005A07A5"/>
    <w:rsid w:val="005A07D2"/>
    <w:rsid w:val="005A0834"/>
    <w:rsid w:val="005A0886"/>
    <w:rsid w:val="005A092B"/>
    <w:rsid w:val="005A0A56"/>
    <w:rsid w:val="005A0DC1"/>
    <w:rsid w:val="005A0FA0"/>
    <w:rsid w:val="005A103F"/>
    <w:rsid w:val="005A11F0"/>
    <w:rsid w:val="005A135C"/>
    <w:rsid w:val="005A13E5"/>
    <w:rsid w:val="005A146D"/>
    <w:rsid w:val="005A14A5"/>
    <w:rsid w:val="005A1526"/>
    <w:rsid w:val="005A166F"/>
    <w:rsid w:val="005A1670"/>
    <w:rsid w:val="005A1671"/>
    <w:rsid w:val="005A1753"/>
    <w:rsid w:val="005A18DE"/>
    <w:rsid w:val="005A1979"/>
    <w:rsid w:val="005A1BB7"/>
    <w:rsid w:val="005A1D51"/>
    <w:rsid w:val="005A1D7E"/>
    <w:rsid w:val="005A1E4A"/>
    <w:rsid w:val="005A1FC5"/>
    <w:rsid w:val="005A21FC"/>
    <w:rsid w:val="005A2259"/>
    <w:rsid w:val="005A23BF"/>
    <w:rsid w:val="005A2448"/>
    <w:rsid w:val="005A2490"/>
    <w:rsid w:val="005A262E"/>
    <w:rsid w:val="005A27FF"/>
    <w:rsid w:val="005A285D"/>
    <w:rsid w:val="005A28E6"/>
    <w:rsid w:val="005A2AA0"/>
    <w:rsid w:val="005A2B8C"/>
    <w:rsid w:val="005A2CE3"/>
    <w:rsid w:val="005A2D2B"/>
    <w:rsid w:val="005A2DA8"/>
    <w:rsid w:val="005A2E77"/>
    <w:rsid w:val="005A2F18"/>
    <w:rsid w:val="005A2F68"/>
    <w:rsid w:val="005A2F95"/>
    <w:rsid w:val="005A304C"/>
    <w:rsid w:val="005A30F6"/>
    <w:rsid w:val="005A3197"/>
    <w:rsid w:val="005A326A"/>
    <w:rsid w:val="005A32BB"/>
    <w:rsid w:val="005A32EE"/>
    <w:rsid w:val="005A33CE"/>
    <w:rsid w:val="005A33FC"/>
    <w:rsid w:val="005A3428"/>
    <w:rsid w:val="005A34E3"/>
    <w:rsid w:val="005A3585"/>
    <w:rsid w:val="005A3696"/>
    <w:rsid w:val="005A36DF"/>
    <w:rsid w:val="005A3778"/>
    <w:rsid w:val="005A3895"/>
    <w:rsid w:val="005A3953"/>
    <w:rsid w:val="005A39A3"/>
    <w:rsid w:val="005A39DE"/>
    <w:rsid w:val="005A3A16"/>
    <w:rsid w:val="005A3C59"/>
    <w:rsid w:val="005A3DAF"/>
    <w:rsid w:val="005A3EDD"/>
    <w:rsid w:val="005A3FD0"/>
    <w:rsid w:val="005A403C"/>
    <w:rsid w:val="005A41A5"/>
    <w:rsid w:val="005A41D2"/>
    <w:rsid w:val="005A42C1"/>
    <w:rsid w:val="005A436E"/>
    <w:rsid w:val="005A44E6"/>
    <w:rsid w:val="005A4586"/>
    <w:rsid w:val="005A46EE"/>
    <w:rsid w:val="005A4836"/>
    <w:rsid w:val="005A4858"/>
    <w:rsid w:val="005A4941"/>
    <w:rsid w:val="005A49B5"/>
    <w:rsid w:val="005A4A47"/>
    <w:rsid w:val="005A4A61"/>
    <w:rsid w:val="005A4A81"/>
    <w:rsid w:val="005A4ADE"/>
    <w:rsid w:val="005A4B32"/>
    <w:rsid w:val="005A4D49"/>
    <w:rsid w:val="005A4D85"/>
    <w:rsid w:val="005A4E2F"/>
    <w:rsid w:val="005A4E54"/>
    <w:rsid w:val="005A4EC4"/>
    <w:rsid w:val="005A4EE3"/>
    <w:rsid w:val="005A4F0C"/>
    <w:rsid w:val="005A4F18"/>
    <w:rsid w:val="005A4F2C"/>
    <w:rsid w:val="005A50E4"/>
    <w:rsid w:val="005A51AE"/>
    <w:rsid w:val="005A5201"/>
    <w:rsid w:val="005A521F"/>
    <w:rsid w:val="005A5307"/>
    <w:rsid w:val="005A532F"/>
    <w:rsid w:val="005A5338"/>
    <w:rsid w:val="005A544A"/>
    <w:rsid w:val="005A5486"/>
    <w:rsid w:val="005A54C8"/>
    <w:rsid w:val="005A556E"/>
    <w:rsid w:val="005A55C2"/>
    <w:rsid w:val="005A55EE"/>
    <w:rsid w:val="005A5613"/>
    <w:rsid w:val="005A5636"/>
    <w:rsid w:val="005A566C"/>
    <w:rsid w:val="005A585D"/>
    <w:rsid w:val="005A58CB"/>
    <w:rsid w:val="005A5AB1"/>
    <w:rsid w:val="005A5B9C"/>
    <w:rsid w:val="005A5D39"/>
    <w:rsid w:val="005A5D4C"/>
    <w:rsid w:val="005A5D4D"/>
    <w:rsid w:val="005A5E04"/>
    <w:rsid w:val="005A5EB2"/>
    <w:rsid w:val="005A5EB9"/>
    <w:rsid w:val="005A6127"/>
    <w:rsid w:val="005A6207"/>
    <w:rsid w:val="005A622D"/>
    <w:rsid w:val="005A64C8"/>
    <w:rsid w:val="005A64F4"/>
    <w:rsid w:val="005A6651"/>
    <w:rsid w:val="005A677B"/>
    <w:rsid w:val="005A67FC"/>
    <w:rsid w:val="005A68D6"/>
    <w:rsid w:val="005A6922"/>
    <w:rsid w:val="005A697D"/>
    <w:rsid w:val="005A6A0C"/>
    <w:rsid w:val="005A6AD3"/>
    <w:rsid w:val="005A6C0F"/>
    <w:rsid w:val="005A6CA2"/>
    <w:rsid w:val="005A6D07"/>
    <w:rsid w:val="005A6E09"/>
    <w:rsid w:val="005A6E67"/>
    <w:rsid w:val="005A6E7F"/>
    <w:rsid w:val="005A6EA9"/>
    <w:rsid w:val="005A6F7E"/>
    <w:rsid w:val="005A6FD2"/>
    <w:rsid w:val="005A6FF2"/>
    <w:rsid w:val="005A705C"/>
    <w:rsid w:val="005A7197"/>
    <w:rsid w:val="005A71D0"/>
    <w:rsid w:val="005A71FB"/>
    <w:rsid w:val="005A72A6"/>
    <w:rsid w:val="005A72EF"/>
    <w:rsid w:val="005A7379"/>
    <w:rsid w:val="005A73C8"/>
    <w:rsid w:val="005A7407"/>
    <w:rsid w:val="005A742F"/>
    <w:rsid w:val="005A7449"/>
    <w:rsid w:val="005A74F2"/>
    <w:rsid w:val="005A7568"/>
    <w:rsid w:val="005A759B"/>
    <w:rsid w:val="005A76B8"/>
    <w:rsid w:val="005A76D7"/>
    <w:rsid w:val="005A77B9"/>
    <w:rsid w:val="005A79A7"/>
    <w:rsid w:val="005A7A0B"/>
    <w:rsid w:val="005A7A85"/>
    <w:rsid w:val="005A7AA0"/>
    <w:rsid w:val="005A7BF0"/>
    <w:rsid w:val="005A7BF9"/>
    <w:rsid w:val="005A7D49"/>
    <w:rsid w:val="005A7F73"/>
    <w:rsid w:val="005A7FD6"/>
    <w:rsid w:val="005B0015"/>
    <w:rsid w:val="005B0108"/>
    <w:rsid w:val="005B02E6"/>
    <w:rsid w:val="005B02E7"/>
    <w:rsid w:val="005B0372"/>
    <w:rsid w:val="005B0385"/>
    <w:rsid w:val="005B038D"/>
    <w:rsid w:val="005B03B4"/>
    <w:rsid w:val="005B03E0"/>
    <w:rsid w:val="005B0411"/>
    <w:rsid w:val="005B041E"/>
    <w:rsid w:val="005B0457"/>
    <w:rsid w:val="005B0474"/>
    <w:rsid w:val="005B04B6"/>
    <w:rsid w:val="005B052F"/>
    <w:rsid w:val="005B054B"/>
    <w:rsid w:val="005B054F"/>
    <w:rsid w:val="005B0623"/>
    <w:rsid w:val="005B06AD"/>
    <w:rsid w:val="005B06BB"/>
    <w:rsid w:val="005B06C7"/>
    <w:rsid w:val="005B0809"/>
    <w:rsid w:val="005B0818"/>
    <w:rsid w:val="005B0974"/>
    <w:rsid w:val="005B09C3"/>
    <w:rsid w:val="005B0A4F"/>
    <w:rsid w:val="005B0A82"/>
    <w:rsid w:val="005B0BBC"/>
    <w:rsid w:val="005B0D47"/>
    <w:rsid w:val="005B0EBA"/>
    <w:rsid w:val="005B0F45"/>
    <w:rsid w:val="005B1011"/>
    <w:rsid w:val="005B1201"/>
    <w:rsid w:val="005B122C"/>
    <w:rsid w:val="005B1264"/>
    <w:rsid w:val="005B1383"/>
    <w:rsid w:val="005B14C6"/>
    <w:rsid w:val="005B1542"/>
    <w:rsid w:val="005B15A1"/>
    <w:rsid w:val="005B15AD"/>
    <w:rsid w:val="005B16E4"/>
    <w:rsid w:val="005B174E"/>
    <w:rsid w:val="005B184C"/>
    <w:rsid w:val="005B18F6"/>
    <w:rsid w:val="005B1A75"/>
    <w:rsid w:val="005B1CEF"/>
    <w:rsid w:val="005B1CF9"/>
    <w:rsid w:val="005B1E09"/>
    <w:rsid w:val="005B1E2C"/>
    <w:rsid w:val="005B1F02"/>
    <w:rsid w:val="005B1F05"/>
    <w:rsid w:val="005B1F56"/>
    <w:rsid w:val="005B20F7"/>
    <w:rsid w:val="005B232A"/>
    <w:rsid w:val="005B2376"/>
    <w:rsid w:val="005B275C"/>
    <w:rsid w:val="005B2864"/>
    <w:rsid w:val="005B28A2"/>
    <w:rsid w:val="005B292B"/>
    <w:rsid w:val="005B29B9"/>
    <w:rsid w:val="005B2BDD"/>
    <w:rsid w:val="005B2C30"/>
    <w:rsid w:val="005B2C37"/>
    <w:rsid w:val="005B2CAE"/>
    <w:rsid w:val="005B2D95"/>
    <w:rsid w:val="005B2ED6"/>
    <w:rsid w:val="005B2F2A"/>
    <w:rsid w:val="005B2FA7"/>
    <w:rsid w:val="005B2FCB"/>
    <w:rsid w:val="005B2FE8"/>
    <w:rsid w:val="005B3103"/>
    <w:rsid w:val="005B3123"/>
    <w:rsid w:val="005B3142"/>
    <w:rsid w:val="005B32C1"/>
    <w:rsid w:val="005B3328"/>
    <w:rsid w:val="005B3348"/>
    <w:rsid w:val="005B3355"/>
    <w:rsid w:val="005B3416"/>
    <w:rsid w:val="005B34AC"/>
    <w:rsid w:val="005B35BB"/>
    <w:rsid w:val="005B365A"/>
    <w:rsid w:val="005B36AA"/>
    <w:rsid w:val="005B3874"/>
    <w:rsid w:val="005B38DD"/>
    <w:rsid w:val="005B39FD"/>
    <w:rsid w:val="005B3A32"/>
    <w:rsid w:val="005B3B68"/>
    <w:rsid w:val="005B3B97"/>
    <w:rsid w:val="005B3BC0"/>
    <w:rsid w:val="005B3CA7"/>
    <w:rsid w:val="005B3CCA"/>
    <w:rsid w:val="005B3CD7"/>
    <w:rsid w:val="005B3EEC"/>
    <w:rsid w:val="005B406D"/>
    <w:rsid w:val="005B428E"/>
    <w:rsid w:val="005B42D7"/>
    <w:rsid w:val="005B44F3"/>
    <w:rsid w:val="005B4586"/>
    <w:rsid w:val="005B45CA"/>
    <w:rsid w:val="005B4765"/>
    <w:rsid w:val="005B47CB"/>
    <w:rsid w:val="005B4809"/>
    <w:rsid w:val="005B4895"/>
    <w:rsid w:val="005B48B9"/>
    <w:rsid w:val="005B4A98"/>
    <w:rsid w:val="005B4ADB"/>
    <w:rsid w:val="005B4C84"/>
    <w:rsid w:val="005B4D57"/>
    <w:rsid w:val="005B4D58"/>
    <w:rsid w:val="005B4D7C"/>
    <w:rsid w:val="005B4DE8"/>
    <w:rsid w:val="005B4F0E"/>
    <w:rsid w:val="005B4FB2"/>
    <w:rsid w:val="005B50A0"/>
    <w:rsid w:val="005B50D3"/>
    <w:rsid w:val="005B5114"/>
    <w:rsid w:val="005B540B"/>
    <w:rsid w:val="005B5421"/>
    <w:rsid w:val="005B5457"/>
    <w:rsid w:val="005B54D5"/>
    <w:rsid w:val="005B54ED"/>
    <w:rsid w:val="005B5675"/>
    <w:rsid w:val="005B5688"/>
    <w:rsid w:val="005B56CD"/>
    <w:rsid w:val="005B56EC"/>
    <w:rsid w:val="005B587B"/>
    <w:rsid w:val="005B58E3"/>
    <w:rsid w:val="005B5964"/>
    <w:rsid w:val="005B5C77"/>
    <w:rsid w:val="005B5EE3"/>
    <w:rsid w:val="005B5F68"/>
    <w:rsid w:val="005B60A9"/>
    <w:rsid w:val="005B61F0"/>
    <w:rsid w:val="005B61F7"/>
    <w:rsid w:val="005B62AA"/>
    <w:rsid w:val="005B637E"/>
    <w:rsid w:val="005B640A"/>
    <w:rsid w:val="005B649C"/>
    <w:rsid w:val="005B669E"/>
    <w:rsid w:val="005B68AB"/>
    <w:rsid w:val="005B68AC"/>
    <w:rsid w:val="005B6972"/>
    <w:rsid w:val="005B69E9"/>
    <w:rsid w:val="005B6BF7"/>
    <w:rsid w:val="005B6C24"/>
    <w:rsid w:val="005B6C2A"/>
    <w:rsid w:val="005B6C5B"/>
    <w:rsid w:val="005B6CCD"/>
    <w:rsid w:val="005B6D67"/>
    <w:rsid w:val="005B6E3D"/>
    <w:rsid w:val="005B6EBF"/>
    <w:rsid w:val="005B6F99"/>
    <w:rsid w:val="005B6FCD"/>
    <w:rsid w:val="005B72FF"/>
    <w:rsid w:val="005B7425"/>
    <w:rsid w:val="005B7451"/>
    <w:rsid w:val="005B74A8"/>
    <w:rsid w:val="005B7586"/>
    <w:rsid w:val="005B76E8"/>
    <w:rsid w:val="005B77AC"/>
    <w:rsid w:val="005B7891"/>
    <w:rsid w:val="005B78B0"/>
    <w:rsid w:val="005B7902"/>
    <w:rsid w:val="005B7A47"/>
    <w:rsid w:val="005B7A55"/>
    <w:rsid w:val="005B7A9C"/>
    <w:rsid w:val="005B7C0D"/>
    <w:rsid w:val="005B7F86"/>
    <w:rsid w:val="005C0059"/>
    <w:rsid w:val="005C022D"/>
    <w:rsid w:val="005C02DB"/>
    <w:rsid w:val="005C05E9"/>
    <w:rsid w:val="005C063B"/>
    <w:rsid w:val="005C066D"/>
    <w:rsid w:val="005C06BE"/>
    <w:rsid w:val="005C06E1"/>
    <w:rsid w:val="005C0875"/>
    <w:rsid w:val="005C087C"/>
    <w:rsid w:val="005C09B0"/>
    <w:rsid w:val="005C09F2"/>
    <w:rsid w:val="005C0ACD"/>
    <w:rsid w:val="005C0B98"/>
    <w:rsid w:val="005C0BE9"/>
    <w:rsid w:val="005C0C7A"/>
    <w:rsid w:val="005C0CE2"/>
    <w:rsid w:val="005C0D76"/>
    <w:rsid w:val="005C0DC9"/>
    <w:rsid w:val="005C0E46"/>
    <w:rsid w:val="005C0E97"/>
    <w:rsid w:val="005C0E9A"/>
    <w:rsid w:val="005C0EA8"/>
    <w:rsid w:val="005C0ECC"/>
    <w:rsid w:val="005C143F"/>
    <w:rsid w:val="005C1477"/>
    <w:rsid w:val="005C1503"/>
    <w:rsid w:val="005C1549"/>
    <w:rsid w:val="005C15B3"/>
    <w:rsid w:val="005C15C3"/>
    <w:rsid w:val="005C1711"/>
    <w:rsid w:val="005C1723"/>
    <w:rsid w:val="005C1781"/>
    <w:rsid w:val="005C1839"/>
    <w:rsid w:val="005C1908"/>
    <w:rsid w:val="005C19D1"/>
    <w:rsid w:val="005C1A85"/>
    <w:rsid w:val="005C1FE2"/>
    <w:rsid w:val="005C1FE3"/>
    <w:rsid w:val="005C2013"/>
    <w:rsid w:val="005C20EF"/>
    <w:rsid w:val="005C20F6"/>
    <w:rsid w:val="005C2113"/>
    <w:rsid w:val="005C220F"/>
    <w:rsid w:val="005C24E1"/>
    <w:rsid w:val="005C25D3"/>
    <w:rsid w:val="005C260C"/>
    <w:rsid w:val="005C260D"/>
    <w:rsid w:val="005C276D"/>
    <w:rsid w:val="005C27A8"/>
    <w:rsid w:val="005C27F8"/>
    <w:rsid w:val="005C28A2"/>
    <w:rsid w:val="005C296A"/>
    <w:rsid w:val="005C2978"/>
    <w:rsid w:val="005C2A63"/>
    <w:rsid w:val="005C2A66"/>
    <w:rsid w:val="005C2A79"/>
    <w:rsid w:val="005C2A80"/>
    <w:rsid w:val="005C2ACD"/>
    <w:rsid w:val="005C2AF5"/>
    <w:rsid w:val="005C2BB6"/>
    <w:rsid w:val="005C2C8B"/>
    <w:rsid w:val="005C2CAC"/>
    <w:rsid w:val="005C2DBC"/>
    <w:rsid w:val="005C2DE8"/>
    <w:rsid w:val="005C2DFB"/>
    <w:rsid w:val="005C2E54"/>
    <w:rsid w:val="005C3340"/>
    <w:rsid w:val="005C370E"/>
    <w:rsid w:val="005C3929"/>
    <w:rsid w:val="005C393F"/>
    <w:rsid w:val="005C395D"/>
    <w:rsid w:val="005C3981"/>
    <w:rsid w:val="005C39B0"/>
    <w:rsid w:val="005C3A37"/>
    <w:rsid w:val="005C3AB5"/>
    <w:rsid w:val="005C3AF2"/>
    <w:rsid w:val="005C3BAB"/>
    <w:rsid w:val="005C3C61"/>
    <w:rsid w:val="005C3C7F"/>
    <w:rsid w:val="005C3CDA"/>
    <w:rsid w:val="005C3CDF"/>
    <w:rsid w:val="005C3F69"/>
    <w:rsid w:val="005C3FF1"/>
    <w:rsid w:val="005C40F7"/>
    <w:rsid w:val="005C41DE"/>
    <w:rsid w:val="005C430E"/>
    <w:rsid w:val="005C44B3"/>
    <w:rsid w:val="005C4521"/>
    <w:rsid w:val="005C4543"/>
    <w:rsid w:val="005C4704"/>
    <w:rsid w:val="005C4742"/>
    <w:rsid w:val="005C4754"/>
    <w:rsid w:val="005C4769"/>
    <w:rsid w:val="005C48E7"/>
    <w:rsid w:val="005C4979"/>
    <w:rsid w:val="005C4B08"/>
    <w:rsid w:val="005C4BE4"/>
    <w:rsid w:val="005C4D11"/>
    <w:rsid w:val="005C4DCF"/>
    <w:rsid w:val="005C4E2B"/>
    <w:rsid w:val="005C4F6D"/>
    <w:rsid w:val="005C501A"/>
    <w:rsid w:val="005C5064"/>
    <w:rsid w:val="005C506A"/>
    <w:rsid w:val="005C50C7"/>
    <w:rsid w:val="005C50F7"/>
    <w:rsid w:val="005C514D"/>
    <w:rsid w:val="005C5179"/>
    <w:rsid w:val="005C529D"/>
    <w:rsid w:val="005C5342"/>
    <w:rsid w:val="005C53A1"/>
    <w:rsid w:val="005C53D0"/>
    <w:rsid w:val="005C5484"/>
    <w:rsid w:val="005C55EE"/>
    <w:rsid w:val="005C564D"/>
    <w:rsid w:val="005C5794"/>
    <w:rsid w:val="005C579A"/>
    <w:rsid w:val="005C57E8"/>
    <w:rsid w:val="005C58B3"/>
    <w:rsid w:val="005C5905"/>
    <w:rsid w:val="005C5969"/>
    <w:rsid w:val="005C5983"/>
    <w:rsid w:val="005C5A4C"/>
    <w:rsid w:val="005C5ADE"/>
    <w:rsid w:val="005C5B48"/>
    <w:rsid w:val="005C5B4F"/>
    <w:rsid w:val="005C5B98"/>
    <w:rsid w:val="005C5C11"/>
    <w:rsid w:val="005C5C33"/>
    <w:rsid w:val="005C5D8A"/>
    <w:rsid w:val="005C5D96"/>
    <w:rsid w:val="005C5DC6"/>
    <w:rsid w:val="005C5EA5"/>
    <w:rsid w:val="005C5EE8"/>
    <w:rsid w:val="005C5F57"/>
    <w:rsid w:val="005C60A6"/>
    <w:rsid w:val="005C60DA"/>
    <w:rsid w:val="005C6154"/>
    <w:rsid w:val="005C61B9"/>
    <w:rsid w:val="005C624A"/>
    <w:rsid w:val="005C62FE"/>
    <w:rsid w:val="005C6340"/>
    <w:rsid w:val="005C63E8"/>
    <w:rsid w:val="005C63EE"/>
    <w:rsid w:val="005C6408"/>
    <w:rsid w:val="005C647E"/>
    <w:rsid w:val="005C6486"/>
    <w:rsid w:val="005C651F"/>
    <w:rsid w:val="005C65F6"/>
    <w:rsid w:val="005C66D5"/>
    <w:rsid w:val="005C6742"/>
    <w:rsid w:val="005C68F4"/>
    <w:rsid w:val="005C693C"/>
    <w:rsid w:val="005C6B14"/>
    <w:rsid w:val="005C6C78"/>
    <w:rsid w:val="005C6D44"/>
    <w:rsid w:val="005C6D5D"/>
    <w:rsid w:val="005C6EDE"/>
    <w:rsid w:val="005C6FA5"/>
    <w:rsid w:val="005C7063"/>
    <w:rsid w:val="005C7106"/>
    <w:rsid w:val="005C73BC"/>
    <w:rsid w:val="005C74B2"/>
    <w:rsid w:val="005C74E1"/>
    <w:rsid w:val="005C7630"/>
    <w:rsid w:val="005C765D"/>
    <w:rsid w:val="005C7BCA"/>
    <w:rsid w:val="005C7CF9"/>
    <w:rsid w:val="005C7D47"/>
    <w:rsid w:val="005C7E6E"/>
    <w:rsid w:val="005C7F43"/>
    <w:rsid w:val="005C7F48"/>
    <w:rsid w:val="005C7FF5"/>
    <w:rsid w:val="005C83A3"/>
    <w:rsid w:val="005D03EF"/>
    <w:rsid w:val="005D03FE"/>
    <w:rsid w:val="005D0547"/>
    <w:rsid w:val="005D05A5"/>
    <w:rsid w:val="005D07C5"/>
    <w:rsid w:val="005D07E5"/>
    <w:rsid w:val="005D0804"/>
    <w:rsid w:val="005D093F"/>
    <w:rsid w:val="005D097C"/>
    <w:rsid w:val="005D0B05"/>
    <w:rsid w:val="005D0B0F"/>
    <w:rsid w:val="005D0B85"/>
    <w:rsid w:val="005D0CBF"/>
    <w:rsid w:val="005D0D50"/>
    <w:rsid w:val="005D0E32"/>
    <w:rsid w:val="005D1038"/>
    <w:rsid w:val="005D1259"/>
    <w:rsid w:val="005D13E4"/>
    <w:rsid w:val="005D14D1"/>
    <w:rsid w:val="005D14F6"/>
    <w:rsid w:val="005D154C"/>
    <w:rsid w:val="005D161F"/>
    <w:rsid w:val="005D1708"/>
    <w:rsid w:val="005D1780"/>
    <w:rsid w:val="005D1785"/>
    <w:rsid w:val="005D17C5"/>
    <w:rsid w:val="005D17ED"/>
    <w:rsid w:val="005D18C0"/>
    <w:rsid w:val="005D1948"/>
    <w:rsid w:val="005D19C9"/>
    <w:rsid w:val="005D19CC"/>
    <w:rsid w:val="005D1A37"/>
    <w:rsid w:val="005D1A5F"/>
    <w:rsid w:val="005D1AA0"/>
    <w:rsid w:val="005D1B0C"/>
    <w:rsid w:val="005D1B7E"/>
    <w:rsid w:val="005D1BF7"/>
    <w:rsid w:val="005D1C03"/>
    <w:rsid w:val="005D1C8F"/>
    <w:rsid w:val="005D1C9B"/>
    <w:rsid w:val="005D1CC0"/>
    <w:rsid w:val="005D1CF9"/>
    <w:rsid w:val="005D1D09"/>
    <w:rsid w:val="005D1E71"/>
    <w:rsid w:val="005D1F7C"/>
    <w:rsid w:val="005D1FC0"/>
    <w:rsid w:val="005D1FE0"/>
    <w:rsid w:val="005D1FEA"/>
    <w:rsid w:val="005D2021"/>
    <w:rsid w:val="005D20A7"/>
    <w:rsid w:val="005D216C"/>
    <w:rsid w:val="005D23BA"/>
    <w:rsid w:val="005D2405"/>
    <w:rsid w:val="005D2436"/>
    <w:rsid w:val="005D24AD"/>
    <w:rsid w:val="005D24BC"/>
    <w:rsid w:val="005D253D"/>
    <w:rsid w:val="005D25A1"/>
    <w:rsid w:val="005D263D"/>
    <w:rsid w:val="005D296A"/>
    <w:rsid w:val="005D2976"/>
    <w:rsid w:val="005D29C5"/>
    <w:rsid w:val="005D2B3D"/>
    <w:rsid w:val="005D2BC9"/>
    <w:rsid w:val="005D2BEF"/>
    <w:rsid w:val="005D2C41"/>
    <w:rsid w:val="005D2C8B"/>
    <w:rsid w:val="005D2CE8"/>
    <w:rsid w:val="005D2CF5"/>
    <w:rsid w:val="005D2D2C"/>
    <w:rsid w:val="005D2E22"/>
    <w:rsid w:val="005D3197"/>
    <w:rsid w:val="005D31A1"/>
    <w:rsid w:val="005D323D"/>
    <w:rsid w:val="005D329E"/>
    <w:rsid w:val="005D32C2"/>
    <w:rsid w:val="005D3361"/>
    <w:rsid w:val="005D3398"/>
    <w:rsid w:val="005D3661"/>
    <w:rsid w:val="005D3687"/>
    <w:rsid w:val="005D3817"/>
    <w:rsid w:val="005D386E"/>
    <w:rsid w:val="005D3A37"/>
    <w:rsid w:val="005D3B36"/>
    <w:rsid w:val="005D3CC6"/>
    <w:rsid w:val="005D3D7E"/>
    <w:rsid w:val="005D3E6E"/>
    <w:rsid w:val="005D3ED9"/>
    <w:rsid w:val="005D4069"/>
    <w:rsid w:val="005D4212"/>
    <w:rsid w:val="005D4245"/>
    <w:rsid w:val="005D4372"/>
    <w:rsid w:val="005D4393"/>
    <w:rsid w:val="005D442E"/>
    <w:rsid w:val="005D44C5"/>
    <w:rsid w:val="005D454C"/>
    <w:rsid w:val="005D45AA"/>
    <w:rsid w:val="005D45E4"/>
    <w:rsid w:val="005D45FE"/>
    <w:rsid w:val="005D4685"/>
    <w:rsid w:val="005D471B"/>
    <w:rsid w:val="005D483C"/>
    <w:rsid w:val="005D48AD"/>
    <w:rsid w:val="005D48B4"/>
    <w:rsid w:val="005D4963"/>
    <w:rsid w:val="005D49BE"/>
    <w:rsid w:val="005D4A36"/>
    <w:rsid w:val="005D4AD1"/>
    <w:rsid w:val="005D4CD6"/>
    <w:rsid w:val="005D4D02"/>
    <w:rsid w:val="005D4E73"/>
    <w:rsid w:val="005D4E77"/>
    <w:rsid w:val="005D4EF5"/>
    <w:rsid w:val="005D5048"/>
    <w:rsid w:val="005D50D9"/>
    <w:rsid w:val="005D525D"/>
    <w:rsid w:val="005D529C"/>
    <w:rsid w:val="005D52D7"/>
    <w:rsid w:val="005D5340"/>
    <w:rsid w:val="005D5345"/>
    <w:rsid w:val="005D53AA"/>
    <w:rsid w:val="005D53B7"/>
    <w:rsid w:val="005D5433"/>
    <w:rsid w:val="005D543D"/>
    <w:rsid w:val="005D5483"/>
    <w:rsid w:val="005D54A4"/>
    <w:rsid w:val="005D55C4"/>
    <w:rsid w:val="005D5661"/>
    <w:rsid w:val="005D5672"/>
    <w:rsid w:val="005D5754"/>
    <w:rsid w:val="005D594A"/>
    <w:rsid w:val="005D5AFC"/>
    <w:rsid w:val="005D5C32"/>
    <w:rsid w:val="005D5D4B"/>
    <w:rsid w:val="005D5F10"/>
    <w:rsid w:val="005D5F99"/>
    <w:rsid w:val="005D5FE8"/>
    <w:rsid w:val="005D5FE9"/>
    <w:rsid w:val="005D601F"/>
    <w:rsid w:val="005D60DB"/>
    <w:rsid w:val="005D60E2"/>
    <w:rsid w:val="005D60F1"/>
    <w:rsid w:val="005D618E"/>
    <w:rsid w:val="005D61E8"/>
    <w:rsid w:val="005D624E"/>
    <w:rsid w:val="005D6302"/>
    <w:rsid w:val="005D6341"/>
    <w:rsid w:val="005D6400"/>
    <w:rsid w:val="005D6416"/>
    <w:rsid w:val="005D6450"/>
    <w:rsid w:val="005D675A"/>
    <w:rsid w:val="005D67D7"/>
    <w:rsid w:val="005D6B56"/>
    <w:rsid w:val="005D6B8B"/>
    <w:rsid w:val="005D6BC7"/>
    <w:rsid w:val="005D6D2A"/>
    <w:rsid w:val="005D6DE3"/>
    <w:rsid w:val="005D6E6B"/>
    <w:rsid w:val="005D6F67"/>
    <w:rsid w:val="005D6FA0"/>
    <w:rsid w:val="005D6FAF"/>
    <w:rsid w:val="005D6FC6"/>
    <w:rsid w:val="005D7006"/>
    <w:rsid w:val="005D7045"/>
    <w:rsid w:val="005D7139"/>
    <w:rsid w:val="005D717D"/>
    <w:rsid w:val="005D723F"/>
    <w:rsid w:val="005D734F"/>
    <w:rsid w:val="005D7361"/>
    <w:rsid w:val="005D73D8"/>
    <w:rsid w:val="005D7503"/>
    <w:rsid w:val="005D7572"/>
    <w:rsid w:val="005D7662"/>
    <w:rsid w:val="005D7671"/>
    <w:rsid w:val="005D787B"/>
    <w:rsid w:val="005D7949"/>
    <w:rsid w:val="005D7972"/>
    <w:rsid w:val="005D7A04"/>
    <w:rsid w:val="005D7ACD"/>
    <w:rsid w:val="005D7B4E"/>
    <w:rsid w:val="005D7C70"/>
    <w:rsid w:val="005D7DCC"/>
    <w:rsid w:val="005D7E1B"/>
    <w:rsid w:val="005D7F76"/>
    <w:rsid w:val="005E007C"/>
    <w:rsid w:val="005E00AC"/>
    <w:rsid w:val="005E0182"/>
    <w:rsid w:val="005E0184"/>
    <w:rsid w:val="005E026F"/>
    <w:rsid w:val="005E02BC"/>
    <w:rsid w:val="005E03E3"/>
    <w:rsid w:val="005E0437"/>
    <w:rsid w:val="005E06AD"/>
    <w:rsid w:val="005E06D2"/>
    <w:rsid w:val="005E075C"/>
    <w:rsid w:val="005E0765"/>
    <w:rsid w:val="005E07EC"/>
    <w:rsid w:val="005E07F9"/>
    <w:rsid w:val="005E097A"/>
    <w:rsid w:val="005E09D1"/>
    <w:rsid w:val="005E0A31"/>
    <w:rsid w:val="005E0A39"/>
    <w:rsid w:val="005E0AC1"/>
    <w:rsid w:val="005E0AE0"/>
    <w:rsid w:val="005E0CCA"/>
    <w:rsid w:val="005E0CE7"/>
    <w:rsid w:val="005E0D3D"/>
    <w:rsid w:val="005E0D7E"/>
    <w:rsid w:val="005E1039"/>
    <w:rsid w:val="005E1081"/>
    <w:rsid w:val="005E11A4"/>
    <w:rsid w:val="005E11B9"/>
    <w:rsid w:val="005E11F9"/>
    <w:rsid w:val="005E1243"/>
    <w:rsid w:val="005E12D1"/>
    <w:rsid w:val="005E12D7"/>
    <w:rsid w:val="005E148D"/>
    <w:rsid w:val="005E155F"/>
    <w:rsid w:val="005E15A3"/>
    <w:rsid w:val="005E15C1"/>
    <w:rsid w:val="005E15FA"/>
    <w:rsid w:val="005E16A8"/>
    <w:rsid w:val="005E175F"/>
    <w:rsid w:val="005E1780"/>
    <w:rsid w:val="005E17D8"/>
    <w:rsid w:val="005E17D9"/>
    <w:rsid w:val="005E1A21"/>
    <w:rsid w:val="005E1A43"/>
    <w:rsid w:val="005E1ABA"/>
    <w:rsid w:val="005E1AED"/>
    <w:rsid w:val="005E1BAF"/>
    <w:rsid w:val="005E1C4C"/>
    <w:rsid w:val="005E1D6C"/>
    <w:rsid w:val="005E1DB1"/>
    <w:rsid w:val="005E1E93"/>
    <w:rsid w:val="005E1EC0"/>
    <w:rsid w:val="005E1FC9"/>
    <w:rsid w:val="005E208E"/>
    <w:rsid w:val="005E20EB"/>
    <w:rsid w:val="005E2119"/>
    <w:rsid w:val="005E2235"/>
    <w:rsid w:val="005E22FB"/>
    <w:rsid w:val="005E2319"/>
    <w:rsid w:val="005E2338"/>
    <w:rsid w:val="005E2422"/>
    <w:rsid w:val="005E2711"/>
    <w:rsid w:val="005E27A6"/>
    <w:rsid w:val="005E27DC"/>
    <w:rsid w:val="005E2A98"/>
    <w:rsid w:val="005E2B2C"/>
    <w:rsid w:val="005E2E3A"/>
    <w:rsid w:val="005E2EB9"/>
    <w:rsid w:val="005E2F06"/>
    <w:rsid w:val="005E2F49"/>
    <w:rsid w:val="005E3011"/>
    <w:rsid w:val="005E3039"/>
    <w:rsid w:val="005E3275"/>
    <w:rsid w:val="005E3279"/>
    <w:rsid w:val="005E34F0"/>
    <w:rsid w:val="005E3503"/>
    <w:rsid w:val="005E3595"/>
    <w:rsid w:val="005E35E9"/>
    <w:rsid w:val="005E35FC"/>
    <w:rsid w:val="005E360E"/>
    <w:rsid w:val="005E3706"/>
    <w:rsid w:val="005E381C"/>
    <w:rsid w:val="005E39F4"/>
    <w:rsid w:val="005E3B04"/>
    <w:rsid w:val="005E3B25"/>
    <w:rsid w:val="005E3CBB"/>
    <w:rsid w:val="005E3E1F"/>
    <w:rsid w:val="005E3E71"/>
    <w:rsid w:val="005E3FD4"/>
    <w:rsid w:val="005E3FEC"/>
    <w:rsid w:val="005E4222"/>
    <w:rsid w:val="005E43AE"/>
    <w:rsid w:val="005E4434"/>
    <w:rsid w:val="005E45BC"/>
    <w:rsid w:val="005E4682"/>
    <w:rsid w:val="005E47C9"/>
    <w:rsid w:val="005E47CA"/>
    <w:rsid w:val="005E4810"/>
    <w:rsid w:val="005E482B"/>
    <w:rsid w:val="005E4881"/>
    <w:rsid w:val="005E48A2"/>
    <w:rsid w:val="005E48B1"/>
    <w:rsid w:val="005E4AB0"/>
    <w:rsid w:val="005E4AF4"/>
    <w:rsid w:val="005E4BED"/>
    <w:rsid w:val="005E4CB4"/>
    <w:rsid w:val="005E4D32"/>
    <w:rsid w:val="005E4E46"/>
    <w:rsid w:val="005E4F15"/>
    <w:rsid w:val="005E4FF4"/>
    <w:rsid w:val="005E50FF"/>
    <w:rsid w:val="005E51E5"/>
    <w:rsid w:val="005E52B1"/>
    <w:rsid w:val="005E5375"/>
    <w:rsid w:val="005E538C"/>
    <w:rsid w:val="005E56D4"/>
    <w:rsid w:val="005E56F9"/>
    <w:rsid w:val="005E5704"/>
    <w:rsid w:val="005E597E"/>
    <w:rsid w:val="005E5B35"/>
    <w:rsid w:val="005E5B61"/>
    <w:rsid w:val="005E5BAC"/>
    <w:rsid w:val="005E5D1C"/>
    <w:rsid w:val="005E5DEF"/>
    <w:rsid w:val="005E5E74"/>
    <w:rsid w:val="005E5ED8"/>
    <w:rsid w:val="005E5F3D"/>
    <w:rsid w:val="005E61CC"/>
    <w:rsid w:val="005E6207"/>
    <w:rsid w:val="005E64FE"/>
    <w:rsid w:val="005E658C"/>
    <w:rsid w:val="005E65A1"/>
    <w:rsid w:val="005E65EA"/>
    <w:rsid w:val="005E660E"/>
    <w:rsid w:val="005E6775"/>
    <w:rsid w:val="005E688B"/>
    <w:rsid w:val="005E68FC"/>
    <w:rsid w:val="005E69FD"/>
    <w:rsid w:val="005E6A68"/>
    <w:rsid w:val="005E6BB3"/>
    <w:rsid w:val="005E6D65"/>
    <w:rsid w:val="005E6E75"/>
    <w:rsid w:val="005E6EC2"/>
    <w:rsid w:val="005E6F17"/>
    <w:rsid w:val="005E7000"/>
    <w:rsid w:val="005E70DF"/>
    <w:rsid w:val="005E71D9"/>
    <w:rsid w:val="005E7238"/>
    <w:rsid w:val="005E72A5"/>
    <w:rsid w:val="005E73F7"/>
    <w:rsid w:val="005E746A"/>
    <w:rsid w:val="005E757E"/>
    <w:rsid w:val="005E7590"/>
    <w:rsid w:val="005E76AA"/>
    <w:rsid w:val="005E788F"/>
    <w:rsid w:val="005E7947"/>
    <w:rsid w:val="005E79D2"/>
    <w:rsid w:val="005E7AD5"/>
    <w:rsid w:val="005E7C38"/>
    <w:rsid w:val="005E7C4A"/>
    <w:rsid w:val="005E7D41"/>
    <w:rsid w:val="005E7D72"/>
    <w:rsid w:val="005E7DD6"/>
    <w:rsid w:val="005E7E12"/>
    <w:rsid w:val="005E7F17"/>
    <w:rsid w:val="005E7F98"/>
    <w:rsid w:val="005E7F9E"/>
    <w:rsid w:val="005F006A"/>
    <w:rsid w:val="005F0174"/>
    <w:rsid w:val="005F0250"/>
    <w:rsid w:val="005F02BD"/>
    <w:rsid w:val="005F04FB"/>
    <w:rsid w:val="005F061B"/>
    <w:rsid w:val="005F07C2"/>
    <w:rsid w:val="005F0806"/>
    <w:rsid w:val="005F08C8"/>
    <w:rsid w:val="005F0909"/>
    <w:rsid w:val="005F0A08"/>
    <w:rsid w:val="005F0B77"/>
    <w:rsid w:val="005F0C37"/>
    <w:rsid w:val="005F0C5A"/>
    <w:rsid w:val="005F0D5C"/>
    <w:rsid w:val="005F0DBD"/>
    <w:rsid w:val="005F0DDF"/>
    <w:rsid w:val="005F0E09"/>
    <w:rsid w:val="005F0E40"/>
    <w:rsid w:val="005F105B"/>
    <w:rsid w:val="005F10F9"/>
    <w:rsid w:val="005F10FF"/>
    <w:rsid w:val="005F1491"/>
    <w:rsid w:val="005F14AB"/>
    <w:rsid w:val="005F158A"/>
    <w:rsid w:val="005F1645"/>
    <w:rsid w:val="005F1674"/>
    <w:rsid w:val="005F1736"/>
    <w:rsid w:val="005F18AF"/>
    <w:rsid w:val="005F18DD"/>
    <w:rsid w:val="005F192C"/>
    <w:rsid w:val="005F19A9"/>
    <w:rsid w:val="005F1A0D"/>
    <w:rsid w:val="005F1AAB"/>
    <w:rsid w:val="005F1B64"/>
    <w:rsid w:val="005F1BFB"/>
    <w:rsid w:val="005F1C11"/>
    <w:rsid w:val="005F1C70"/>
    <w:rsid w:val="005F1CDE"/>
    <w:rsid w:val="005F1EB9"/>
    <w:rsid w:val="005F20F3"/>
    <w:rsid w:val="005F2104"/>
    <w:rsid w:val="005F2129"/>
    <w:rsid w:val="005F216E"/>
    <w:rsid w:val="005F21B8"/>
    <w:rsid w:val="005F2253"/>
    <w:rsid w:val="005F22FB"/>
    <w:rsid w:val="005F23FB"/>
    <w:rsid w:val="005F2410"/>
    <w:rsid w:val="005F2509"/>
    <w:rsid w:val="005F2579"/>
    <w:rsid w:val="005F260E"/>
    <w:rsid w:val="005F2826"/>
    <w:rsid w:val="005F2866"/>
    <w:rsid w:val="005F2DCD"/>
    <w:rsid w:val="005F2E10"/>
    <w:rsid w:val="005F2E35"/>
    <w:rsid w:val="005F2FF2"/>
    <w:rsid w:val="005F316C"/>
    <w:rsid w:val="005F339F"/>
    <w:rsid w:val="005F353C"/>
    <w:rsid w:val="005F35CF"/>
    <w:rsid w:val="005F377F"/>
    <w:rsid w:val="005F384B"/>
    <w:rsid w:val="005F38CD"/>
    <w:rsid w:val="005F39C8"/>
    <w:rsid w:val="005F39FB"/>
    <w:rsid w:val="005F3A3F"/>
    <w:rsid w:val="005F3B78"/>
    <w:rsid w:val="005F3BA6"/>
    <w:rsid w:val="005F3C0C"/>
    <w:rsid w:val="005F3D76"/>
    <w:rsid w:val="005F3FD6"/>
    <w:rsid w:val="005F4105"/>
    <w:rsid w:val="005F4225"/>
    <w:rsid w:val="005F429B"/>
    <w:rsid w:val="005F42FC"/>
    <w:rsid w:val="005F433F"/>
    <w:rsid w:val="005F4552"/>
    <w:rsid w:val="005F4585"/>
    <w:rsid w:val="005F45BC"/>
    <w:rsid w:val="005F4633"/>
    <w:rsid w:val="005F4679"/>
    <w:rsid w:val="005F46B6"/>
    <w:rsid w:val="005F4794"/>
    <w:rsid w:val="005F49A4"/>
    <w:rsid w:val="005F4ADF"/>
    <w:rsid w:val="005F4B13"/>
    <w:rsid w:val="005F4D33"/>
    <w:rsid w:val="005F4D5E"/>
    <w:rsid w:val="005F4D9A"/>
    <w:rsid w:val="005F4EEE"/>
    <w:rsid w:val="005F4F41"/>
    <w:rsid w:val="005F500B"/>
    <w:rsid w:val="005F5026"/>
    <w:rsid w:val="005F5087"/>
    <w:rsid w:val="005F509B"/>
    <w:rsid w:val="005F51D8"/>
    <w:rsid w:val="005F5205"/>
    <w:rsid w:val="005F5404"/>
    <w:rsid w:val="005F5427"/>
    <w:rsid w:val="005F54DD"/>
    <w:rsid w:val="005F554A"/>
    <w:rsid w:val="005F55C6"/>
    <w:rsid w:val="005F56A1"/>
    <w:rsid w:val="005F5747"/>
    <w:rsid w:val="005F5756"/>
    <w:rsid w:val="005F57C2"/>
    <w:rsid w:val="005F58EA"/>
    <w:rsid w:val="005F590B"/>
    <w:rsid w:val="005F5965"/>
    <w:rsid w:val="005F5A6A"/>
    <w:rsid w:val="005F5AD1"/>
    <w:rsid w:val="005F5B69"/>
    <w:rsid w:val="005F5B6A"/>
    <w:rsid w:val="005F5B7F"/>
    <w:rsid w:val="005F5BAB"/>
    <w:rsid w:val="005F5C47"/>
    <w:rsid w:val="005F5C9B"/>
    <w:rsid w:val="005F5D38"/>
    <w:rsid w:val="005F5D6A"/>
    <w:rsid w:val="005F5F67"/>
    <w:rsid w:val="005F5FDF"/>
    <w:rsid w:val="005F60BC"/>
    <w:rsid w:val="005F60FC"/>
    <w:rsid w:val="005F61A9"/>
    <w:rsid w:val="005F61DB"/>
    <w:rsid w:val="005F6210"/>
    <w:rsid w:val="005F6221"/>
    <w:rsid w:val="005F6275"/>
    <w:rsid w:val="005F62E0"/>
    <w:rsid w:val="005F6342"/>
    <w:rsid w:val="005F634F"/>
    <w:rsid w:val="005F6374"/>
    <w:rsid w:val="005F64F7"/>
    <w:rsid w:val="005F678C"/>
    <w:rsid w:val="005F6846"/>
    <w:rsid w:val="005F6941"/>
    <w:rsid w:val="005F6997"/>
    <w:rsid w:val="005F699D"/>
    <w:rsid w:val="005F6A5F"/>
    <w:rsid w:val="005F6BCC"/>
    <w:rsid w:val="005F6C42"/>
    <w:rsid w:val="005F6C77"/>
    <w:rsid w:val="005F6CEF"/>
    <w:rsid w:val="005F6D0E"/>
    <w:rsid w:val="005F6ECF"/>
    <w:rsid w:val="005F6F8A"/>
    <w:rsid w:val="005F6FC3"/>
    <w:rsid w:val="005F7045"/>
    <w:rsid w:val="005F709C"/>
    <w:rsid w:val="005F70E2"/>
    <w:rsid w:val="005F70EC"/>
    <w:rsid w:val="005F7100"/>
    <w:rsid w:val="005F7376"/>
    <w:rsid w:val="005F745C"/>
    <w:rsid w:val="005F75F1"/>
    <w:rsid w:val="005F7641"/>
    <w:rsid w:val="005F778E"/>
    <w:rsid w:val="005F784D"/>
    <w:rsid w:val="005F7920"/>
    <w:rsid w:val="005F7AF4"/>
    <w:rsid w:val="005F7B98"/>
    <w:rsid w:val="005F7BCF"/>
    <w:rsid w:val="005F7E05"/>
    <w:rsid w:val="005F7EE9"/>
    <w:rsid w:val="005F7F69"/>
    <w:rsid w:val="005F95AA"/>
    <w:rsid w:val="0060016F"/>
    <w:rsid w:val="00600213"/>
    <w:rsid w:val="006003ED"/>
    <w:rsid w:val="00600549"/>
    <w:rsid w:val="00600555"/>
    <w:rsid w:val="00600692"/>
    <w:rsid w:val="006006DF"/>
    <w:rsid w:val="00600767"/>
    <w:rsid w:val="00600808"/>
    <w:rsid w:val="006008EE"/>
    <w:rsid w:val="00600964"/>
    <w:rsid w:val="00600A99"/>
    <w:rsid w:val="00600BB6"/>
    <w:rsid w:val="00600C1D"/>
    <w:rsid w:val="00600CC6"/>
    <w:rsid w:val="00600D84"/>
    <w:rsid w:val="00600DAF"/>
    <w:rsid w:val="00600DC9"/>
    <w:rsid w:val="00600EDA"/>
    <w:rsid w:val="00600F4C"/>
    <w:rsid w:val="00600FDE"/>
    <w:rsid w:val="00601161"/>
    <w:rsid w:val="006011D5"/>
    <w:rsid w:val="0060125E"/>
    <w:rsid w:val="0060130B"/>
    <w:rsid w:val="006014AA"/>
    <w:rsid w:val="0060151F"/>
    <w:rsid w:val="00601521"/>
    <w:rsid w:val="0060171D"/>
    <w:rsid w:val="0060180B"/>
    <w:rsid w:val="00601829"/>
    <w:rsid w:val="0060188C"/>
    <w:rsid w:val="006018D0"/>
    <w:rsid w:val="00601923"/>
    <w:rsid w:val="00601962"/>
    <w:rsid w:val="006019D4"/>
    <w:rsid w:val="00601BC7"/>
    <w:rsid w:val="00601C54"/>
    <w:rsid w:val="00601C88"/>
    <w:rsid w:val="00601CDA"/>
    <w:rsid w:val="00601E57"/>
    <w:rsid w:val="00601F71"/>
    <w:rsid w:val="00601FA1"/>
    <w:rsid w:val="00601FE8"/>
    <w:rsid w:val="0060206C"/>
    <w:rsid w:val="006020AE"/>
    <w:rsid w:val="0060212F"/>
    <w:rsid w:val="006021DF"/>
    <w:rsid w:val="006022BA"/>
    <w:rsid w:val="006024EF"/>
    <w:rsid w:val="006025F5"/>
    <w:rsid w:val="00602650"/>
    <w:rsid w:val="006026A1"/>
    <w:rsid w:val="006026A9"/>
    <w:rsid w:val="00602731"/>
    <w:rsid w:val="00602773"/>
    <w:rsid w:val="006027EE"/>
    <w:rsid w:val="0060294C"/>
    <w:rsid w:val="00602A15"/>
    <w:rsid w:val="00602B51"/>
    <w:rsid w:val="00602BC1"/>
    <w:rsid w:val="00602EDB"/>
    <w:rsid w:val="00602F95"/>
    <w:rsid w:val="00603045"/>
    <w:rsid w:val="00603047"/>
    <w:rsid w:val="0060305A"/>
    <w:rsid w:val="0060310F"/>
    <w:rsid w:val="0060311E"/>
    <w:rsid w:val="0060314E"/>
    <w:rsid w:val="0060327C"/>
    <w:rsid w:val="006032EE"/>
    <w:rsid w:val="00603319"/>
    <w:rsid w:val="00603471"/>
    <w:rsid w:val="00603506"/>
    <w:rsid w:val="00603707"/>
    <w:rsid w:val="006037E3"/>
    <w:rsid w:val="0060383E"/>
    <w:rsid w:val="0060386E"/>
    <w:rsid w:val="006038B4"/>
    <w:rsid w:val="00603978"/>
    <w:rsid w:val="00603ABD"/>
    <w:rsid w:val="00603BC6"/>
    <w:rsid w:val="00603DEC"/>
    <w:rsid w:val="00603F25"/>
    <w:rsid w:val="00603F8A"/>
    <w:rsid w:val="00604014"/>
    <w:rsid w:val="0060412F"/>
    <w:rsid w:val="00604140"/>
    <w:rsid w:val="0060417A"/>
    <w:rsid w:val="006041C7"/>
    <w:rsid w:val="0060420B"/>
    <w:rsid w:val="00604271"/>
    <w:rsid w:val="006042A8"/>
    <w:rsid w:val="006042BA"/>
    <w:rsid w:val="006043FA"/>
    <w:rsid w:val="00604435"/>
    <w:rsid w:val="006044AA"/>
    <w:rsid w:val="00604592"/>
    <w:rsid w:val="00604624"/>
    <w:rsid w:val="00604736"/>
    <w:rsid w:val="00604785"/>
    <w:rsid w:val="0060480F"/>
    <w:rsid w:val="00604817"/>
    <w:rsid w:val="00604846"/>
    <w:rsid w:val="0060494B"/>
    <w:rsid w:val="00604AA2"/>
    <w:rsid w:val="00604CA9"/>
    <w:rsid w:val="00604D13"/>
    <w:rsid w:val="00604D3E"/>
    <w:rsid w:val="00604E4A"/>
    <w:rsid w:val="00604E75"/>
    <w:rsid w:val="00604E7D"/>
    <w:rsid w:val="00604E86"/>
    <w:rsid w:val="00604ED0"/>
    <w:rsid w:val="00604F0A"/>
    <w:rsid w:val="00604F34"/>
    <w:rsid w:val="00604F4C"/>
    <w:rsid w:val="00605013"/>
    <w:rsid w:val="00605091"/>
    <w:rsid w:val="00605100"/>
    <w:rsid w:val="00605200"/>
    <w:rsid w:val="0060550C"/>
    <w:rsid w:val="0060556B"/>
    <w:rsid w:val="00605635"/>
    <w:rsid w:val="00605758"/>
    <w:rsid w:val="00605822"/>
    <w:rsid w:val="00605881"/>
    <w:rsid w:val="006058E9"/>
    <w:rsid w:val="00605BAB"/>
    <w:rsid w:val="00605C10"/>
    <w:rsid w:val="00605C50"/>
    <w:rsid w:val="00605C97"/>
    <w:rsid w:val="00605EDB"/>
    <w:rsid w:val="00605F0B"/>
    <w:rsid w:val="0060606C"/>
    <w:rsid w:val="00606104"/>
    <w:rsid w:val="0060610F"/>
    <w:rsid w:val="006061EE"/>
    <w:rsid w:val="00606271"/>
    <w:rsid w:val="006062C2"/>
    <w:rsid w:val="00606407"/>
    <w:rsid w:val="00606482"/>
    <w:rsid w:val="006064B9"/>
    <w:rsid w:val="00606593"/>
    <w:rsid w:val="0060660D"/>
    <w:rsid w:val="00606627"/>
    <w:rsid w:val="0060667A"/>
    <w:rsid w:val="0060667C"/>
    <w:rsid w:val="006066C8"/>
    <w:rsid w:val="0060677B"/>
    <w:rsid w:val="006067DE"/>
    <w:rsid w:val="006067FD"/>
    <w:rsid w:val="00606884"/>
    <w:rsid w:val="006068DC"/>
    <w:rsid w:val="006068FA"/>
    <w:rsid w:val="00606B1F"/>
    <w:rsid w:val="00606B3B"/>
    <w:rsid w:val="00606CEB"/>
    <w:rsid w:val="00606DB0"/>
    <w:rsid w:val="00606DF8"/>
    <w:rsid w:val="00606E92"/>
    <w:rsid w:val="00607007"/>
    <w:rsid w:val="00607011"/>
    <w:rsid w:val="006071EF"/>
    <w:rsid w:val="0060726B"/>
    <w:rsid w:val="006072F8"/>
    <w:rsid w:val="00607310"/>
    <w:rsid w:val="00607402"/>
    <w:rsid w:val="00607425"/>
    <w:rsid w:val="006074A2"/>
    <w:rsid w:val="00607569"/>
    <w:rsid w:val="00607A0D"/>
    <w:rsid w:val="00607B5F"/>
    <w:rsid w:val="00607B7C"/>
    <w:rsid w:val="00607C94"/>
    <w:rsid w:val="00607CB0"/>
    <w:rsid w:val="00607D55"/>
    <w:rsid w:val="00607DF2"/>
    <w:rsid w:val="00607E99"/>
    <w:rsid w:val="00607F29"/>
    <w:rsid w:val="00610030"/>
    <w:rsid w:val="006100FA"/>
    <w:rsid w:val="0061012C"/>
    <w:rsid w:val="00610169"/>
    <w:rsid w:val="006101BD"/>
    <w:rsid w:val="0061032C"/>
    <w:rsid w:val="00610528"/>
    <w:rsid w:val="00610542"/>
    <w:rsid w:val="006105C4"/>
    <w:rsid w:val="006106F0"/>
    <w:rsid w:val="00610865"/>
    <w:rsid w:val="006108D1"/>
    <w:rsid w:val="00610949"/>
    <w:rsid w:val="006109FE"/>
    <w:rsid w:val="00610BED"/>
    <w:rsid w:val="00610C59"/>
    <w:rsid w:val="00610CD3"/>
    <w:rsid w:val="00610CE2"/>
    <w:rsid w:val="00610DE5"/>
    <w:rsid w:val="00610FB5"/>
    <w:rsid w:val="00610FC4"/>
    <w:rsid w:val="00611017"/>
    <w:rsid w:val="0061108D"/>
    <w:rsid w:val="006110AD"/>
    <w:rsid w:val="006110D3"/>
    <w:rsid w:val="006111B8"/>
    <w:rsid w:val="006111C9"/>
    <w:rsid w:val="0061124C"/>
    <w:rsid w:val="00611344"/>
    <w:rsid w:val="00611399"/>
    <w:rsid w:val="006113C6"/>
    <w:rsid w:val="006113F8"/>
    <w:rsid w:val="006114BF"/>
    <w:rsid w:val="006114C2"/>
    <w:rsid w:val="006114C8"/>
    <w:rsid w:val="006115B1"/>
    <w:rsid w:val="006115FC"/>
    <w:rsid w:val="0061183A"/>
    <w:rsid w:val="0061185A"/>
    <w:rsid w:val="006118BA"/>
    <w:rsid w:val="006118BB"/>
    <w:rsid w:val="0061199A"/>
    <w:rsid w:val="00611A37"/>
    <w:rsid w:val="00611A5E"/>
    <w:rsid w:val="00611A61"/>
    <w:rsid w:val="00611A70"/>
    <w:rsid w:val="00611A85"/>
    <w:rsid w:val="00611B26"/>
    <w:rsid w:val="00611C98"/>
    <w:rsid w:val="00611DF7"/>
    <w:rsid w:val="00611F3F"/>
    <w:rsid w:val="00611F73"/>
    <w:rsid w:val="00611FB2"/>
    <w:rsid w:val="006120EE"/>
    <w:rsid w:val="006120FA"/>
    <w:rsid w:val="00612109"/>
    <w:rsid w:val="00612113"/>
    <w:rsid w:val="00612135"/>
    <w:rsid w:val="006121FA"/>
    <w:rsid w:val="0061239E"/>
    <w:rsid w:val="00612413"/>
    <w:rsid w:val="00612483"/>
    <w:rsid w:val="0061255F"/>
    <w:rsid w:val="006125D7"/>
    <w:rsid w:val="0061264D"/>
    <w:rsid w:val="00612663"/>
    <w:rsid w:val="0061274A"/>
    <w:rsid w:val="00612835"/>
    <w:rsid w:val="006129B9"/>
    <w:rsid w:val="006129C1"/>
    <w:rsid w:val="00612A17"/>
    <w:rsid w:val="00612AC5"/>
    <w:rsid w:val="00612ADF"/>
    <w:rsid w:val="00612B3A"/>
    <w:rsid w:val="00612B82"/>
    <w:rsid w:val="00612BEE"/>
    <w:rsid w:val="00612C40"/>
    <w:rsid w:val="00612C57"/>
    <w:rsid w:val="00612CC2"/>
    <w:rsid w:val="00612E46"/>
    <w:rsid w:val="00612E94"/>
    <w:rsid w:val="00612EA5"/>
    <w:rsid w:val="00612EAA"/>
    <w:rsid w:val="00612F4C"/>
    <w:rsid w:val="00612FEA"/>
    <w:rsid w:val="00612FFA"/>
    <w:rsid w:val="00613061"/>
    <w:rsid w:val="00613093"/>
    <w:rsid w:val="0061321F"/>
    <w:rsid w:val="00613221"/>
    <w:rsid w:val="00613292"/>
    <w:rsid w:val="006132C3"/>
    <w:rsid w:val="0061333C"/>
    <w:rsid w:val="0061377D"/>
    <w:rsid w:val="0061379C"/>
    <w:rsid w:val="006137E5"/>
    <w:rsid w:val="0061384B"/>
    <w:rsid w:val="0061388C"/>
    <w:rsid w:val="006139B9"/>
    <w:rsid w:val="006139EA"/>
    <w:rsid w:val="00613A05"/>
    <w:rsid w:val="00613AB0"/>
    <w:rsid w:val="00613AE5"/>
    <w:rsid w:val="00613B23"/>
    <w:rsid w:val="00613C25"/>
    <w:rsid w:val="00613CB3"/>
    <w:rsid w:val="00613D2C"/>
    <w:rsid w:val="00613D98"/>
    <w:rsid w:val="00613DBC"/>
    <w:rsid w:val="0061401C"/>
    <w:rsid w:val="00614109"/>
    <w:rsid w:val="00614133"/>
    <w:rsid w:val="00614241"/>
    <w:rsid w:val="00614297"/>
    <w:rsid w:val="006143E5"/>
    <w:rsid w:val="006145BF"/>
    <w:rsid w:val="006145D7"/>
    <w:rsid w:val="006145D9"/>
    <w:rsid w:val="00614659"/>
    <w:rsid w:val="0061471E"/>
    <w:rsid w:val="00614766"/>
    <w:rsid w:val="00614772"/>
    <w:rsid w:val="006147B1"/>
    <w:rsid w:val="006147E9"/>
    <w:rsid w:val="006148FE"/>
    <w:rsid w:val="00614938"/>
    <w:rsid w:val="00614A28"/>
    <w:rsid w:val="00614BC2"/>
    <w:rsid w:val="00614DEA"/>
    <w:rsid w:val="00614E51"/>
    <w:rsid w:val="00614FED"/>
    <w:rsid w:val="0061509B"/>
    <w:rsid w:val="0061512A"/>
    <w:rsid w:val="00615184"/>
    <w:rsid w:val="00615512"/>
    <w:rsid w:val="00615542"/>
    <w:rsid w:val="0061563C"/>
    <w:rsid w:val="00615867"/>
    <w:rsid w:val="00615875"/>
    <w:rsid w:val="00615942"/>
    <w:rsid w:val="0061597C"/>
    <w:rsid w:val="0061598F"/>
    <w:rsid w:val="00615B2C"/>
    <w:rsid w:val="00615C3F"/>
    <w:rsid w:val="00615D0A"/>
    <w:rsid w:val="00615DD9"/>
    <w:rsid w:val="00615ECA"/>
    <w:rsid w:val="00616014"/>
    <w:rsid w:val="0061617F"/>
    <w:rsid w:val="006161E0"/>
    <w:rsid w:val="006163E1"/>
    <w:rsid w:val="0061657E"/>
    <w:rsid w:val="006165C6"/>
    <w:rsid w:val="0061672D"/>
    <w:rsid w:val="00616742"/>
    <w:rsid w:val="00616966"/>
    <w:rsid w:val="006169A5"/>
    <w:rsid w:val="006169B2"/>
    <w:rsid w:val="006169DC"/>
    <w:rsid w:val="00616C36"/>
    <w:rsid w:val="00616C6C"/>
    <w:rsid w:val="00616FEF"/>
    <w:rsid w:val="00617019"/>
    <w:rsid w:val="00617299"/>
    <w:rsid w:val="006172DD"/>
    <w:rsid w:val="00617384"/>
    <w:rsid w:val="006173A0"/>
    <w:rsid w:val="00617491"/>
    <w:rsid w:val="00617549"/>
    <w:rsid w:val="0061754D"/>
    <w:rsid w:val="006176C5"/>
    <w:rsid w:val="0061782C"/>
    <w:rsid w:val="00617885"/>
    <w:rsid w:val="0061790D"/>
    <w:rsid w:val="006179EB"/>
    <w:rsid w:val="00617CEF"/>
    <w:rsid w:val="00617D33"/>
    <w:rsid w:val="00617D3B"/>
    <w:rsid w:val="00617D7A"/>
    <w:rsid w:val="00617E86"/>
    <w:rsid w:val="00617FE3"/>
    <w:rsid w:val="00620097"/>
    <w:rsid w:val="0062013C"/>
    <w:rsid w:val="00620308"/>
    <w:rsid w:val="006206A6"/>
    <w:rsid w:val="006206DC"/>
    <w:rsid w:val="006207E3"/>
    <w:rsid w:val="0062080E"/>
    <w:rsid w:val="00620860"/>
    <w:rsid w:val="00620881"/>
    <w:rsid w:val="006208C9"/>
    <w:rsid w:val="006208D5"/>
    <w:rsid w:val="00620900"/>
    <w:rsid w:val="0062099C"/>
    <w:rsid w:val="00620B06"/>
    <w:rsid w:val="00620B43"/>
    <w:rsid w:val="00620C13"/>
    <w:rsid w:val="00620C66"/>
    <w:rsid w:val="00620CD7"/>
    <w:rsid w:val="00620DE2"/>
    <w:rsid w:val="00620DFB"/>
    <w:rsid w:val="00620F9D"/>
    <w:rsid w:val="00621145"/>
    <w:rsid w:val="00621237"/>
    <w:rsid w:val="00621308"/>
    <w:rsid w:val="006214EC"/>
    <w:rsid w:val="00621585"/>
    <w:rsid w:val="006217D9"/>
    <w:rsid w:val="00621875"/>
    <w:rsid w:val="006218B6"/>
    <w:rsid w:val="006218D4"/>
    <w:rsid w:val="006219E3"/>
    <w:rsid w:val="00621B0C"/>
    <w:rsid w:val="00621CA7"/>
    <w:rsid w:val="00621CCD"/>
    <w:rsid w:val="00621D43"/>
    <w:rsid w:val="00621D5D"/>
    <w:rsid w:val="00621D7C"/>
    <w:rsid w:val="00621E2E"/>
    <w:rsid w:val="00621EFB"/>
    <w:rsid w:val="00621FC1"/>
    <w:rsid w:val="00621FC7"/>
    <w:rsid w:val="00622327"/>
    <w:rsid w:val="0062239D"/>
    <w:rsid w:val="00622434"/>
    <w:rsid w:val="00622501"/>
    <w:rsid w:val="00622576"/>
    <w:rsid w:val="00622604"/>
    <w:rsid w:val="00622642"/>
    <w:rsid w:val="00622696"/>
    <w:rsid w:val="006226B8"/>
    <w:rsid w:val="006226BB"/>
    <w:rsid w:val="0062276A"/>
    <w:rsid w:val="006227D7"/>
    <w:rsid w:val="00622933"/>
    <w:rsid w:val="00622944"/>
    <w:rsid w:val="00622974"/>
    <w:rsid w:val="006229FF"/>
    <w:rsid w:val="00622B0C"/>
    <w:rsid w:val="00622B24"/>
    <w:rsid w:val="00622C7C"/>
    <w:rsid w:val="00622CED"/>
    <w:rsid w:val="00622DB3"/>
    <w:rsid w:val="00622DB7"/>
    <w:rsid w:val="00622E56"/>
    <w:rsid w:val="00622E6B"/>
    <w:rsid w:val="00622E96"/>
    <w:rsid w:val="00622FA8"/>
    <w:rsid w:val="006230E7"/>
    <w:rsid w:val="00623386"/>
    <w:rsid w:val="006234AA"/>
    <w:rsid w:val="006235B5"/>
    <w:rsid w:val="00623600"/>
    <w:rsid w:val="006236AA"/>
    <w:rsid w:val="00623713"/>
    <w:rsid w:val="0062380E"/>
    <w:rsid w:val="006238C0"/>
    <w:rsid w:val="006239B6"/>
    <w:rsid w:val="00623A00"/>
    <w:rsid w:val="00623A31"/>
    <w:rsid w:val="00623B4C"/>
    <w:rsid w:val="00623B6F"/>
    <w:rsid w:val="00623CF7"/>
    <w:rsid w:val="00623D29"/>
    <w:rsid w:val="00623EA3"/>
    <w:rsid w:val="00623ED7"/>
    <w:rsid w:val="00623FDF"/>
    <w:rsid w:val="0062403E"/>
    <w:rsid w:val="006240FD"/>
    <w:rsid w:val="0062412E"/>
    <w:rsid w:val="0062428C"/>
    <w:rsid w:val="006242C2"/>
    <w:rsid w:val="0062435B"/>
    <w:rsid w:val="0062442E"/>
    <w:rsid w:val="0062449C"/>
    <w:rsid w:val="00624505"/>
    <w:rsid w:val="0062467E"/>
    <w:rsid w:val="00624684"/>
    <w:rsid w:val="0062469F"/>
    <w:rsid w:val="006246E7"/>
    <w:rsid w:val="0062481C"/>
    <w:rsid w:val="00624878"/>
    <w:rsid w:val="006249BD"/>
    <w:rsid w:val="00624A1C"/>
    <w:rsid w:val="00624A53"/>
    <w:rsid w:val="00624B4B"/>
    <w:rsid w:val="00624CBE"/>
    <w:rsid w:val="00624ECA"/>
    <w:rsid w:val="00624F5E"/>
    <w:rsid w:val="006252B7"/>
    <w:rsid w:val="00625307"/>
    <w:rsid w:val="00625360"/>
    <w:rsid w:val="0062538E"/>
    <w:rsid w:val="006253BB"/>
    <w:rsid w:val="00625497"/>
    <w:rsid w:val="006254FE"/>
    <w:rsid w:val="00625533"/>
    <w:rsid w:val="006255A5"/>
    <w:rsid w:val="006255C8"/>
    <w:rsid w:val="006256CF"/>
    <w:rsid w:val="00625787"/>
    <w:rsid w:val="00625910"/>
    <w:rsid w:val="00625EC9"/>
    <w:rsid w:val="00625F94"/>
    <w:rsid w:val="00625F97"/>
    <w:rsid w:val="006261A6"/>
    <w:rsid w:val="006261AF"/>
    <w:rsid w:val="00626317"/>
    <w:rsid w:val="0062636F"/>
    <w:rsid w:val="0062644F"/>
    <w:rsid w:val="006265DD"/>
    <w:rsid w:val="006265FE"/>
    <w:rsid w:val="0062691F"/>
    <w:rsid w:val="0062695A"/>
    <w:rsid w:val="006269A0"/>
    <w:rsid w:val="00626B79"/>
    <w:rsid w:val="00626BC3"/>
    <w:rsid w:val="00626C29"/>
    <w:rsid w:val="00626CC2"/>
    <w:rsid w:val="00626CE2"/>
    <w:rsid w:val="00626D64"/>
    <w:rsid w:val="00626D80"/>
    <w:rsid w:val="00626E73"/>
    <w:rsid w:val="006270D5"/>
    <w:rsid w:val="0062717C"/>
    <w:rsid w:val="00627386"/>
    <w:rsid w:val="0062747C"/>
    <w:rsid w:val="00627509"/>
    <w:rsid w:val="00627525"/>
    <w:rsid w:val="00627567"/>
    <w:rsid w:val="0062757A"/>
    <w:rsid w:val="006276E0"/>
    <w:rsid w:val="00627793"/>
    <w:rsid w:val="006279B7"/>
    <w:rsid w:val="00627AAE"/>
    <w:rsid w:val="00627ACD"/>
    <w:rsid w:val="00627BE3"/>
    <w:rsid w:val="00627BF7"/>
    <w:rsid w:val="00627C85"/>
    <w:rsid w:val="00627CE2"/>
    <w:rsid w:val="00627CEA"/>
    <w:rsid w:val="00627CF1"/>
    <w:rsid w:val="00627D66"/>
    <w:rsid w:val="00627D74"/>
    <w:rsid w:val="00627D88"/>
    <w:rsid w:val="00627DCF"/>
    <w:rsid w:val="00627DE2"/>
    <w:rsid w:val="00627E22"/>
    <w:rsid w:val="00627ED8"/>
    <w:rsid w:val="00630188"/>
    <w:rsid w:val="006301D1"/>
    <w:rsid w:val="00630338"/>
    <w:rsid w:val="00630354"/>
    <w:rsid w:val="00630466"/>
    <w:rsid w:val="0063048D"/>
    <w:rsid w:val="00630844"/>
    <w:rsid w:val="006309D5"/>
    <w:rsid w:val="00630A9A"/>
    <w:rsid w:val="00630B0E"/>
    <w:rsid w:val="00630BE8"/>
    <w:rsid w:val="00630CA3"/>
    <w:rsid w:val="00630CAD"/>
    <w:rsid w:val="00630CEE"/>
    <w:rsid w:val="00630D79"/>
    <w:rsid w:val="00630EF7"/>
    <w:rsid w:val="00631027"/>
    <w:rsid w:val="006310D9"/>
    <w:rsid w:val="00631103"/>
    <w:rsid w:val="0063111A"/>
    <w:rsid w:val="00631153"/>
    <w:rsid w:val="00631178"/>
    <w:rsid w:val="0063118F"/>
    <w:rsid w:val="006311EE"/>
    <w:rsid w:val="00631226"/>
    <w:rsid w:val="00631259"/>
    <w:rsid w:val="00631269"/>
    <w:rsid w:val="0063134D"/>
    <w:rsid w:val="0063137F"/>
    <w:rsid w:val="0063139B"/>
    <w:rsid w:val="006313C0"/>
    <w:rsid w:val="006315F2"/>
    <w:rsid w:val="0063160D"/>
    <w:rsid w:val="00631702"/>
    <w:rsid w:val="00631962"/>
    <w:rsid w:val="00631A55"/>
    <w:rsid w:val="00631AA8"/>
    <w:rsid w:val="00631AFB"/>
    <w:rsid w:val="00631DCE"/>
    <w:rsid w:val="00631DD2"/>
    <w:rsid w:val="00631E11"/>
    <w:rsid w:val="00631E83"/>
    <w:rsid w:val="00631EC1"/>
    <w:rsid w:val="00631FBE"/>
    <w:rsid w:val="00631FC7"/>
    <w:rsid w:val="0063208D"/>
    <w:rsid w:val="006320F0"/>
    <w:rsid w:val="0063210C"/>
    <w:rsid w:val="0063211C"/>
    <w:rsid w:val="00632135"/>
    <w:rsid w:val="006321B4"/>
    <w:rsid w:val="006321EE"/>
    <w:rsid w:val="00632253"/>
    <w:rsid w:val="006322C2"/>
    <w:rsid w:val="0063233C"/>
    <w:rsid w:val="00632524"/>
    <w:rsid w:val="006325E2"/>
    <w:rsid w:val="0063268D"/>
    <w:rsid w:val="006326CD"/>
    <w:rsid w:val="00632857"/>
    <w:rsid w:val="0063287F"/>
    <w:rsid w:val="0063293A"/>
    <w:rsid w:val="00632B37"/>
    <w:rsid w:val="00632BB8"/>
    <w:rsid w:val="00632E3C"/>
    <w:rsid w:val="00633090"/>
    <w:rsid w:val="006331A3"/>
    <w:rsid w:val="0063324A"/>
    <w:rsid w:val="0063334B"/>
    <w:rsid w:val="006333CA"/>
    <w:rsid w:val="006333FB"/>
    <w:rsid w:val="00633419"/>
    <w:rsid w:val="006335A6"/>
    <w:rsid w:val="006335BA"/>
    <w:rsid w:val="006336E2"/>
    <w:rsid w:val="006336FC"/>
    <w:rsid w:val="0063371D"/>
    <w:rsid w:val="006338FA"/>
    <w:rsid w:val="00633992"/>
    <w:rsid w:val="006339BF"/>
    <w:rsid w:val="00633A80"/>
    <w:rsid w:val="00633AAE"/>
    <w:rsid w:val="00633BFC"/>
    <w:rsid w:val="00633C31"/>
    <w:rsid w:val="00633C5E"/>
    <w:rsid w:val="00633D2C"/>
    <w:rsid w:val="00633DD7"/>
    <w:rsid w:val="00633E90"/>
    <w:rsid w:val="00633EFE"/>
    <w:rsid w:val="00633FBB"/>
    <w:rsid w:val="0063405D"/>
    <w:rsid w:val="0063405F"/>
    <w:rsid w:val="006340B9"/>
    <w:rsid w:val="00634125"/>
    <w:rsid w:val="0063414E"/>
    <w:rsid w:val="006341B2"/>
    <w:rsid w:val="006341B7"/>
    <w:rsid w:val="00634201"/>
    <w:rsid w:val="0063427B"/>
    <w:rsid w:val="00634299"/>
    <w:rsid w:val="0063433A"/>
    <w:rsid w:val="0063433E"/>
    <w:rsid w:val="006343AC"/>
    <w:rsid w:val="006343E8"/>
    <w:rsid w:val="00634436"/>
    <w:rsid w:val="0063451D"/>
    <w:rsid w:val="00634548"/>
    <w:rsid w:val="0063460D"/>
    <w:rsid w:val="0063476F"/>
    <w:rsid w:val="00634873"/>
    <w:rsid w:val="00634AF8"/>
    <w:rsid w:val="00634BB3"/>
    <w:rsid w:val="00634C47"/>
    <w:rsid w:val="00634D66"/>
    <w:rsid w:val="00634DAA"/>
    <w:rsid w:val="00634E07"/>
    <w:rsid w:val="00634EFD"/>
    <w:rsid w:val="00634F92"/>
    <w:rsid w:val="0063502B"/>
    <w:rsid w:val="00635056"/>
    <w:rsid w:val="0063517F"/>
    <w:rsid w:val="006351FA"/>
    <w:rsid w:val="00635266"/>
    <w:rsid w:val="006352D9"/>
    <w:rsid w:val="0063534D"/>
    <w:rsid w:val="00635520"/>
    <w:rsid w:val="0063553F"/>
    <w:rsid w:val="00635555"/>
    <w:rsid w:val="0063559D"/>
    <w:rsid w:val="006355F4"/>
    <w:rsid w:val="00635612"/>
    <w:rsid w:val="0063568C"/>
    <w:rsid w:val="006357D7"/>
    <w:rsid w:val="006359A6"/>
    <w:rsid w:val="00635A65"/>
    <w:rsid w:val="00635B5D"/>
    <w:rsid w:val="00635C10"/>
    <w:rsid w:val="00635CC1"/>
    <w:rsid w:val="00635CFE"/>
    <w:rsid w:val="00635D41"/>
    <w:rsid w:val="00635E0A"/>
    <w:rsid w:val="00635E5B"/>
    <w:rsid w:val="00635F49"/>
    <w:rsid w:val="00635FD5"/>
    <w:rsid w:val="0063607A"/>
    <w:rsid w:val="006360A0"/>
    <w:rsid w:val="006360FC"/>
    <w:rsid w:val="0063634D"/>
    <w:rsid w:val="006363AD"/>
    <w:rsid w:val="006363BC"/>
    <w:rsid w:val="00636456"/>
    <w:rsid w:val="006364E6"/>
    <w:rsid w:val="00636535"/>
    <w:rsid w:val="006365C1"/>
    <w:rsid w:val="0063667B"/>
    <w:rsid w:val="006366C6"/>
    <w:rsid w:val="0063673C"/>
    <w:rsid w:val="00636771"/>
    <w:rsid w:val="006367DE"/>
    <w:rsid w:val="00636904"/>
    <w:rsid w:val="00636955"/>
    <w:rsid w:val="00636958"/>
    <w:rsid w:val="00636ABB"/>
    <w:rsid w:val="00636B86"/>
    <w:rsid w:val="00636BC6"/>
    <w:rsid w:val="00636DB6"/>
    <w:rsid w:val="00636ECC"/>
    <w:rsid w:val="00636EEA"/>
    <w:rsid w:val="00636F53"/>
    <w:rsid w:val="00637074"/>
    <w:rsid w:val="006370B4"/>
    <w:rsid w:val="0063716E"/>
    <w:rsid w:val="0063718A"/>
    <w:rsid w:val="006371DF"/>
    <w:rsid w:val="006372A4"/>
    <w:rsid w:val="006373D6"/>
    <w:rsid w:val="006374B2"/>
    <w:rsid w:val="006375D8"/>
    <w:rsid w:val="006375DD"/>
    <w:rsid w:val="006375FA"/>
    <w:rsid w:val="00637804"/>
    <w:rsid w:val="0063796D"/>
    <w:rsid w:val="00637989"/>
    <w:rsid w:val="006379D4"/>
    <w:rsid w:val="00637A33"/>
    <w:rsid w:val="00637A92"/>
    <w:rsid w:val="00637B1C"/>
    <w:rsid w:val="00637D80"/>
    <w:rsid w:val="00637E3A"/>
    <w:rsid w:val="00640006"/>
    <w:rsid w:val="00640129"/>
    <w:rsid w:val="0064016C"/>
    <w:rsid w:val="00640257"/>
    <w:rsid w:val="00640266"/>
    <w:rsid w:val="00640303"/>
    <w:rsid w:val="00640308"/>
    <w:rsid w:val="00640328"/>
    <w:rsid w:val="00640351"/>
    <w:rsid w:val="0064039F"/>
    <w:rsid w:val="0064041D"/>
    <w:rsid w:val="006404FA"/>
    <w:rsid w:val="00640506"/>
    <w:rsid w:val="00640570"/>
    <w:rsid w:val="006406B7"/>
    <w:rsid w:val="006406EF"/>
    <w:rsid w:val="006408D8"/>
    <w:rsid w:val="00640984"/>
    <w:rsid w:val="0064099D"/>
    <w:rsid w:val="006409F6"/>
    <w:rsid w:val="00640D12"/>
    <w:rsid w:val="00640D15"/>
    <w:rsid w:val="00640DAA"/>
    <w:rsid w:val="00640EE2"/>
    <w:rsid w:val="00640EF5"/>
    <w:rsid w:val="00640F0A"/>
    <w:rsid w:val="00640FF5"/>
    <w:rsid w:val="00641184"/>
    <w:rsid w:val="00641199"/>
    <w:rsid w:val="006413BB"/>
    <w:rsid w:val="006413FC"/>
    <w:rsid w:val="00641414"/>
    <w:rsid w:val="006415D5"/>
    <w:rsid w:val="006416AE"/>
    <w:rsid w:val="006416E9"/>
    <w:rsid w:val="0064181E"/>
    <w:rsid w:val="00641A62"/>
    <w:rsid w:val="00641ADB"/>
    <w:rsid w:val="00641C1E"/>
    <w:rsid w:val="00641C4E"/>
    <w:rsid w:val="00641C60"/>
    <w:rsid w:val="00641CC4"/>
    <w:rsid w:val="00641CF6"/>
    <w:rsid w:val="00641F72"/>
    <w:rsid w:val="00641F84"/>
    <w:rsid w:val="00641FB1"/>
    <w:rsid w:val="006420A1"/>
    <w:rsid w:val="006420B7"/>
    <w:rsid w:val="0064230A"/>
    <w:rsid w:val="0064230B"/>
    <w:rsid w:val="0064260A"/>
    <w:rsid w:val="00642630"/>
    <w:rsid w:val="0064264C"/>
    <w:rsid w:val="006428CD"/>
    <w:rsid w:val="00642992"/>
    <w:rsid w:val="006429A2"/>
    <w:rsid w:val="00642BC4"/>
    <w:rsid w:val="00642CAB"/>
    <w:rsid w:val="00642D96"/>
    <w:rsid w:val="00642E27"/>
    <w:rsid w:val="00642E9A"/>
    <w:rsid w:val="00642EC5"/>
    <w:rsid w:val="00642FE2"/>
    <w:rsid w:val="006430EE"/>
    <w:rsid w:val="00643170"/>
    <w:rsid w:val="00643188"/>
    <w:rsid w:val="006431FF"/>
    <w:rsid w:val="0064326A"/>
    <w:rsid w:val="00643306"/>
    <w:rsid w:val="00643360"/>
    <w:rsid w:val="0064336C"/>
    <w:rsid w:val="00643371"/>
    <w:rsid w:val="00643415"/>
    <w:rsid w:val="00643440"/>
    <w:rsid w:val="006434BE"/>
    <w:rsid w:val="006435F2"/>
    <w:rsid w:val="006437A1"/>
    <w:rsid w:val="006439ED"/>
    <w:rsid w:val="00643A39"/>
    <w:rsid w:val="00643AA7"/>
    <w:rsid w:val="00643ACE"/>
    <w:rsid w:val="00643B6D"/>
    <w:rsid w:val="00643B9B"/>
    <w:rsid w:val="00643CAB"/>
    <w:rsid w:val="00643D02"/>
    <w:rsid w:val="00643E57"/>
    <w:rsid w:val="00643F1F"/>
    <w:rsid w:val="006441DD"/>
    <w:rsid w:val="006441E3"/>
    <w:rsid w:val="006442BA"/>
    <w:rsid w:val="00644301"/>
    <w:rsid w:val="006443CE"/>
    <w:rsid w:val="00644449"/>
    <w:rsid w:val="0064449C"/>
    <w:rsid w:val="006444FD"/>
    <w:rsid w:val="00644509"/>
    <w:rsid w:val="0064455A"/>
    <w:rsid w:val="006445E3"/>
    <w:rsid w:val="006446DF"/>
    <w:rsid w:val="006446E8"/>
    <w:rsid w:val="00644880"/>
    <w:rsid w:val="0064492B"/>
    <w:rsid w:val="00644959"/>
    <w:rsid w:val="00644979"/>
    <w:rsid w:val="006449A5"/>
    <w:rsid w:val="006449B6"/>
    <w:rsid w:val="00644A51"/>
    <w:rsid w:val="00644ADE"/>
    <w:rsid w:val="00644AFF"/>
    <w:rsid w:val="00644B4C"/>
    <w:rsid w:val="00644B61"/>
    <w:rsid w:val="00644B68"/>
    <w:rsid w:val="00644DFA"/>
    <w:rsid w:val="00644F03"/>
    <w:rsid w:val="00644F98"/>
    <w:rsid w:val="00645010"/>
    <w:rsid w:val="0064517D"/>
    <w:rsid w:val="00645221"/>
    <w:rsid w:val="0064527C"/>
    <w:rsid w:val="006452A8"/>
    <w:rsid w:val="006453E9"/>
    <w:rsid w:val="00645427"/>
    <w:rsid w:val="006454F8"/>
    <w:rsid w:val="00645525"/>
    <w:rsid w:val="00645628"/>
    <w:rsid w:val="0064562D"/>
    <w:rsid w:val="006456FE"/>
    <w:rsid w:val="00645740"/>
    <w:rsid w:val="0064575E"/>
    <w:rsid w:val="00645835"/>
    <w:rsid w:val="0064584D"/>
    <w:rsid w:val="0064588B"/>
    <w:rsid w:val="00645894"/>
    <w:rsid w:val="006458F2"/>
    <w:rsid w:val="00645955"/>
    <w:rsid w:val="0064596D"/>
    <w:rsid w:val="00645B29"/>
    <w:rsid w:val="00645B33"/>
    <w:rsid w:val="00645BBE"/>
    <w:rsid w:val="00645C21"/>
    <w:rsid w:val="00645C41"/>
    <w:rsid w:val="00645C82"/>
    <w:rsid w:val="00645E73"/>
    <w:rsid w:val="00645EB8"/>
    <w:rsid w:val="0064610A"/>
    <w:rsid w:val="00646121"/>
    <w:rsid w:val="00646129"/>
    <w:rsid w:val="00646176"/>
    <w:rsid w:val="0064619B"/>
    <w:rsid w:val="006461D0"/>
    <w:rsid w:val="006461D1"/>
    <w:rsid w:val="0064633E"/>
    <w:rsid w:val="0064635D"/>
    <w:rsid w:val="006463CB"/>
    <w:rsid w:val="006463E2"/>
    <w:rsid w:val="006464F6"/>
    <w:rsid w:val="00646503"/>
    <w:rsid w:val="00646525"/>
    <w:rsid w:val="006465E5"/>
    <w:rsid w:val="0064671E"/>
    <w:rsid w:val="00646811"/>
    <w:rsid w:val="00646835"/>
    <w:rsid w:val="00646928"/>
    <w:rsid w:val="00646A21"/>
    <w:rsid w:val="00646A6B"/>
    <w:rsid w:val="00646C9C"/>
    <w:rsid w:val="00646E42"/>
    <w:rsid w:val="00646EB1"/>
    <w:rsid w:val="00646ED8"/>
    <w:rsid w:val="00646F0A"/>
    <w:rsid w:val="00646FB9"/>
    <w:rsid w:val="00646FD1"/>
    <w:rsid w:val="006471B2"/>
    <w:rsid w:val="00647256"/>
    <w:rsid w:val="006472DC"/>
    <w:rsid w:val="006472E5"/>
    <w:rsid w:val="006473A0"/>
    <w:rsid w:val="00647427"/>
    <w:rsid w:val="0064746E"/>
    <w:rsid w:val="006474EA"/>
    <w:rsid w:val="006474FC"/>
    <w:rsid w:val="00647581"/>
    <w:rsid w:val="00647607"/>
    <w:rsid w:val="0064768E"/>
    <w:rsid w:val="006476D1"/>
    <w:rsid w:val="00647734"/>
    <w:rsid w:val="00647743"/>
    <w:rsid w:val="0064774E"/>
    <w:rsid w:val="00647800"/>
    <w:rsid w:val="0064785C"/>
    <w:rsid w:val="0064798C"/>
    <w:rsid w:val="006479B8"/>
    <w:rsid w:val="00647BB7"/>
    <w:rsid w:val="00647C23"/>
    <w:rsid w:val="00647C96"/>
    <w:rsid w:val="00647CB9"/>
    <w:rsid w:val="00647CFD"/>
    <w:rsid w:val="00647D1E"/>
    <w:rsid w:val="00647D27"/>
    <w:rsid w:val="00647D5E"/>
    <w:rsid w:val="00647DA7"/>
    <w:rsid w:val="00647F46"/>
    <w:rsid w:val="00647FA7"/>
    <w:rsid w:val="00647FBF"/>
    <w:rsid w:val="00647FEB"/>
    <w:rsid w:val="00650294"/>
    <w:rsid w:val="006502E4"/>
    <w:rsid w:val="00650315"/>
    <w:rsid w:val="00650361"/>
    <w:rsid w:val="006503A1"/>
    <w:rsid w:val="006503C9"/>
    <w:rsid w:val="00650428"/>
    <w:rsid w:val="006504D0"/>
    <w:rsid w:val="00650646"/>
    <w:rsid w:val="00650691"/>
    <w:rsid w:val="0065071D"/>
    <w:rsid w:val="006507C0"/>
    <w:rsid w:val="00650869"/>
    <w:rsid w:val="00650912"/>
    <w:rsid w:val="00650BED"/>
    <w:rsid w:val="00650CFC"/>
    <w:rsid w:val="00650D31"/>
    <w:rsid w:val="00650D82"/>
    <w:rsid w:val="00650DC9"/>
    <w:rsid w:val="00650DEE"/>
    <w:rsid w:val="00650F33"/>
    <w:rsid w:val="00650F9D"/>
    <w:rsid w:val="006510A9"/>
    <w:rsid w:val="006511B5"/>
    <w:rsid w:val="006513A1"/>
    <w:rsid w:val="006513AF"/>
    <w:rsid w:val="006514FD"/>
    <w:rsid w:val="006515E9"/>
    <w:rsid w:val="00651703"/>
    <w:rsid w:val="00651754"/>
    <w:rsid w:val="006518EF"/>
    <w:rsid w:val="00651909"/>
    <w:rsid w:val="0065197D"/>
    <w:rsid w:val="006519EF"/>
    <w:rsid w:val="006519F7"/>
    <w:rsid w:val="00651A21"/>
    <w:rsid w:val="00651A31"/>
    <w:rsid w:val="00651A4D"/>
    <w:rsid w:val="00651A6F"/>
    <w:rsid w:val="00651AF9"/>
    <w:rsid w:val="00651B65"/>
    <w:rsid w:val="00651BC4"/>
    <w:rsid w:val="00651C16"/>
    <w:rsid w:val="00651CC4"/>
    <w:rsid w:val="00651DB7"/>
    <w:rsid w:val="00651DD3"/>
    <w:rsid w:val="00651F3A"/>
    <w:rsid w:val="00651FF7"/>
    <w:rsid w:val="00652202"/>
    <w:rsid w:val="006522BF"/>
    <w:rsid w:val="006522C2"/>
    <w:rsid w:val="00652342"/>
    <w:rsid w:val="0065240C"/>
    <w:rsid w:val="006524DC"/>
    <w:rsid w:val="00652594"/>
    <w:rsid w:val="006525BC"/>
    <w:rsid w:val="006525E3"/>
    <w:rsid w:val="00652661"/>
    <w:rsid w:val="00652669"/>
    <w:rsid w:val="006526B5"/>
    <w:rsid w:val="0065270B"/>
    <w:rsid w:val="0065285A"/>
    <w:rsid w:val="006528A3"/>
    <w:rsid w:val="006528BC"/>
    <w:rsid w:val="00652994"/>
    <w:rsid w:val="00652A14"/>
    <w:rsid w:val="00652B65"/>
    <w:rsid w:val="00652BD0"/>
    <w:rsid w:val="00652C1C"/>
    <w:rsid w:val="00652C37"/>
    <w:rsid w:val="00652C94"/>
    <w:rsid w:val="00652D55"/>
    <w:rsid w:val="00652D77"/>
    <w:rsid w:val="00652FB6"/>
    <w:rsid w:val="00653037"/>
    <w:rsid w:val="00653080"/>
    <w:rsid w:val="00653160"/>
    <w:rsid w:val="0065321A"/>
    <w:rsid w:val="006532CC"/>
    <w:rsid w:val="006532EE"/>
    <w:rsid w:val="0065334C"/>
    <w:rsid w:val="00653360"/>
    <w:rsid w:val="0065347C"/>
    <w:rsid w:val="006535C9"/>
    <w:rsid w:val="0065363D"/>
    <w:rsid w:val="006536EF"/>
    <w:rsid w:val="00653809"/>
    <w:rsid w:val="006538A2"/>
    <w:rsid w:val="006538E0"/>
    <w:rsid w:val="006539A0"/>
    <w:rsid w:val="00653A2F"/>
    <w:rsid w:val="00653A60"/>
    <w:rsid w:val="00653AA6"/>
    <w:rsid w:val="00653BDD"/>
    <w:rsid w:val="00653DA8"/>
    <w:rsid w:val="00653DCA"/>
    <w:rsid w:val="00653E68"/>
    <w:rsid w:val="00653E98"/>
    <w:rsid w:val="00653EB3"/>
    <w:rsid w:val="00654010"/>
    <w:rsid w:val="00654057"/>
    <w:rsid w:val="006540D5"/>
    <w:rsid w:val="00654139"/>
    <w:rsid w:val="006541B2"/>
    <w:rsid w:val="006541D3"/>
    <w:rsid w:val="006541E3"/>
    <w:rsid w:val="0065426D"/>
    <w:rsid w:val="00654311"/>
    <w:rsid w:val="006544DD"/>
    <w:rsid w:val="006545B1"/>
    <w:rsid w:val="006545CE"/>
    <w:rsid w:val="00654848"/>
    <w:rsid w:val="006548B8"/>
    <w:rsid w:val="00654B97"/>
    <w:rsid w:val="00654C0D"/>
    <w:rsid w:val="00654C4A"/>
    <w:rsid w:val="00654C8D"/>
    <w:rsid w:val="00654D2B"/>
    <w:rsid w:val="00654D2E"/>
    <w:rsid w:val="00654D99"/>
    <w:rsid w:val="00654DE5"/>
    <w:rsid w:val="00654DED"/>
    <w:rsid w:val="00654F72"/>
    <w:rsid w:val="00654F94"/>
    <w:rsid w:val="00654FF6"/>
    <w:rsid w:val="00655283"/>
    <w:rsid w:val="00655331"/>
    <w:rsid w:val="006553B6"/>
    <w:rsid w:val="00655493"/>
    <w:rsid w:val="006554C9"/>
    <w:rsid w:val="0065557E"/>
    <w:rsid w:val="006555FA"/>
    <w:rsid w:val="006556AE"/>
    <w:rsid w:val="006556D4"/>
    <w:rsid w:val="0065578B"/>
    <w:rsid w:val="0065581D"/>
    <w:rsid w:val="006558C1"/>
    <w:rsid w:val="006558C7"/>
    <w:rsid w:val="00655929"/>
    <w:rsid w:val="00655A77"/>
    <w:rsid w:val="00655CA7"/>
    <w:rsid w:val="00655D1E"/>
    <w:rsid w:val="00655DC0"/>
    <w:rsid w:val="00655E2A"/>
    <w:rsid w:val="00655F00"/>
    <w:rsid w:val="00655F07"/>
    <w:rsid w:val="00655F81"/>
    <w:rsid w:val="00655FB8"/>
    <w:rsid w:val="00655FF8"/>
    <w:rsid w:val="00656060"/>
    <w:rsid w:val="0065608C"/>
    <w:rsid w:val="0065611F"/>
    <w:rsid w:val="0065617A"/>
    <w:rsid w:val="0065619B"/>
    <w:rsid w:val="0065632B"/>
    <w:rsid w:val="00656367"/>
    <w:rsid w:val="00656392"/>
    <w:rsid w:val="0065647F"/>
    <w:rsid w:val="006564F8"/>
    <w:rsid w:val="00656603"/>
    <w:rsid w:val="0065676F"/>
    <w:rsid w:val="0065677E"/>
    <w:rsid w:val="00656B60"/>
    <w:rsid w:val="00656BA0"/>
    <w:rsid w:val="00656BAB"/>
    <w:rsid w:val="00656E22"/>
    <w:rsid w:val="00656F88"/>
    <w:rsid w:val="0065705B"/>
    <w:rsid w:val="006570BC"/>
    <w:rsid w:val="00657260"/>
    <w:rsid w:val="0065729F"/>
    <w:rsid w:val="0065737B"/>
    <w:rsid w:val="00657451"/>
    <w:rsid w:val="00657481"/>
    <w:rsid w:val="006574AC"/>
    <w:rsid w:val="006575EF"/>
    <w:rsid w:val="0065761D"/>
    <w:rsid w:val="00657650"/>
    <w:rsid w:val="006576C3"/>
    <w:rsid w:val="00657725"/>
    <w:rsid w:val="00657747"/>
    <w:rsid w:val="006577BE"/>
    <w:rsid w:val="00657995"/>
    <w:rsid w:val="006579EA"/>
    <w:rsid w:val="00657A05"/>
    <w:rsid w:val="00657A0E"/>
    <w:rsid w:val="00657A30"/>
    <w:rsid w:val="00657BAE"/>
    <w:rsid w:val="00657CD8"/>
    <w:rsid w:val="00657D6B"/>
    <w:rsid w:val="00657F5A"/>
    <w:rsid w:val="00657FDD"/>
    <w:rsid w:val="00660004"/>
    <w:rsid w:val="00660023"/>
    <w:rsid w:val="0066003F"/>
    <w:rsid w:val="00660057"/>
    <w:rsid w:val="006601D1"/>
    <w:rsid w:val="00660206"/>
    <w:rsid w:val="0066027E"/>
    <w:rsid w:val="00660526"/>
    <w:rsid w:val="00660539"/>
    <w:rsid w:val="0066058C"/>
    <w:rsid w:val="00660599"/>
    <w:rsid w:val="0066067E"/>
    <w:rsid w:val="006606A4"/>
    <w:rsid w:val="006607F9"/>
    <w:rsid w:val="0066081B"/>
    <w:rsid w:val="006608A4"/>
    <w:rsid w:val="00660943"/>
    <w:rsid w:val="00660955"/>
    <w:rsid w:val="00660A42"/>
    <w:rsid w:val="00660B82"/>
    <w:rsid w:val="00660BD8"/>
    <w:rsid w:val="00660BDD"/>
    <w:rsid w:val="00660C8A"/>
    <w:rsid w:val="00660C99"/>
    <w:rsid w:val="00660D30"/>
    <w:rsid w:val="00660DF7"/>
    <w:rsid w:val="00660E33"/>
    <w:rsid w:val="00660EF1"/>
    <w:rsid w:val="00660FD0"/>
    <w:rsid w:val="00660FDB"/>
    <w:rsid w:val="0066118B"/>
    <w:rsid w:val="006612A6"/>
    <w:rsid w:val="00661332"/>
    <w:rsid w:val="0066134F"/>
    <w:rsid w:val="006614ED"/>
    <w:rsid w:val="00661557"/>
    <w:rsid w:val="006615BB"/>
    <w:rsid w:val="006615CB"/>
    <w:rsid w:val="0066161A"/>
    <w:rsid w:val="0066162F"/>
    <w:rsid w:val="006616C2"/>
    <w:rsid w:val="0066187F"/>
    <w:rsid w:val="006618F6"/>
    <w:rsid w:val="00661950"/>
    <w:rsid w:val="00661A11"/>
    <w:rsid w:val="00661BEA"/>
    <w:rsid w:val="00661C92"/>
    <w:rsid w:val="00661CC9"/>
    <w:rsid w:val="00661F6C"/>
    <w:rsid w:val="0066212E"/>
    <w:rsid w:val="0066224C"/>
    <w:rsid w:val="006622D3"/>
    <w:rsid w:val="0066236B"/>
    <w:rsid w:val="0066246E"/>
    <w:rsid w:val="00662493"/>
    <w:rsid w:val="006625B8"/>
    <w:rsid w:val="006626FC"/>
    <w:rsid w:val="00662722"/>
    <w:rsid w:val="006627C9"/>
    <w:rsid w:val="006627FB"/>
    <w:rsid w:val="00662824"/>
    <w:rsid w:val="00662968"/>
    <w:rsid w:val="006629CA"/>
    <w:rsid w:val="00662A05"/>
    <w:rsid w:val="00662A1F"/>
    <w:rsid w:val="00662A3B"/>
    <w:rsid w:val="00662A91"/>
    <w:rsid w:val="00662B61"/>
    <w:rsid w:val="00662B82"/>
    <w:rsid w:val="00662C96"/>
    <w:rsid w:val="00662D3E"/>
    <w:rsid w:val="00662D5C"/>
    <w:rsid w:val="00662E0A"/>
    <w:rsid w:val="00662ECC"/>
    <w:rsid w:val="00662EDE"/>
    <w:rsid w:val="00662EE9"/>
    <w:rsid w:val="00662F71"/>
    <w:rsid w:val="0066309D"/>
    <w:rsid w:val="006630E9"/>
    <w:rsid w:val="006632B8"/>
    <w:rsid w:val="006632C0"/>
    <w:rsid w:val="00663357"/>
    <w:rsid w:val="00663447"/>
    <w:rsid w:val="0066345B"/>
    <w:rsid w:val="006634B3"/>
    <w:rsid w:val="006634CB"/>
    <w:rsid w:val="00663648"/>
    <w:rsid w:val="00663716"/>
    <w:rsid w:val="00663794"/>
    <w:rsid w:val="006638D6"/>
    <w:rsid w:val="0066390A"/>
    <w:rsid w:val="00663A81"/>
    <w:rsid w:val="00663AA2"/>
    <w:rsid w:val="00663AA7"/>
    <w:rsid w:val="00663AB1"/>
    <w:rsid w:val="00663B8A"/>
    <w:rsid w:val="00663BA3"/>
    <w:rsid w:val="00663BE2"/>
    <w:rsid w:val="00663DB8"/>
    <w:rsid w:val="00663ECD"/>
    <w:rsid w:val="00663F2C"/>
    <w:rsid w:val="00663F6E"/>
    <w:rsid w:val="00663F8C"/>
    <w:rsid w:val="00663FD0"/>
    <w:rsid w:val="006640C1"/>
    <w:rsid w:val="0066425C"/>
    <w:rsid w:val="006642F5"/>
    <w:rsid w:val="0066431B"/>
    <w:rsid w:val="0066431C"/>
    <w:rsid w:val="006643ED"/>
    <w:rsid w:val="0066441D"/>
    <w:rsid w:val="00664480"/>
    <w:rsid w:val="00664493"/>
    <w:rsid w:val="006644EB"/>
    <w:rsid w:val="00664709"/>
    <w:rsid w:val="006648BE"/>
    <w:rsid w:val="00664928"/>
    <w:rsid w:val="00664958"/>
    <w:rsid w:val="0066498E"/>
    <w:rsid w:val="006649BD"/>
    <w:rsid w:val="00664A23"/>
    <w:rsid w:val="00664A34"/>
    <w:rsid w:val="00664ADB"/>
    <w:rsid w:val="00664B1F"/>
    <w:rsid w:val="00664BAB"/>
    <w:rsid w:val="00664CEC"/>
    <w:rsid w:val="00664CFC"/>
    <w:rsid w:val="00664D06"/>
    <w:rsid w:val="00664E14"/>
    <w:rsid w:val="00664F58"/>
    <w:rsid w:val="00664FCE"/>
    <w:rsid w:val="00665077"/>
    <w:rsid w:val="00665166"/>
    <w:rsid w:val="00665225"/>
    <w:rsid w:val="00665241"/>
    <w:rsid w:val="0066527B"/>
    <w:rsid w:val="0066528C"/>
    <w:rsid w:val="006652B0"/>
    <w:rsid w:val="006653AF"/>
    <w:rsid w:val="00665403"/>
    <w:rsid w:val="006654C6"/>
    <w:rsid w:val="00665543"/>
    <w:rsid w:val="006656AD"/>
    <w:rsid w:val="0066572F"/>
    <w:rsid w:val="00665753"/>
    <w:rsid w:val="0066578F"/>
    <w:rsid w:val="00665808"/>
    <w:rsid w:val="0066588C"/>
    <w:rsid w:val="006658C3"/>
    <w:rsid w:val="006658F3"/>
    <w:rsid w:val="00665958"/>
    <w:rsid w:val="006659FF"/>
    <w:rsid w:val="00665A19"/>
    <w:rsid w:val="00665AB0"/>
    <w:rsid w:val="00665BA1"/>
    <w:rsid w:val="00665C2A"/>
    <w:rsid w:val="00665D57"/>
    <w:rsid w:val="00665D86"/>
    <w:rsid w:val="00665E14"/>
    <w:rsid w:val="00665ED3"/>
    <w:rsid w:val="00665F35"/>
    <w:rsid w:val="00665F82"/>
    <w:rsid w:val="006661D5"/>
    <w:rsid w:val="006662C3"/>
    <w:rsid w:val="006662F8"/>
    <w:rsid w:val="0066631D"/>
    <w:rsid w:val="006663AC"/>
    <w:rsid w:val="00666478"/>
    <w:rsid w:val="0066649C"/>
    <w:rsid w:val="006664F7"/>
    <w:rsid w:val="0066658B"/>
    <w:rsid w:val="00666638"/>
    <w:rsid w:val="0066682C"/>
    <w:rsid w:val="006668DA"/>
    <w:rsid w:val="00666985"/>
    <w:rsid w:val="00666AB2"/>
    <w:rsid w:val="00666C9E"/>
    <w:rsid w:val="00666CBF"/>
    <w:rsid w:val="00666D14"/>
    <w:rsid w:val="00666DB1"/>
    <w:rsid w:val="00666E07"/>
    <w:rsid w:val="00666EB0"/>
    <w:rsid w:val="00666EBA"/>
    <w:rsid w:val="00666EC9"/>
    <w:rsid w:val="00666EDE"/>
    <w:rsid w:val="00666F38"/>
    <w:rsid w:val="00666FDE"/>
    <w:rsid w:val="006670CD"/>
    <w:rsid w:val="006671CE"/>
    <w:rsid w:val="006671DC"/>
    <w:rsid w:val="0066728B"/>
    <w:rsid w:val="0066738B"/>
    <w:rsid w:val="006673DB"/>
    <w:rsid w:val="00667420"/>
    <w:rsid w:val="006674AF"/>
    <w:rsid w:val="00667554"/>
    <w:rsid w:val="0066758B"/>
    <w:rsid w:val="006676B1"/>
    <w:rsid w:val="006676F0"/>
    <w:rsid w:val="00667720"/>
    <w:rsid w:val="00667797"/>
    <w:rsid w:val="00667893"/>
    <w:rsid w:val="006678A7"/>
    <w:rsid w:val="0066792B"/>
    <w:rsid w:val="00667A87"/>
    <w:rsid w:val="00667B18"/>
    <w:rsid w:val="00667C06"/>
    <w:rsid w:val="00667C0A"/>
    <w:rsid w:val="00667C6A"/>
    <w:rsid w:val="00667C94"/>
    <w:rsid w:val="00667CBA"/>
    <w:rsid w:val="00667CC3"/>
    <w:rsid w:val="00667DC9"/>
    <w:rsid w:val="00667EF2"/>
    <w:rsid w:val="00667FA1"/>
    <w:rsid w:val="006700CB"/>
    <w:rsid w:val="006700E5"/>
    <w:rsid w:val="0067012A"/>
    <w:rsid w:val="0067019B"/>
    <w:rsid w:val="00670211"/>
    <w:rsid w:val="006703B3"/>
    <w:rsid w:val="00670475"/>
    <w:rsid w:val="00670495"/>
    <w:rsid w:val="00670553"/>
    <w:rsid w:val="006705FC"/>
    <w:rsid w:val="0067060B"/>
    <w:rsid w:val="00670750"/>
    <w:rsid w:val="00670839"/>
    <w:rsid w:val="006708A4"/>
    <w:rsid w:val="006708C6"/>
    <w:rsid w:val="00670916"/>
    <w:rsid w:val="00670937"/>
    <w:rsid w:val="00670B47"/>
    <w:rsid w:val="00670BC2"/>
    <w:rsid w:val="00670C63"/>
    <w:rsid w:val="00670D23"/>
    <w:rsid w:val="00670D59"/>
    <w:rsid w:val="00670EA3"/>
    <w:rsid w:val="00670F76"/>
    <w:rsid w:val="006712A7"/>
    <w:rsid w:val="00671458"/>
    <w:rsid w:val="006714AD"/>
    <w:rsid w:val="00671535"/>
    <w:rsid w:val="00671563"/>
    <w:rsid w:val="006715D9"/>
    <w:rsid w:val="006715E5"/>
    <w:rsid w:val="00671600"/>
    <w:rsid w:val="0067165C"/>
    <w:rsid w:val="006716D2"/>
    <w:rsid w:val="00671AAC"/>
    <w:rsid w:val="00671AB8"/>
    <w:rsid w:val="00671BD0"/>
    <w:rsid w:val="00671C58"/>
    <w:rsid w:val="00671D16"/>
    <w:rsid w:val="00671E11"/>
    <w:rsid w:val="00671E3B"/>
    <w:rsid w:val="00671E94"/>
    <w:rsid w:val="00671F1A"/>
    <w:rsid w:val="00671F1E"/>
    <w:rsid w:val="00671F7F"/>
    <w:rsid w:val="006720D6"/>
    <w:rsid w:val="006721EF"/>
    <w:rsid w:val="0067233A"/>
    <w:rsid w:val="00672388"/>
    <w:rsid w:val="006723AA"/>
    <w:rsid w:val="006723C9"/>
    <w:rsid w:val="0067252B"/>
    <w:rsid w:val="006726F4"/>
    <w:rsid w:val="00672701"/>
    <w:rsid w:val="00672760"/>
    <w:rsid w:val="006727F2"/>
    <w:rsid w:val="0067282F"/>
    <w:rsid w:val="00672860"/>
    <w:rsid w:val="006728E6"/>
    <w:rsid w:val="006729F0"/>
    <w:rsid w:val="00672AC6"/>
    <w:rsid w:val="00672BBA"/>
    <w:rsid w:val="00672BF8"/>
    <w:rsid w:val="00672C18"/>
    <w:rsid w:val="00672CAE"/>
    <w:rsid w:val="00672CB6"/>
    <w:rsid w:val="00672DB8"/>
    <w:rsid w:val="00672DFF"/>
    <w:rsid w:val="00672F57"/>
    <w:rsid w:val="0067308F"/>
    <w:rsid w:val="006730CA"/>
    <w:rsid w:val="00673196"/>
    <w:rsid w:val="006731D7"/>
    <w:rsid w:val="006732BA"/>
    <w:rsid w:val="006732C4"/>
    <w:rsid w:val="00673366"/>
    <w:rsid w:val="00673433"/>
    <w:rsid w:val="0067344F"/>
    <w:rsid w:val="00673462"/>
    <w:rsid w:val="00673468"/>
    <w:rsid w:val="00673478"/>
    <w:rsid w:val="006734B3"/>
    <w:rsid w:val="00673586"/>
    <w:rsid w:val="006735E9"/>
    <w:rsid w:val="00673616"/>
    <w:rsid w:val="00673680"/>
    <w:rsid w:val="00673717"/>
    <w:rsid w:val="00673730"/>
    <w:rsid w:val="00673752"/>
    <w:rsid w:val="006737E0"/>
    <w:rsid w:val="00673A5D"/>
    <w:rsid w:val="00673ABE"/>
    <w:rsid w:val="00673B95"/>
    <w:rsid w:val="00673C34"/>
    <w:rsid w:val="00673C77"/>
    <w:rsid w:val="00673D32"/>
    <w:rsid w:val="00673DC0"/>
    <w:rsid w:val="00673E40"/>
    <w:rsid w:val="00673EB8"/>
    <w:rsid w:val="00673ED9"/>
    <w:rsid w:val="00673F3F"/>
    <w:rsid w:val="00673F54"/>
    <w:rsid w:val="00673F76"/>
    <w:rsid w:val="00674006"/>
    <w:rsid w:val="00674009"/>
    <w:rsid w:val="0067405F"/>
    <w:rsid w:val="006740D7"/>
    <w:rsid w:val="0067415B"/>
    <w:rsid w:val="006741DC"/>
    <w:rsid w:val="00674573"/>
    <w:rsid w:val="006745AB"/>
    <w:rsid w:val="00674698"/>
    <w:rsid w:val="006746B2"/>
    <w:rsid w:val="00674771"/>
    <w:rsid w:val="006747B5"/>
    <w:rsid w:val="00674835"/>
    <w:rsid w:val="00674861"/>
    <w:rsid w:val="00674975"/>
    <w:rsid w:val="00674988"/>
    <w:rsid w:val="006749DF"/>
    <w:rsid w:val="00674AB5"/>
    <w:rsid w:val="00674B45"/>
    <w:rsid w:val="00674B83"/>
    <w:rsid w:val="00674BAD"/>
    <w:rsid w:val="00674BB9"/>
    <w:rsid w:val="00674DF6"/>
    <w:rsid w:val="00674E3A"/>
    <w:rsid w:val="00674EC6"/>
    <w:rsid w:val="00674F56"/>
    <w:rsid w:val="0067502A"/>
    <w:rsid w:val="006750B2"/>
    <w:rsid w:val="0067523F"/>
    <w:rsid w:val="00675298"/>
    <w:rsid w:val="006754BA"/>
    <w:rsid w:val="006754BB"/>
    <w:rsid w:val="006754DC"/>
    <w:rsid w:val="00675536"/>
    <w:rsid w:val="00675604"/>
    <w:rsid w:val="006756B2"/>
    <w:rsid w:val="0067581E"/>
    <w:rsid w:val="006758F8"/>
    <w:rsid w:val="00675AA0"/>
    <w:rsid w:val="00675BFE"/>
    <w:rsid w:val="00675D3E"/>
    <w:rsid w:val="00675D43"/>
    <w:rsid w:val="00675DA8"/>
    <w:rsid w:val="00675E10"/>
    <w:rsid w:val="00675E77"/>
    <w:rsid w:val="00675FD5"/>
    <w:rsid w:val="006760D7"/>
    <w:rsid w:val="006760FE"/>
    <w:rsid w:val="00676132"/>
    <w:rsid w:val="00676262"/>
    <w:rsid w:val="00676507"/>
    <w:rsid w:val="0067651E"/>
    <w:rsid w:val="00676551"/>
    <w:rsid w:val="00676560"/>
    <w:rsid w:val="00676591"/>
    <w:rsid w:val="00676730"/>
    <w:rsid w:val="006767F7"/>
    <w:rsid w:val="006768F6"/>
    <w:rsid w:val="00676914"/>
    <w:rsid w:val="00676AE1"/>
    <w:rsid w:val="00676B77"/>
    <w:rsid w:val="00676B79"/>
    <w:rsid w:val="00676C0B"/>
    <w:rsid w:val="00676D4B"/>
    <w:rsid w:val="00676D4E"/>
    <w:rsid w:val="00676E05"/>
    <w:rsid w:val="00676E50"/>
    <w:rsid w:val="00676E5C"/>
    <w:rsid w:val="00676EC7"/>
    <w:rsid w:val="00676ED7"/>
    <w:rsid w:val="00676F44"/>
    <w:rsid w:val="00677008"/>
    <w:rsid w:val="00677084"/>
    <w:rsid w:val="00677120"/>
    <w:rsid w:val="00677153"/>
    <w:rsid w:val="0067719C"/>
    <w:rsid w:val="006771A1"/>
    <w:rsid w:val="00677299"/>
    <w:rsid w:val="0067731C"/>
    <w:rsid w:val="00677320"/>
    <w:rsid w:val="006773EA"/>
    <w:rsid w:val="0067748D"/>
    <w:rsid w:val="00677493"/>
    <w:rsid w:val="0067751E"/>
    <w:rsid w:val="00677555"/>
    <w:rsid w:val="0067759E"/>
    <w:rsid w:val="006775A6"/>
    <w:rsid w:val="0067761A"/>
    <w:rsid w:val="00677696"/>
    <w:rsid w:val="0067774D"/>
    <w:rsid w:val="00677763"/>
    <w:rsid w:val="00677897"/>
    <w:rsid w:val="0067794B"/>
    <w:rsid w:val="006779FA"/>
    <w:rsid w:val="00677A0C"/>
    <w:rsid w:val="00677A1B"/>
    <w:rsid w:val="00677A66"/>
    <w:rsid w:val="00677AA5"/>
    <w:rsid w:val="00677C4F"/>
    <w:rsid w:val="00677CBA"/>
    <w:rsid w:val="00677D90"/>
    <w:rsid w:val="00677DB8"/>
    <w:rsid w:val="00677DBD"/>
    <w:rsid w:val="00677E6A"/>
    <w:rsid w:val="00680010"/>
    <w:rsid w:val="00680050"/>
    <w:rsid w:val="00680090"/>
    <w:rsid w:val="00680258"/>
    <w:rsid w:val="00680263"/>
    <w:rsid w:val="00680327"/>
    <w:rsid w:val="00680362"/>
    <w:rsid w:val="006803BF"/>
    <w:rsid w:val="00680439"/>
    <w:rsid w:val="006804F7"/>
    <w:rsid w:val="00680534"/>
    <w:rsid w:val="00680625"/>
    <w:rsid w:val="00680728"/>
    <w:rsid w:val="0068099E"/>
    <w:rsid w:val="00680A0E"/>
    <w:rsid w:val="00680A8A"/>
    <w:rsid w:val="00680B54"/>
    <w:rsid w:val="00680C25"/>
    <w:rsid w:val="00680C2D"/>
    <w:rsid w:val="00680C53"/>
    <w:rsid w:val="00680C5C"/>
    <w:rsid w:val="00680C9C"/>
    <w:rsid w:val="00680CA0"/>
    <w:rsid w:val="00680CBC"/>
    <w:rsid w:val="00680D49"/>
    <w:rsid w:val="00680DD3"/>
    <w:rsid w:val="00680EC1"/>
    <w:rsid w:val="00680F88"/>
    <w:rsid w:val="00680F98"/>
    <w:rsid w:val="00680FDB"/>
    <w:rsid w:val="0068107A"/>
    <w:rsid w:val="00681164"/>
    <w:rsid w:val="0068116C"/>
    <w:rsid w:val="00681202"/>
    <w:rsid w:val="006812EA"/>
    <w:rsid w:val="00681465"/>
    <w:rsid w:val="006814B5"/>
    <w:rsid w:val="006814BF"/>
    <w:rsid w:val="00681751"/>
    <w:rsid w:val="006817C7"/>
    <w:rsid w:val="006818AE"/>
    <w:rsid w:val="00681B00"/>
    <w:rsid w:val="00681B9A"/>
    <w:rsid w:val="00681CAF"/>
    <w:rsid w:val="00681CBE"/>
    <w:rsid w:val="00681E47"/>
    <w:rsid w:val="00681EC8"/>
    <w:rsid w:val="00681F31"/>
    <w:rsid w:val="00682111"/>
    <w:rsid w:val="00682153"/>
    <w:rsid w:val="006822EB"/>
    <w:rsid w:val="006823E1"/>
    <w:rsid w:val="0068243B"/>
    <w:rsid w:val="00682449"/>
    <w:rsid w:val="006824D7"/>
    <w:rsid w:val="00682518"/>
    <w:rsid w:val="006825A9"/>
    <w:rsid w:val="00682808"/>
    <w:rsid w:val="00682868"/>
    <w:rsid w:val="00682885"/>
    <w:rsid w:val="00682947"/>
    <w:rsid w:val="00682B0A"/>
    <w:rsid w:val="00682B9C"/>
    <w:rsid w:val="00682C37"/>
    <w:rsid w:val="00682CCC"/>
    <w:rsid w:val="00682EDD"/>
    <w:rsid w:val="00682F93"/>
    <w:rsid w:val="0068308D"/>
    <w:rsid w:val="0068317A"/>
    <w:rsid w:val="006831DA"/>
    <w:rsid w:val="00683331"/>
    <w:rsid w:val="006833B7"/>
    <w:rsid w:val="00683592"/>
    <w:rsid w:val="006835A3"/>
    <w:rsid w:val="006835BA"/>
    <w:rsid w:val="0068364D"/>
    <w:rsid w:val="0068366E"/>
    <w:rsid w:val="006836AB"/>
    <w:rsid w:val="00683767"/>
    <w:rsid w:val="00683768"/>
    <w:rsid w:val="00683887"/>
    <w:rsid w:val="006838B1"/>
    <w:rsid w:val="0068395B"/>
    <w:rsid w:val="0068398A"/>
    <w:rsid w:val="006839C7"/>
    <w:rsid w:val="00683BCC"/>
    <w:rsid w:val="00683CC2"/>
    <w:rsid w:val="00683CF1"/>
    <w:rsid w:val="00683D2F"/>
    <w:rsid w:val="00683D46"/>
    <w:rsid w:val="00683DEB"/>
    <w:rsid w:val="00683ECB"/>
    <w:rsid w:val="00683F53"/>
    <w:rsid w:val="00684113"/>
    <w:rsid w:val="00684184"/>
    <w:rsid w:val="006841C0"/>
    <w:rsid w:val="0068423D"/>
    <w:rsid w:val="00684356"/>
    <w:rsid w:val="006843A6"/>
    <w:rsid w:val="00684437"/>
    <w:rsid w:val="006844F2"/>
    <w:rsid w:val="0068455B"/>
    <w:rsid w:val="0068469B"/>
    <w:rsid w:val="006846C6"/>
    <w:rsid w:val="00684777"/>
    <w:rsid w:val="00684790"/>
    <w:rsid w:val="006848A5"/>
    <w:rsid w:val="006848D4"/>
    <w:rsid w:val="0068491E"/>
    <w:rsid w:val="00684A5F"/>
    <w:rsid w:val="00684A8E"/>
    <w:rsid w:val="00684BAE"/>
    <w:rsid w:val="00684F7F"/>
    <w:rsid w:val="006850C2"/>
    <w:rsid w:val="00685105"/>
    <w:rsid w:val="00685201"/>
    <w:rsid w:val="0068526C"/>
    <w:rsid w:val="0068527C"/>
    <w:rsid w:val="006852F6"/>
    <w:rsid w:val="00685312"/>
    <w:rsid w:val="006853FD"/>
    <w:rsid w:val="00685400"/>
    <w:rsid w:val="0068540B"/>
    <w:rsid w:val="00685473"/>
    <w:rsid w:val="00685487"/>
    <w:rsid w:val="006854C3"/>
    <w:rsid w:val="0068558F"/>
    <w:rsid w:val="0068563A"/>
    <w:rsid w:val="006856B9"/>
    <w:rsid w:val="00685A05"/>
    <w:rsid w:val="00685A63"/>
    <w:rsid w:val="00685A8C"/>
    <w:rsid w:val="00685AE4"/>
    <w:rsid w:val="00685B62"/>
    <w:rsid w:val="00685B72"/>
    <w:rsid w:val="00685BD6"/>
    <w:rsid w:val="00685BE5"/>
    <w:rsid w:val="00685C1A"/>
    <w:rsid w:val="00685D6B"/>
    <w:rsid w:val="00685ECD"/>
    <w:rsid w:val="00685F43"/>
    <w:rsid w:val="00686151"/>
    <w:rsid w:val="0068628E"/>
    <w:rsid w:val="00686454"/>
    <w:rsid w:val="00686521"/>
    <w:rsid w:val="0068659D"/>
    <w:rsid w:val="006865F2"/>
    <w:rsid w:val="00686648"/>
    <w:rsid w:val="00686678"/>
    <w:rsid w:val="00686679"/>
    <w:rsid w:val="00686705"/>
    <w:rsid w:val="00686801"/>
    <w:rsid w:val="006868C3"/>
    <w:rsid w:val="006868EC"/>
    <w:rsid w:val="006868F6"/>
    <w:rsid w:val="006869B5"/>
    <w:rsid w:val="00686AA9"/>
    <w:rsid w:val="00686E28"/>
    <w:rsid w:val="00686ED6"/>
    <w:rsid w:val="0068705B"/>
    <w:rsid w:val="006870E3"/>
    <w:rsid w:val="006870F7"/>
    <w:rsid w:val="00687102"/>
    <w:rsid w:val="00687267"/>
    <w:rsid w:val="00687322"/>
    <w:rsid w:val="006873B2"/>
    <w:rsid w:val="006873C4"/>
    <w:rsid w:val="006873C9"/>
    <w:rsid w:val="006874BC"/>
    <w:rsid w:val="006874E6"/>
    <w:rsid w:val="006874F5"/>
    <w:rsid w:val="0068751A"/>
    <w:rsid w:val="00687655"/>
    <w:rsid w:val="006876AE"/>
    <w:rsid w:val="00687751"/>
    <w:rsid w:val="00687847"/>
    <w:rsid w:val="00687882"/>
    <w:rsid w:val="0068793A"/>
    <w:rsid w:val="00687A03"/>
    <w:rsid w:val="00687D79"/>
    <w:rsid w:val="00687EF0"/>
    <w:rsid w:val="0069027B"/>
    <w:rsid w:val="006903B2"/>
    <w:rsid w:val="006904A9"/>
    <w:rsid w:val="00690615"/>
    <w:rsid w:val="006906B9"/>
    <w:rsid w:val="006906C4"/>
    <w:rsid w:val="0069080F"/>
    <w:rsid w:val="006909F2"/>
    <w:rsid w:val="00690A04"/>
    <w:rsid w:val="00690A12"/>
    <w:rsid w:val="00690BC8"/>
    <w:rsid w:val="00690C63"/>
    <w:rsid w:val="00690CBE"/>
    <w:rsid w:val="00690E06"/>
    <w:rsid w:val="00690E88"/>
    <w:rsid w:val="00690E93"/>
    <w:rsid w:val="00690E9C"/>
    <w:rsid w:val="00691168"/>
    <w:rsid w:val="00691377"/>
    <w:rsid w:val="00691426"/>
    <w:rsid w:val="0069147C"/>
    <w:rsid w:val="006914DA"/>
    <w:rsid w:val="00691511"/>
    <w:rsid w:val="0069173E"/>
    <w:rsid w:val="0069179B"/>
    <w:rsid w:val="006917B8"/>
    <w:rsid w:val="006918F7"/>
    <w:rsid w:val="006919FF"/>
    <w:rsid w:val="00691D54"/>
    <w:rsid w:val="00691E96"/>
    <w:rsid w:val="00691F05"/>
    <w:rsid w:val="00691FA2"/>
    <w:rsid w:val="0069201C"/>
    <w:rsid w:val="0069205B"/>
    <w:rsid w:val="006920A4"/>
    <w:rsid w:val="00692299"/>
    <w:rsid w:val="006922EC"/>
    <w:rsid w:val="00692312"/>
    <w:rsid w:val="00692427"/>
    <w:rsid w:val="006925C9"/>
    <w:rsid w:val="0069267B"/>
    <w:rsid w:val="006926BC"/>
    <w:rsid w:val="0069272A"/>
    <w:rsid w:val="00692746"/>
    <w:rsid w:val="0069289C"/>
    <w:rsid w:val="006929F8"/>
    <w:rsid w:val="00692A10"/>
    <w:rsid w:val="00692ACB"/>
    <w:rsid w:val="00692B30"/>
    <w:rsid w:val="00692CD4"/>
    <w:rsid w:val="00692D93"/>
    <w:rsid w:val="00692D95"/>
    <w:rsid w:val="00692DC2"/>
    <w:rsid w:val="00692E48"/>
    <w:rsid w:val="00692EE9"/>
    <w:rsid w:val="00692FDB"/>
    <w:rsid w:val="0069300C"/>
    <w:rsid w:val="006934B8"/>
    <w:rsid w:val="0069366E"/>
    <w:rsid w:val="00693768"/>
    <w:rsid w:val="00693826"/>
    <w:rsid w:val="006938BF"/>
    <w:rsid w:val="00693913"/>
    <w:rsid w:val="006939DC"/>
    <w:rsid w:val="006939F0"/>
    <w:rsid w:val="00693AE6"/>
    <w:rsid w:val="00693B6E"/>
    <w:rsid w:val="00693B9B"/>
    <w:rsid w:val="00693BE0"/>
    <w:rsid w:val="00693C99"/>
    <w:rsid w:val="00693D59"/>
    <w:rsid w:val="00693E51"/>
    <w:rsid w:val="00693E81"/>
    <w:rsid w:val="00693ED9"/>
    <w:rsid w:val="00693F3C"/>
    <w:rsid w:val="00693FE7"/>
    <w:rsid w:val="00694095"/>
    <w:rsid w:val="00694190"/>
    <w:rsid w:val="006943D5"/>
    <w:rsid w:val="00694489"/>
    <w:rsid w:val="006944E2"/>
    <w:rsid w:val="00694659"/>
    <w:rsid w:val="006946DC"/>
    <w:rsid w:val="0069471F"/>
    <w:rsid w:val="00694768"/>
    <w:rsid w:val="0069492A"/>
    <w:rsid w:val="00694BEA"/>
    <w:rsid w:val="00694C48"/>
    <w:rsid w:val="00694CFF"/>
    <w:rsid w:val="00694D20"/>
    <w:rsid w:val="00694E1F"/>
    <w:rsid w:val="00694FB8"/>
    <w:rsid w:val="0069509E"/>
    <w:rsid w:val="0069510B"/>
    <w:rsid w:val="0069510E"/>
    <w:rsid w:val="0069512B"/>
    <w:rsid w:val="00695148"/>
    <w:rsid w:val="00695160"/>
    <w:rsid w:val="006951DD"/>
    <w:rsid w:val="0069523C"/>
    <w:rsid w:val="0069530C"/>
    <w:rsid w:val="006953F3"/>
    <w:rsid w:val="006954CE"/>
    <w:rsid w:val="0069552F"/>
    <w:rsid w:val="006955E8"/>
    <w:rsid w:val="00695650"/>
    <w:rsid w:val="00695939"/>
    <w:rsid w:val="00695CF1"/>
    <w:rsid w:val="00695D90"/>
    <w:rsid w:val="00695DDD"/>
    <w:rsid w:val="00695DE4"/>
    <w:rsid w:val="00695E8B"/>
    <w:rsid w:val="00695E9A"/>
    <w:rsid w:val="00695F09"/>
    <w:rsid w:val="00695F91"/>
    <w:rsid w:val="00695FB6"/>
    <w:rsid w:val="00696026"/>
    <w:rsid w:val="006962BE"/>
    <w:rsid w:val="006962E5"/>
    <w:rsid w:val="00696467"/>
    <w:rsid w:val="006964AE"/>
    <w:rsid w:val="006964D9"/>
    <w:rsid w:val="00696504"/>
    <w:rsid w:val="006965CB"/>
    <w:rsid w:val="006966CB"/>
    <w:rsid w:val="00696761"/>
    <w:rsid w:val="0069677F"/>
    <w:rsid w:val="006967F3"/>
    <w:rsid w:val="00696836"/>
    <w:rsid w:val="00696852"/>
    <w:rsid w:val="0069691C"/>
    <w:rsid w:val="0069696D"/>
    <w:rsid w:val="00696981"/>
    <w:rsid w:val="00696998"/>
    <w:rsid w:val="00696AA4"/>
    <w:rsid w:val="00696BEF"/>
    <w:rsid w:val="00696C48"/>
    <w:rsid w:val="00696C5C"/>
    <w:rsid w:val="00696D25"/>
    <w:rsid w:val="00696DFC"/>
    <w:rsid w:val="00696EDD"/>
    <w:rsid w:val="00697054"/>
    <w:rsid w:val="006970CB"/>
    <w:rsid w:val="00697183"/>
    <w:rsid w:val="00697350"/>
    <w:rsid w:val="0069737A"/>
    <w:rsid w:val="006974B6"/>
    <w:rsid w:val="006974F8"/>
    <w:rsid w:val="0069752C"/>
    <w:rsid w:val="006976AE"/>
    <w:rsid w:val="0069787F"/>
    <w:rsid w:val="0069788F"/>
    <w:rsid w:val="006978A7"/>
    <w:rsid w:val="00697AD7"/>
    <w:rsid w:val="00697D44"/>
    <w:rsid w:val="00697DCB"/>
    <w:rsid w:val="00697EB9"/>
    <w:rsid w:val="00697EF6"/>
    <w:rsid w:val="00697F57"/>
    <w:rsid w:val="006A0013"/>
    <w:rsid w:val="006A0154"/>
    <w:rsid w:val="006A0215"/>
    <w:rsid w:val="006A0234"/>
    <w:rsid w:val="006A0273"/>
    <w:rsid w:val="006A027B"/>
    <w:rsid w:val="006A0312"/>
    <w:rsid w:val="006A039C"/>
    <w:rsid w:val="006A03FF"/>
    <w:rsid w:val="006A0569"/>
    <w:rsid w:val="006A0691"/>
    <w:rsid w:val="006A0706"/>
    <w:rsid w:val="006A071C"/>
    <w:rsid w:val="006A073B"/>
    <w:rsid w:val="006A080D"/>
    <w:rsid w:val="006A082C"/>
    <w:rsid w:val="006A0851"/>
    <w:rsid w:val="006A0858"/>
    <w:rsid w:val="006A0859"/>
    <w:rsid w:val="006A0988"/>
    <w:rsid w:val="006A0AE9"/>
    <w:rsid w:val="006A0B16"/>
    <w:rsid w:val="006A0D28"/>
    <w:rsid w:val="006A0D4B"/>
    <w:rsid w:val="006A0D8A"/>
    <w:rsid w:val="006A0DE6"/>
    <w:rsid w:val="006A0EC0"/>
    <w:rsid w:val="006A1001"/>
    <w:rsid w:val="006A1104"/>
    <w:rsid w:val="006A1193"/>
    <w:rsid w:val="006A1251"/>
    <w:rsid w:val="006A1368"/>
    <w:rsid w:val="006A1398"/>
    <w:rsid w:val="006A1414"/>
    <w:rsid w:val="006A14B7"/>
    <w:rsid w:val="006A15B4"/>
    <w:rsid w:val="006A161A"/>
    <w:rsid w:val="006A1841"/>
    <w:rsid w:val="006A185A"/>
    <w:rsid w:val="006A18D5"/>
    <w:rsid w:val="006A1A91"/>
    <w:rsid w:val="006A1B8C"/>
    <w:rsid w:val="006A1BFC"/>
    <w:rsid w:val="006A1C2B"/>
    <w:rsid w:val="006A1C47"/>
    <w:rsid w:val="006A1CA2"/>
    <w:rsid w:val="006A1CAC"/>
    <w:rsid w:val="006A1D17"/>
    <w:rsid w:val="006A1D4F"/>
    <w:rsid w:val="006A1DBD"/>
    <w:rsid w:val="006A1EC0"/>
    <w:rsid w:val="006A1FC8"/>
    <w:rsid w:val="006A1FEA"/>
    <w:rsid w:val="006A204E"/>
    <w:rsid w:val="006A20A4"/>
    <w:rsid w:val="006A212A"/>
    <w:rsid w:val="006A21D0"/>
    <w:rsid w:val="006A2206"/>
    <w:rsid w:val="006A244D"/>
    <w:rsid w:val="006A24B9"/>
    <w:rsid w:val="006A24EC"/>
    <w:rsid w:val="006A25F3"/>
    <w:rsid w:val="006A2647"/>
    <w:rsid w:val="006A26F8"/>
    <w:rsid w:val="006A2715"/>
    <w:rsid w:val="006A27DF"/>
    <w:rsid w:val="006A27FE"/>
    <w:rsid w:val="006A298D"/>
    <w:rsid w:val="006A2A19"/>
    <w:rsid w:val="006A2B1E"/>
    <w:rsid w:val="006A2BEB"/>
    <w:rsid w:val="006A2BF3"/>
    <w:rsid w:val="006A2C48"/>
    <w:rsid w:val="006A2CCB"/>
    <w:rsid w:val="006A2EB6"/>
    <w:rsid w:val="006A2F64"/>
    <w:rsid w:val="006A316B"/>
    <w:rsid w:val="006A3235"/>
    <w:rsid w:val="006A3238"/>
    <w:rsid w:val="006A3246"/>
    <w:rsid w:val="006A324C"/>
    <w:rsid w:val="006A33D4"/>
    <w:rsid w:val="006A342C"/>
    <w:rsid w:val="006A3474"/>
    <w:rsid w:val="006A3700"/>
    <w:rsid w:val="006A37A6"/>
    <w:rsid w:val="006A3854"/>
    <w:rsid w:val="006A389F"/>
    <w:rsid w:val="006A38F4"/>
    <w:rsid w:val="006A39C5"/>
    <w:rsid w:val="006A3A42"/>
    <w:rsid w:val="006A3AC5"/>
    <w:rsid w:val="006A3B4F"/>
    <w:rsid w:val="006A3B93"/>
    <w:rsid w:val="006A3BFB"/>
    <w:rsid w:val="006A3E05"/>
    <w:rsid w:val="006A3F26"/>
    <w:rsid w:val="006A3F2E"/>
    <w:rsid w:val="006A42FC"/>
    <w:rsid w:val="006A4349"/>
    <w:rsid w:val="006A43D7"/>
    <w:rsid w:val="006A43D8"/>
    <w:rsid w:val="006A44EA"/>
    <w:rsid w:val="006A45A5"/>
    <w:rsid w:val="006A45CF"/>
    <w:rsid w:val="006A46DF"/>
    <w:rsid w:val="006A46E3"/>
    <w:rsid w:val="006A48A6"/>
    <w:rsid w:val="006A48D3"/>
    <w:rsid w:val="006A49CE"/>
    <w:rsid w:val="006A4C69"/>
    <w:rsid w:val="006A4D50"/>
    <w:rsid w:val="006A4F04"/>
    <w:rsid w:val="006A4F15"/>
    <w:rsid w:val="006A4F1C"/>
    <w:rsid w:val="006A4F2D"/>
    <w:rsid w:val="006A4F59"/>
    <w:rsid w:val="006A4F5D"/>
    <w:rsid w:val="006A4FE0"/>
    <w:rsid w:val="006A5078"/>
    <w:rsid w:val="006A5156"/>
    <w:rsid w:val="006A5242"/>
    <w:rsid w:val="006A5390"/>
    <w:rsid w:val="006A53F5"/>
    <w:rsid w:val="006A546D"/>
    <w:rsid w:val="006A5494"/>
    <w:rsid w:val="006A54AA"/>
    <w:rsid w:val="006A55F5"/>
    <w:rsid w:val="006A5646"/>
    <w:rsid w:val="006A5855"/>
    <w:rsid w:val="006A58DA"/>
    <w:rsid w:val="006A59FB"/>
    <w:rsid w:val="006A5A2A"/>
    <w:rsid w:val="006A5BCA"/>
    <w:rsid w:val="006A5C12"/>
    <w:rsid w:val="006A5C29"/>
    <w:rsid w:val="006A5C90"/>
    <w:rsid w:val="006A5CC7"/>
    <w:rsid w:val="006A5D7D"/>
    <w:rsid w:val="006A5E05"/>
    <w:rsid w:val="006A5E17"/>
    <w:rsid w:val="006A5E59"/>
    <w:rsid w:val="006A5EE7"/>
    <w:rsid w:val="006A5FAF"/>
    <w:rsid w:val="006A6018"/>
    <w:rsid w:val="006A6029"/>
    <w:rsid w:val="006A6064"/>
    <w:rsid w:val="006A61C8"/>
    <w:rsid w:val="006A6319"/>
    <w:rsid w:val="006A6349"/>
    <w:rsid w:val="006A64B4"/>
    <w:rsid w:val="006A653D"/>
    <w:rsid w:val="006A6664"/>
    <w:rsid w:val="006A6679"/>
    <w:rsid w:val="006A688D"/>
    <w:rsid w:val="006A692B"/>
    <w:rsid w:val="006A695D"/>
    <w:rsid w:val="006A6A29"/>
    <w:rsid w:val="006A6B66"/>
    <w:rsid w:val="006A6D20"/>
    <w:rsid w:val="006A6E3B"/>
    <w:rsid w:val="006A6ECE"/>
    <w:rsid w:val="006A6F4E"/>
    <w:rsid w:val="006A6F8B"/>
    <w:rsid w:val="006A7020"/>
    <w:rsid w:val="006A706A"/>
    <w:rsid w:val="006A71A3"/>
    <w:rsid w:val="006A720F"/>
    <w:rsid w:val="006A72DC"/>
    <w:rsid w:val="006A72E5"/>
    <w:rsid w:val="006A73A7"/>
    <w:rsid w:val="006A7679"/>
    <w:rsid w:val="006A7688"/>
    <w:rsid w:val="006A76B0"/>
    <w:rsid w:val="006A771E"/>
    <w:rsid w:val="006A773B"/>
    <w:rsid w:val="006A773E"/>
    <w:rsid w:val="006A7841"/>
    <w:rsid w:val="006A78AA"/>
    <w:rsid w:val="006A78C5"/>
    <w:rsid w:val="006A7925"/>
    <w:rsid w:val="006A7962"/>
    <w:rsid w:val="006A7989"/>
    <w:rsid w:val="006A7991"/>
    <w:rsid w:val="006A7A5E"/>
    <w:rsid w:val="006A7B53"/>
    <w:rsid w:val="006A7B76"/>
    <w:rsid w:val="006A7D97"/>
    <w:rsid w:val="006A7ED8"/>
    <w:rsid w:val="006A7F87"/>
    <w:rsid w:val="006A7FA6"/>
    <w:rsid w:val="006A7FBD"/>
    <w:rsid w:val="006B0033"/>
    <w:rsid w:val="006B0048"/>
    <w:rsid w:val="006B0199"/>
    <w:rsid w:val="006B0248"/>
    <w:rsid w:val="006B035B"/>
    <w:rsid w:val="006B0398"/>
    <w:rsid w:val="006B03A5"/>
    <w:rsid w:val="006B0576"/>
    <w:rsid w:val="006B0577"/>
    <w:rsid w:val="006B0608"/>
    <w:rsid w:val="006B0669"/>
    <w:rsid w:val="006B06BF"/>
    <w:rsid w:val="006B06F2"/>
    <w:rsid w:val="006B077A"/>
    <w:rsid w:val="006B082A"/>
    <w:rsid w:val="006B0856"/>
    <w:rsid w:val="006B089C"/>
    <w:rsid w:val="006B09A1"/>
    <w:rsid w:val="006B0ADC"/>
    <w:rsid w:val="006B0AF1"/>
    <w:rsid w:val="006B0AF8"/>
    <w:rsid w:val="006B0B3F"/>
    <w:rsid w:val="006B0BFB"/>
    <w:rsid w:val="006B0C34"/>
    <w:rsid w:val="006B0D6E"/>
    <w:rsid w:val="006B1122"/>
    <w:rsid w:val="006B114C"/>
    <w:rsid w:val="006B12F5"/>
    <w:rsid w:val="006B138B"/>
    <w:rsid w:val="006B1396"/>
    <w:rsid w:val="006B13E9"/>
    <w:rsid w:val="006B1479"/>
    <w:rsid w:val="006B157C"/>
    <w:rsid w:val="006B1603"/>
    <w:rsid w:val="006B1674"/>
    <w:rsid w:val="006B16BF"/>
    <w:rsid w:val="006B16E5"/>
    <w:rsid w:val="006B1730"/>
    <w:rsid w:val="006B1917"/>
    <w:rsid w:val="006B1924"/>
    <w:rsid w:val="006B1B71"/>
    <w:rsid w:val="006B1B73"/>
    <w:rsid w:val="006B1BF4"/>
    <w:rsid w:val="006B1C77"/>
    <w:rsid w:val="006B1CEA"/>
    <w:rsid w:val="006B1D74"/>
    <w:rsid w:val="006B1D82"/>
    <w:rsid w:val="006B1E1A"/>
    <w:rsid w:val="006B1F76"/>
    <w:rsid w:val="006B1F85"/>
    <w:rsid w:val="006B2049"/>
    <w:rsid w:val="006B2070"/>
    <w:rsid w:val="006B2087"/>
    <w:rsid w:val="006B20B2"/>
    <w:rsid w:val="006B20CD"/>
    <w:rsid w:val="006B20E4"/>
    <w:rsid w:val="006B20EF"/>
    <w:rsid w:val="006B2136"/>
    <w:rsid w:val="006B216E"/>
    <w:rsid w:val="006B21EE"/>
    <w:rsid w:val="006B2308"/>
    <w:rsid w:val="006B231A"/>
    <w:rsid w:val="006B2378"/>
    <w:rsid w:val="006B23E0"/>
    <w:rsid w:val="006B24B2"/>
    <w:rsid w:val="006B2504"/>
    <w:rsid w:val="006B254E"/>
    <w:rsid w:val="006B259C"/>
    <w:rsid w:val="006B2728"/>
    <w:rsid w:val="006B2763"/>
    <w:rsid w:val="006B28E2"/>
    <w:rsid w:val="006B290F"/>
    <w:rsid w:val="006B2991"/>
    <w:rsid w:val="006B2AC6"/>
    <w:rsid w:val="006B2C4A"/>
    <w:rsid w:val="006B2CDA"/>
    <w:rsid w:val="006B2D07"/>
    <w:rsid w:val="006B2D20"/>
    <w:rsid w:val="006B2E2F"/>
    <w:rsid w:val="006B2E73"/>
    <w:rsid w:val="006B2F12"/>
    <w:rsid w:val="006B3080"/>
    <w:rsid w:val="006B309B"/>
    <w:rsid w:val="006B30B4"/>
    <w:rsid w:val="006B328D"/>
    <w:rsid w:val="006B333E"/>
    <w:rsid w:val="006B336E"/>
    <w:rsid w:val="006B3371"/>
    <w:rsid w:val="006B33A2"/>
    <w:rsid w:val="006B3479"/>
    <w:rsid w:val="006B3595"/>
    <w:rsid w:val="006B36F2"/>
    <w:rsid w:val="006B372A"/>
    <w:rsid w:val="006B39DC"/>
    <w:rsid w:val="006B3A39"/>
    <w:rsid w:val="006B3B3E"/>
    <w:rsid w:val="006B3B76"/>
    <w:rsid w:val="006B3B83"/>
    <w:rsid w:val="006B3BAA"/>
    <w:rsid w:val="006B3BC0"/>
    <w:rsid w:val="006B3C73"/>
    <w:rsid w:val="006B3C8E"/>
    <w:rsid w:val="006B3E80"/>
    <w:rsid w:val="006B40F7"/>
    <w:rsid w:val="006B41C6"/>
    <w:rsid w:val="006B41D5"/>
    <w:rsid w:val="006B41F1"/>
    <w:rsid w:val="006B4277"/>
    <w:rsid w:val="006B43D6"/>
    <w:rsid w:val="006B43E0"/>
    <w:rsid w:val="006B4459"/>
    <w:rsid w:val="006B4669"/>
    <w:rsid w:val="006B4693"/>
    <w:rsid w:val="006B4791"/>
    <w:rsid w:val="006B48CD"/>
    <w:rsid w:val="006B49C4"/>
    <w:rsid w:val="006B49D5"/>
    <w:rsid w:val="006B4A5E"/>
    <w:rsid w:val="006B4B2A"/>
    <w:rsid w:val="006B4BCE"/>
    <w:rsid w:val="006B4C1B"/>
    <w:rsid w:val="006B4D0B"/>
    <w:rsid w:val="006B4E92"/>
    <w:rsid w:val="006B4FD9"/>
    <w:rsid w:val="006B519A"/>
    <w:rsid w:val="006B51EA"/>
    <w:rsid w:val="006B5222"/>
    <w:rsid w:val="006B53C9"/>
    <w:rsid w:val="006B53CD"/>
    <w:rsid w:val="006B5408"/>
    <w:rsid w:val="006B5512"/>
    <w:rsid w:val="006B56DC"/>
    <w:rsid w:val="006B571E"/>
    <w:rsid w:val="006B572C"/>
    <w:rsid w:val="006B5763"/>
    <w:rsid w:val="006B58C5"/>
    <w:rsid w:val="006B5942"/>
    <w:rsid w:val="006B5964"/>
    <w:rsid w:val="006B5AFB"/>
    <w:rsid w:val="006B5B16"/>
    <w:rsid w:val="006B5B76"/>
    <w:rsid w:val="006B5C3C"/>
    <w:rsid w:val="006B5CF7"/>
    <w:rsid w:val="006B5E33"/>
    <w:rsid w:val="006B5E8F"/>
    <w:rsid w:val="006B605C"/>
    <w:rsid w:val="006B61F4"/>
    <w:rsid w:val="006B6279"/>
    <w:rsid w:val="006B6291"/>
    <w:rsid w:val="006B629C"/>
    <w:rsid w:val="006B63DE"/>
    <w:rsid w:val="006B642C"/>
    <w:rsid w:val="006B648C"/>
    <w:rsid w:val="006B64CA"/>
    <w:rsid w:val="006B6529"/>
    <w:rsid w:val="006B6749"/>
    <w:rsid w:val="006B6864"/>
    <w:rsid w:val="006B688D"/>
    <w:rsid w:val="006B69BE"/>
    <w:rsid w:val="006B69EF"/>
    <w:rsid w:val="006B6A3C"/>
    <w:rsid w:val="006B6AFA"/>
    <w:rsid w:val="006B6BA8"/>
    <w:rsid w:val="006B6BB5"/>
    <w:rsid w:val="006B6DB1"/>
    <w:rsid w:val="006B6E81"/>
    <w:rsid w:val="006B6E85"/>
    <w:rsid w:val="006B6EAF"/>
    <w:rsid w:val="006B6FFD"/>
    <w:rsid w:val="006B712A"/>
    <w:rsid w:val="006B731B"/>
    <w:rsid w:val="006B750C"/>
    <w:rsid w:val="006B75BE"/>
    <w:rsid w:val="006B75F4"/>
    <w:rsid w:val="006B765B"/>
    <w:rsid w:val="006B76EC"/>
    <w:rsid w:val="006B77E9"/>
    <w:rsid w:val="006B78AC"/>
    <w:rsid w:val="006B78DD"/>
    <w:rsid w:val="006B79D9"/>
    <w:rsid w:val="006B7A2A"/>
    <w:rsid w:val="006B7B07"/>
    <w:rsid w:val="006B7B54"/>
    <w:rsid w:val="006B7BB8"/>
    <w:rsid w:val="006B7BDF"/>
    <w:rsid w:val="006B7CBF"/>
    <w:rsid w:val="006B7D02"/>
    <w:rsid w:val="006B7E08"/>
    <w:rsid w:val="006B7E91"/>
    <w:rsid w:val="006B7F8F"/>
    <w:rsid w:val="006B7FBA"/>
    <w:rsid w:val="006C011E"/>
    <w:rsid w:val="006C0237"/>
    <w:rsid w:val="006C02BF"/>
    <w:rsid w:val="006C0388"/>
    <w:rsid w:val="006C03A2"/>
    <w:rsid w:val="006C0431"/>
    <w:rsid w:val="006C07A5"/>
    <w:rsid w:val="006C0AC1"/>
    <w:rsid w:val="006C0BAA"/>
    <w:rsid w:val="006C0BBF"/>
    <w:rsid w:val="006C0BDF"/>
    <w:rsid w:val="006C0C87"/>
    <w:rsid w:val="006C0CB2"/>
    <w:rsid w:val="006C0CCA"/>
    <w:rsid w:val="006C0DF9"/>
    <w:rsid w:val="006C0ECA"/>
    <w:rsid w:val="006C0FFF"/>
    <w:rsid w:val="006C1078"/>
    <w:rsid w:val="006C10DD"/>
    <w:rsid w:val="006C11C7"/>
    <w:rsid w:val="006C125E"/>
    <w:rsid w:val="006C1305"/>
    <w:rsid w:val="006C135E"/>
    <w:rsid w:val="006C1485"/>
    <w:rsid w:val="006C14E8"/>
    <w:rsid w:val="006C153A"/>
    <w:rsid w:val="006C15B3"/>
    <w:rsid w:val="006C1618"/>
    <w:rsid w:val="006C17E1"/>
    <w:rsid w:val="006C17FA"/>
    <w:rsid w:val="006C188F"/>
    <w:rsid w:val="006C19A7"/>
    <w:rsid w:val="006C1A86"/>
    <w:rsid w:val="006C1B27"/>
    <w:rsid w:val="006C1BF6"/>
    <w:rsid w:val="006C1DF8"/>
    <w:rsid w:val="006C1E4F"/>
    <w:rsid w:val="006C1F21"/>
    <w:rsid w:val="006C1F46"/>
    <w:rsid w:val="006C1F5E"/>
    <w:rsid w:val="006C1F72"/>
    <w:rsid w:val="006C1FDF"/>
    <w:rsid w:val="006C2080"/>
    <w:rsid w:val="006C2133"/>
    <w:rsid w:val="006C2154"/>
    <w:rsid w:val="006C215C"/>
    <w:rsid w:val="006C22A0"/>
    <w:rsid w:val="006C22EE"/>
    <w:rsid w:val="006C23CE"/>
    <w:rsid w:val="006C259A"/>
    <w:rsid w:val="006C2602"/>
    <w:rsid w:val="006C2760"/>
    <w:rsid w:val="006C2784"/>
    <w:rsid w:val="006C28C1"/>
    <w:rsid w:val="006C28CF"/>
    <w:rsid w:val="006C28F8"/>
    <w:rsid w:val="006C29B0"/>
    <w:rsid w:val="006C2AF5"/>
    <w:rsid w:val="006C2BC4"/>
    <w:rsid w:val="006C2C01"/>
    <w:rsid w:val="006C2CA1"/>
    <w:rsid w:val="006C2CC6"/>
    <w:rsid w:val="006C2DCB"/>
    <w:rsid w:val="006C2DFA"/>
    <w:rsid w:val="006C2E81"/>
    <w:rsid w:val="006C2EA8"/>
    <w:rsid w:val="006C2F7F"/>
    <w:rsid w:val="006C309C"/>
    <w:rsid w:val="006C30C0"/>
    <w:rsid w:val="006C30C7"/>
    <w:rsid w:val="006C333F"/>
    <w:rsid w:val="006C3400"/>
    <w:rsid w:val="006C34BB"/>
    <w:rsid w:val="006C35E9"/>
    <w:rsid w:val="006C364D"/>
    <w:rsid w:val="006C3706"/>
    <w:rsid w:val="006C3786"/>
    <w:rsid w:val="006C37A7"/>
    <w:rsid w:val="006C38D9"/>
    <w:rsid w:val="006C3959"/>
    <w:rsid w:val="006C3ACF"/>
    <w:rsid w:val="006C3B09"/>
    <w:rsid w:val="006C3BDC"/>
    <w:rsid w:val="006C3BF1"/>
    <w:rsid w:val="006C3C46"/>
    <w:rsid w:val="006C3C5F"/>
    <w:rsid w:val="006C3D5E"/>
    <w:rsid w:val="006C3E07"/>
    <w:rsid w:val="006C3FBF"/>
    <w:rsid w:val="006C40EA"/>
    <w:rsid w:val="006C4105"/>
    <w:rsid w:val="006C4192"/>
    <w:rsid w:val="006C41D0"/>
    <w:rsid w:val="006C4222"/>
    <w:rsid w:val="006C422A"/>
    <w:rsid w:val="006C42F5"/>
    <w:rsid w:val="006C4302"/>
    <w:rsid w:val="006C4389"/>
    <w:rsid w:val="006C43FC"/>
    <w:rsid w:val="006C4418"/>
    <w:rsid w:val="006C4615"/>
    <w:rsid w:val="006C46F4"/>
    <w:rsid w:val="006C47CB"/>
    <w:rsid w:val="006C49A9"/>
    <w:rsid w:val="006C49DE"/>
    <w:rsid w:val="006C49F5"/>
    <w:rsid w:val="006C4CE4"/>
    <w:rsid w:val="006C4D54"/>
    <w:rsid w:val="006C4D90"/>
    <w:rsid w:val="006C4DC5"/>
    <w:rsid w:val="006C4E99"/>
    <w:rsid w:val="006C4EC8"/>
    <w:rsid w:val="006C51BA"/>
    <w:rsid w:val="006C5201"/>
    <w:rsid w:val="006C5257"/>
    <w:rsid w:val="006C5358"/>
    <w:rsid w:val="006C53E1"/>
    <w:rsid w:val="006C5424"/>
    <w:rsid w:val="006C54EC"/>
    <w:rsid w:val="006C55CE"/>
    <w:rsid w:val="006C567D"/>
    <w:rsid w:val="006C5765"/>
    <w:rsid w:val="006C5906"/>
    <w:rsid w:val="006C5931"/>
    <w:rsid w:val="006C593C"/>
    <w:rsid w:val="006C59E7"/>
    <w:rsid w:val="006C59F6"/>
    <w:rsid w:val="006C5D34"/>
    <w:rsid w:val="006C5D49"/>
    <w:rsid w:val="006C5E1E"/>
    <w:rsid w:val="006C5F06"/>
    <w:rsid w:val="006C5F9B"/>
    <w:rsid w:val="006C612A"/>
    <w:rsid w:val="006C615C"/>
    <w:rsid w:val="006C6175"/>
    <w:rsid w:val="006C61DC"/>
    <w:rsid w:val="006C6273"/>
    <w:rsid w:val="006C64E7"/>
    <w:rsid w:val="006C6559"/>
    <w:rsid w:val="006C6587"/>
    <w:rsid w:val="006C6592"/>
    <w:rsid w:val="006C65A5"/>
    <w:rsid w:val="006C66D1"/>
    <w:rsid w:val="006C66E8"/>
    <w:rsid w:val="006C678E"/>
    <w:rsid w:val="006C6849"/>
    <w:rsid w:val="006C685D"/>
    <w:rsid w:val="006C68E6"/>
    <w:rsid w:val="006C6AD3"/>
    <w:rsid w:val="006C6BB9"/>
    <w:rsid w:val="006C6BD2"/>
    <w:rsid w:val="006C6C72"/>
    <w:rsid w:val="006C6D07"/>
    <w:rsid w:val="006C6DED"/>
    <w:rsid w:val="006C6E0F"/>
    <w:rsid w:val="006C6E23"/>
    <w:rsid w:val="006C7050"/>
    <w:rsid w:val="006C70B4"/>
    <w:rsid w:val="006C70D0"/>
    <w:rsid w:val="006C748E"/>
    <w:rsid w:val="006C756E"/>
    <w:rsid w:val="006C76E2"/>
    <w:rsid w:val="006C7798"/>
    <w:rsid w:val="006C783F"/>
    <w:rsid w:val="006C78A7"/>
    <w:rsid w:val="006C791E"/>
    <w:rsid w:val="006C79CD"/>
    <w:rsid w:val="006C79EF"/>
    <w:rsid w:val="006C7C43"/>
    <w:rsid w:val="006C7C7F"/>
    <w:rsid w:val="006C7CB3"/>
    <w:rsid w:val="006C7D40"/>
    <w:rsid w:val="006C7E08"/>
    <w:rsid w:val="006C7E5A"/>
    <w:rsid w:val="006C7EB0"/>
    <w:rsid w:val="006C7EC4"/>
    <w:rsid w:val="006C7F06"/>
    <w:rsid w:val="006D00D6"/>
    <w:rsid w:val="006D00D9"/>
    <w:rsid w:val="006D011E"/>
    <w:rsid w:val="006D0155"/>
    <w:rsid w:val="006D0207"/>
    <w:rsid w:val="006D0258"/>
    <w:rsid w:val="006D03EA"/>
    <w:rsid w:val="006D054E"/>
    <w:rsid w:val="006D056E"/>
    <w:rsid w:val="006D05E7"/>
    <w:rsid w:val="006D06DC"/>
    <w:rsid w:val="006D072F"/>
    <w:rsid w:val="006D0893"/>
    <w:rsid w:val="006D0A26"/>
    <w:rsid w:val="006D0A51"/>
    <w:rsid w:val="006D0A7B"/>
    <w:rsid w:val="006D0A7D"/>
    <w:rsid w:val="006D0AB2"/>
    <w:rsid w:val="006D0ADC"/>
    <w:rsid w:val="006D0B1A"/>
    <w:rsid w:val="006D0CAB"/>
    <w:rsid w:val="006D0CE1"/>
    <w:rsid w:val="006D0DB8"/>
    <w:rsid w:val="006D0DDA"/>
    <w:rsid w:val="006D0E02"/>
    <w:rsid w:val="006D0E10"/>
    <w:rsid w:val="006D0F1E"/>
    <w:rsid w:val="006D0F26"/>
    <w:rsid w:val="006D0F42"/>
    <w:rsid w:val="006D0FDF"/>
    <w:rsid w:val="006D1047"/>
    <w:rsid w:val="006D1054"/>
    <w:rsid w:val="006D1091"/>
    <w:rsid w:val="006D1199"/>
    <w:rsid w:val="006D1461"/>
    <w:rsid w:val="006D15F2"/>
    <w:rsid w:val="006D16DB"/>
    <w:rsid w:val="006D1749"/>
    <w:rsid w:val="006D185E"/>
    <w:rsid w:val="006D193F"/>
    <w:rsid w:val="006D1985"/>
    <w:rsid w:val="006D1B75"/>
    <w:rsid w:val="006D1BC8"/>
    <w:rsid w:val="006D1E5D"/>
    <w:rsid w:val="006D2011"/>
    <w:rsid w:val="006D20F2"/>
    <w:rsid w:val="006D20F6"/>
    <w:rsid w:val="006D21B1"/>
    <w:rsid w:val="006D22A1"/>
    <w:rsid w:val="006D23C0"/>
    <w:rsid w:val="006D2469"/>
    <w:rsid w:val="006D2567"/>
    <w:rsid w:val="006D26CE"/>
    <w:rsid w:val="006D26EC"/>
    <w:rsid w:val="006D2755"/>
    <w:rsid w:val="006D28B3"/>
    <w:rsid w:val="006D296B"/>
    <w:rsid w:val="006D2AE5"/>
    <w:rsid w:val="006D2C02"/>
    <w:rsid w:val="006D2C84"/>
    <w:rsid w:val="006D2D88"/>
    <w:rsid w:val="006D2FA5"/>
    <w:rsid w:val="006D2FA7"/>
    <w:rsid w:val="006D2FAF"/>
    <w:rsid w:val="006D2FD7"/>
    <w:rsid w:val="006D2FDA"/>
    <w:rsid w:val="006D3010"/>
    <w:rsid w:val="006D306E"/>
    <w:rsid w:val="006D316A"/>
    <w:rsid w:val="006D317D"/>
    <w:rsid w:val="006D319D"/>
    <w:rsid w:val="006D31FC"/>
    <w:rsid w:val="006D3283"/>
    <w:rsid w:val="006D32A6"/>
    <w:rsid w:val="006D3304"/>
    <w:rsid w:val="006D3334"/>
    <w:rsid w:val="006D335F"/>
    <w:rsid w:val="006D3362"/>
    <w:rsid w:val="006D3571"/>
    <w:rsid w:val="006D3609"/>
    <w:rsid w:val="006D361A"/>
    <w:rsid w:val="006D3626"/>
    <w:rsid w:val="006D370C"/>
    <w:rsid w:val="006D373C"/>
    <w:rsid w:val="006D3887"/>
    <w:rsid w:val="006D39B4"/>
    <w:rsid w:val="006D3A3F"/>
    <w:rsid w:val="006D3BD2"/>
    <w:rsid w:val="006D3BE1"/>
    <w:rsid w:val="006D3BEE"/>
    <w:rsid w:val="006D3CF5"/>
    <w:rsid w:val="006D3D2A"/>
    <w:rsid w:val="006D3D9F"/>
    <w:rsid w:val="006D3DAA"/>
    <w:rsid w:val="006D3DDF"/>
    <w:rsid w:val="006D3E1C"/>
    <w:rsid w:val="006D3EB6"/>
    <w:rsid w:val="006D3F44"/>
    <w:rsid w:val="006D40C8"/>
    <w:rsid w:val="006D4151"/>
    <w:rsid w:val="006D4189"/>
    <w:rsid w:val="006D4243"/>
    <w:rsid w:val="006D426F"/>
    <w:rsid w:val="006D4309"/>
    <w:rsid w:val="006D43A6"/>
    <w:rsid w:val="006D43EE"/>
    <w:rsid w:val="006D43F2"/>
    <w:rsid w:val="006D440E"/>
    <w:rsid w:val="006D4540"/>
    <w:rsid w:val="006D4580"/>
    <w:rsid w:val="006D47BC"/>
    <w:rsid w:val="006D4B13"/>
    <w:rsid w:val="006D4B15"/>
    <w:rsid w:val="006D4B9F"/>
    <w:rsid w:val="006D4BDF"/>
    <w:rsid w:val="006D4CD4"/>
    <w:rsid w:val="006D4CFC"/>
    <w:rsid w:val="006D4D79"/>
    <w:rsid w:val="006D4D89"/>
    <w:rsid w:val="006D4DDE"/>
    <w:rsid w:val="006D5014"/>
    <w:rsid w:val="006D516E"/>
    <w:rsid w:val="006D51AD"/>
    <w:rsid w:val="006D51F3"/>
    <w:rsid w:val="006D51F7"/>
    <w:rsid w:val="006D520B"/>
    <w:rsid w:val="006D5214"/>
    <w:rsid w:val="006D52A0"/>
    <w:rsid w:val="006D52E8"/>
    <w:rsid w:val="006D5319"/>
    <w:rsid w:val="006D533B"/>
    <w:rsid w:val="006D5457"/>
    <w:rsid w:val="006D5480"/>
    <w:rsid w:val="006D5567"/>
    <w:rsid w:val="006D5629"/>
    <w:rsid w:val="006D5682"/>
    <w:rsid w:val="006D57E6"/>
    <w:rsid w:val="006D57E7"/>
    <w:rsid w:val="006D57FD"/>
    <w:rsid w:val="006D58FB"/>
    <w:rsid w:val="006D5918"/>
    <w:rsid w:val="006D5C18"/>
    <w:rsid w:val="006D5C1B"/>
    <w:rsid w:val="006D5C7C"/>
    <w:rsid w:val="006D5D90"/>
    <w:rsid w:val="006D5DD1"/>
    <w:rsid w:val="006D5E2E"/>
    <w:rsid w:val="006D5E38"/>
    <w:rsid w:val="006D5F3F"/>
    <w:rsid w:val="006D601D"/>
    <w:rsid w:val="006D60FD"/>
    <w:rsid w:val="006D62E6"/>
    <w:rsid w:val="006D637D"/>
    <w:rsid w:val="006D654B"/>
    <w:rsid w:val="006D6569"/>
    <w:rsid w:val="006D65D3"/>
    <w:rsid w:val="006D662F"/>
    <w:rsid w:val="006D6750"/>
    <w:rsid w:val="006D6771"/>
    <w:rsid w:val="006D67C8"/>
    <w:rsid w:val="006D68CF"/>
    <w:rsid w:val="006D6B96"/>
    <w:rsid w:val="006D6C30"/>
    <w:rsid w:val="006D6C3D"/>
    <w:rsid w:val="006D6DB7"/>
    <w:rsid w:val="006D6F73"/>
    <w:rsid w:val="006D6FC7"/>
    <w:rsid w:val="006D723F"/>
    <w:rsid w:val="006D731F"/>
    <w:rsid w:val="006D7362"/>
    <w:rsid w:val="006D737D"/>
    <w:rsid w:val="006D740A"/>
    <w:rsid w:val="006D74E5"/>
    <w:rsid w:val="006D7527"/>
    <w:rsid w:val="006D76DD"/>
    <w:rsid w:val="006D76EF"/>
    <w:rsid w:val="006D77AC"/>
    <w:rsid w:val="006D77E7"/>
    <w:rsid w:val="006D7A63"/>
    <w:rsid w:val="006D7AD7"/>
    <w:rsid w:val="006D7BAF"/>
    <w:rsid w:val="006D7BD9"/>
    <w:rsid w:val="006D7CB7"/>
    <w:rsid w:val="006D7CFC"/>
    <w:rsid w:val="006D7E73"/>
    <w:rsid w:val="006D7F41"/>
    <w:rsid w:val="006D7FC4"/>
    <w:rsid w:val="006E004C"/>
    <w:rsid w:val="006E0225"/>
    <w:rsid w:val="006E0293"/>
    <w:rsid w:val="006E02D5"/>
    <w:rsid w:val="006E030C"/>
    <w:rsid w:val="006E0555"/>
    <w:rsid w:val="006E0573"/>
    <w:rsid w:val="006E062F"/>
    <w:rsid w:val="006E071D"/>
    <w:rsid w:val="006E0799"/>
    <w:rsid w:val="006E07A2"/>
    <w:rsid w:val="006E088D"/>
    <w:rsid w:val="006E0A36"/>
    <w:rsid w:val="006E0A5B"/>
    <w:rsid w:val="006E0B34"/>
    <w:rsid w:val="006E0CB1"/>
    <w:rsid w:val="006E0D03"/>
    <w:rsid w:val="006E0D07"/>
    <w:rsid w:val="006E0DE8"/>
    <w:rsid w:val="006E0DEC"/>
    <w:rsid w:val="006E0E14"/>
    <w:rsid w:val="006E0FD6"/>
    <w:rsid w:val="006E0FDF"/>
    <w:rsid w:val="006E10B1"/>
    <w:rsid w:val="006E13C7"/>
    <w:rsid w:val="006E13DA"/>
    <w:rsid w:val="006E14CB"/>
    <w:rsid w:val="006E15C3"/>
    <w:rsid w:val="006E15CB"/>
    <w:rsid w:val="006E1667"/>
    <w:rsid w:val="006E16B7"/>
    <w:rsid w:val="006E16ED"/>
    <w:rsid w:val="006E1804"/>
    <w:rsid w:val="006E18F3"/>
    <w:rsid w:val="006E1A28"/>
    <w:rsid w:val="006E1A88"/>
    <w:rsid w:val="006E1A9A"/>
    <w:rsid w:val="006E1AE2"/>
    <w:rsid w:val="006E1BAC"/>
    <w:rsid w:val="006E1DBC"/>
    <w:rsid w:val="006E1FA7"/>
    <w:rsid w:val="006E2313"/>
    <w:rsid w:val="006E23C2"/>
    <w:rsid w:val="006E2547"/>
    <w:rsid w:val="006E259D"/>
    <w:rsid w:val="006E264F"/>
    <w:rsid w:val="006E2664"/>
    <w:rsid w:val="006E2707"/>
    <w:rsid w:val="006E2747"/>
    <w:rsid w:val="006E27DE"/>
    <w:rsid w:val="006E2822"/>
    <w:rsid w:val="006E2859"/>
    <w:rsid w:val="006E28A6"/>
    <w:rsid w:val="006E28FB"/>
    <w:rsid w:val="006E2B5B"/>
    <w:rsid w:val="006E2C8B"/>
    <w:rsid w:val="006E2C8D"/>
    <w:rsid w:val="006E2D33"/>
    <w:rsid w:val="006E2D8A"/>
    <w:rsid w:val="006E2FAC"/>
    <w:rsid w:val="006E2FF2"/>
    <w:rsid w:val="006E30A4"/>
    <w:rsid w:val="006E30CE"/>
    <w:rsid w:val="006E30DC"/>
    <w:rsid w:val="006E31D0"/>
    <w:rsid w:val="006E3223"/>
    <w:rsid w:val="006E32CB"/>
    <w:rsid w:val="006E32E1"/>
    <w:rsid w:val="006E3354"/>
    <w:rsid w:val="006E3591"/>
    <w:rsid w:val="006E37B9"/>
    <w:rsid w:val="006E387C"/>
    <w:rsid w:val="006E398F"/>
    <w:rsid w:val="006E39CF"/>
    <w:rsid w:val="006E39DC"/>
    <w:rsid w:val="006E3AEF"/>
    <w:rsid w:val="006E3B3D"/>
    <w:rsid w:val="006E3BAB"/>
    <w:rsid w:val="006E3C85"/>
    <w:rsid w:val="006E3D14"/>
    <w:rsid w:val="006E3D53"/>
    <w:rsid w:val="006E3D68"/>
    <w:rsid w:val="006E3D80"/>
    <w:rsid w:val="006E3DBF"/>
    <w:rsid w:val="006E3E0C"/>
    <w:rsid w:val="006E3E0D"/>
    <w:rsid w:val="006E3F73"/>
    <w:rsid w:val="006E3F9D"/>
    <w:rsid w:val="006E3FB2"/>
    <w:rsid w:val="006E3FB4"/>
    <w:rsid w:val="006E3FE6"/>
    <w:rsid w:val="006E4038"/>
    <w:rsid w:val="006E40A5"/>
    <w:rsid w:val="006E41D4"/>
    <w:rsid w:val="006E41F3"/>
    <w:rsid w:val="006E425E"/>
    <w:rsid w:val="006E428F"/>
    <w:rsid w:val="006E45F7"/>
    <w:rsid w:val="006E4712"/>
    <w:rsid w:val="006E47AD"/>
    <w:rsid w:val="006E4826"/>
    <w:rsid w:val="006E491D"/>
    <w:rsid w:val="006E4A10"/>
    <w:rsid w:val="006E4C0A"/>
    <w:rsid w:val="006E4C1D"/>
    <w:rsid w:val="006E4CEE"/>
    <w:rsid w:val="006E4D6D"/>
    <w:rsid w:val="006E4EA2"/>
    <w:rsid w:val="006E4EEA"/>
    <w:rsid w:val="006E4F85"/>
    <w:rsid w:val="006E50EF"/>
    <w:rsid w:val="006E523B"/>
    <w:rsid w:val="006E5296"/>
    <w:rsid w:val="006E5298"/>
    <w:rsid w:val="006E5308"/>
    <w:rsid w:val="006E5333"/>
    <w:rsid w:val="006E53AB"/>
    <w:rsid w:val="006E5415"/>
    <w:rsid w:val="006E5525"/>
    <w:rsid w:val="006E5562"/>
    <w:rsid w:val="006E55F3"/>
    <w:rsid w:val="006E573E"/>
    <w:rsid w:val="006E5800"/>
    <w:rsid w:val="006E5AEF"/>
    <w:rsid w:val="006E5B91"/>
    <w:rsid w:val="006E5BF2"/>
    <w:rsid w:val="006E5C48"/>
    <w:rsid w:val="006E5D79"/>
    <w:rsid w:val="006E5EAA"/>
    <w:rsid w:val="006E5FD5"/>
    <w:rsid w:val="006E5FE3"/>
    <w:rsid w:val="006E601A"/>
    <w:rsid w:val="006E6119"/>
    <w:rsid w:val="006E61CB"/>
    <w:rsid w:val="006E625F"/>
    <w:rsid w:val="006E6305"/>
    <w:rsid w:val="006E63D8"/>
    <w:rsid w:val="006E641D"/>
    <w:rsid w:val="006E6449"/>
    <w:rsid w:val="006E65A2"/>
    <w:rsid w:val="006E65E0"/>
    <w:rsid w:val="006E6638"/>
    <w:rsid w:val="006E66B0"/>
    <w:rsid w:val="006E6786"/>
    <w:rsid w:val="006E6791"/>
    <w:rsid w:val="006E69BA"/>
    <w:rsid w:val="006E6ACB"/>
    <w:rsid w:val="006E6B96"/>
    <w:rsid w:val="006E6BE1"/>
    <w:rsid w:val="006E6CDF"/>
    <w:rsid w:val="006E6D6C"/>
    <w:rsid w:val="006E6E59"/>
    <w:rsid w:val="006E6F67"/>
    <w:rsid w:val="006E6F8C"/>
    <w:rsid w:val="006E6FC5"/>
    <w:rsid w:val="006E7021"/>
    <w:rsid w:val="006E70D0"/>
    <w:rsid w:val="006E7176"/>
    <w:rsid w:val="006E728F"/>
    <w:rsid w:val="006E745D"/>
    <w:rsid w:val="006E7515"/>
    <w:rsid w:val="006E751B"/>
    <w:rsid w:val="006E75C3"/>
    <w:rsid w:val="006E7690"/>
    <w:rsid w:val="006E76BF"/>
    <w:rsid w:val="006E76CD"/>
    <w:rsid w:val="006E76E2"/>
    <w:rsid w:val="006E7703"/>
    <w:rsid w:val="006E787B"/>
    <w:rsid w:val="006E7985"/>
    <w:rsid w:val="006E79ED"/>
    <w:rsid w:val="006E7BDB"/>
    <w:rsid w:val="006F0047"/>
    <w:rsid w:val="006F006D"/>
    <w:rsid w:val="006F0088"/>
    <w:rsid w:val="006F0091"/>
    <w:rsid w:val="006F010B"/>
    <w:rsid w:val="006F015C"/>
    <w:rsid w:val="006F01A7"/>
    <w:rsid w:val="006F0331"/>
    <w:rsid w:val="006F0335"/>
    <w:rsid w:val="006F044A"/>
    <w:rsid w:val="006F0479"/>
    <w:rsid w:val="006F04AE"/>
    <w:rsid w:val="006F0575"/>
    <w:rsid w:val="006F0626"/>
    <w:rsid w:val="006F0628"/>
    <w:rsid w:val="006F093F"/>
    <w:rsid w:val="006F099C"/>
    <w:rsid w:val="006F0B31"/>
    <w:rsid w:val="006F0B5B"/>
    <w:rsid w:val="006F0BA6"/>
    <w:rsid w:val="006F0BFF"/>
    <w:rsid w:val="006F0C52"/>
    <w:rsid w:val="006F0D4E"/>
    <w:rsid w:val="006F0E3D"/>
    <w:rsid w:val="006F0EB4"/>
    <w:rsid w:val="006F0F5C"/>
    <w:rsid w:val="006F0F80"/>
    <w:rsid w:val="006F0FCD"/>
    <w:rsid w:val="006F0FD7"/>
    <w:rsid w:val="006F1027"/>
    <w:rsid w:val="006F10BD"/>
    <w:rsid w:val="006F12E2"/>
    <w:rsid w:val="006F1389"/>
    <w:rsid w:val="006F1415"/>
    <w:rsid w:val="006F15B9"/>
    <w:rsid w:val="006F1626"/>
    <w:rsid w:val="006F17E7"/>
    <w:rsid w:val="006F193C"/>
    <w:rsid w:val="006F1979"/>
    <w:rsid w:val="006F1A05"/>
    <w:rsid w:val="006F1A2B"/>
    <w:rsid w:val="006F1A2F"/>
    <w:rsid w:val="006F1BF6"/>
    <w:rsid w:val="006F1C49"/>
    <w:rsid w:val="006F1C4A"/>
    <w:rsid w:val="006F1C65"/>
    <w:rsid w:val="006F1F94"/>
    <w:rsid w:val="006F20FA"/>
    <w:rsid w:val="006F2127"/>
    <w:rsid w:val="006F2180"/>
    <w:rsid w:val="006F21FC"/>
    <w:rsid w:val="006F222C"/>
    <w:rsid w:val="006F23A9"/>
    <w:rsid w:val="006F23F8"/>
    <w:rsid w:val="006F2445"/>
    <w:rsid w:val="006F2448"/>
    <w:rsid w:val="006F2491"/>
    <w:rsid w:val="006F24E5"/>
    <w:rsid w:val="006F270C"/>
    <w:rsid w:val="006F2717"/>
    <w:rsid w:val="006F27E2"/>
    <w:rsid w:val="006F2814"/>
    <w:rsid w:val="006F285F"/>
    <w:rsid w:val="006F290E"/>
    <w:rsid w:val="006F299D"/>
    <w:rsid w:val="006F2A67"/>
    <w:rsid w:val="006F2B7B"/>
    <w:rsid w:val="006F2BFB"/>
    <w:rsid w:val="006F2CCC"/>
    <w:rsid w:val="006F2D3F"/>
    <w:rsid w:val="006F2D9D"/>
    <w:rsid w:val="006F2EBE"/>
    <w:rsid w:val="006F2F6C"/>
    <w:rsid w:val="006F303B"/>
    <w:rsid w:val="006F30F5"/>
    <w:rsid w:val="006F3134"/>
    <w:rsid w:val="006F3138"/>
    <w:rsid w:val="006F3382"/>
    <w:rsid w:val="006F33EE"/>
    <w:rsid w:val="006F34EB"/>
    <w:rsid w:val="006F359C"/>
    <w:rsid w:val="006F35A9"/>
    <w:rsid w:val="006F3733"/>
    <w:rsid w:val="006F3745"/>
    <w:rsid w:val="006F3766"/>
    <w:rsid w:val="006F39BA"/>
    <w:rsid w:val="006F3ABB"/>
    <w:rsid w:val="006F3AFB"/>
    <w:rsid w:val="006F3B5C"/>
    <w:rsid w:val="006F3C26"/>
    <w:rsid w:val="006F3C75"/>
    <w:rsid w:val="006F3CF0"/>
    <w:rsid w:val="006F3DD7"/>
    <w:rsid w:val="006F3EEA"/>
    <w:rsid w:val="006F3F85"/>
    <w:rsid w:val="006F41B3"/>
    <w:rsid w:val="006F4270"/>
    <w:rsid w:val="006F4303"/>
    <w:rsid w:val="006F438A"/>
    <w:rsid w:val="006F43D9"/>
    <w:rsid w:val="006F450D"/>
    <w:rsid w:val="006F452F"/>
    <w:rsid w:val="006F457A"/>
    <w:rsid w:val="006F4582"/>
    <w:rsid w:val="006F4597"/>
    <w:rsid w:val="006F4636"/>
    <w:rsid w:val="006F46B0"/>
    <w:rsid w:val="006F47FD"/>
    <w:rsid w:val="006F49B8"/>
    <w:rsid w:val="006F49BA"/>
    <w:rsid w:val="006F4C20"/>
    <w:rsid w:val="006F4C4B"/>
    <w:rsid w:val="006F4C9C"/>
    <w:rsid w:val="006F4C9D"/>
    <w:rsid w:val="006F4D55"/>
    <w:rsid w:val="006F4EE9"/>
    <w:rsid w:val="006F4EFB"/>
    <w:rsid w:val="006F4F34"/>
    <w:rsid w:val="006F4FB3"/>
    <w:rsid w:val="006F4FF0"/>
    <w:rsid w:val="006F501C"/>
    <w:rsid w:val="006F5210"/>
    <w:rsid w:val="006F524E"/>
    <w:rsid w:val="006F5296"/>
    <w:rsid w:val="006F5376"/>
    <w:rsid w:val="006F53AA"/>
    <w:rsid w:val="006F53ED"/>
    <w:rsid w:val="006F546B"/>
    <w:rsid w:val="006F5517"/>
    <w:rsid w:val="006F55D9"/>
    <w:rsid w:val="006F5649"/>
    <w:rsid w:val="006F5720"/>
    <w:rsid w:val="006F57EC"/>
    <w:rsid w:val="006F58EC"/>
    <w:rsid w:val="006F58FC"/>
    <w:rsid w:val="006F599E"/>
    <w:rsid w:val="006F59A7"/>
    <w:rsid w:val="006F59A9"/>
    <w:rsid w:val="006F59DA"/>
    <w:rsid w:val="006F5AC7"/>
    <w:rsid w:val="006F5AF8"/>
    <w:rsid w:val="006F5B88"/>
    <w:rsid w:val="006F5C1F"/>
    <w:rsid w:val="006F5D5F"/>
    <w:rsid w:val="006F5F35"/>
    <w:rsid w:val="006F5F97"/>
    <w:rsid w:val="006F60E0"/>
    <w:rsid w:val="006F6145"/>
    <w:rsid w:val="006F6156"/>
    <w:rsid w:val="006F625F"/>
    <w:rsid w:val="006F62CD"/>
    <w:rsid w:val="006F6404"/>
    <w:rsid w:val="006F640B"/>
    <w:rsid w:val="006F648F"/>
    <w:rsid w:val="006F654D"/>
    <w:rsid w:val="006F6708"/>
    <w:rsid w:val="006F67B3"/>
    <w:rsid w:val="006F68F1"/>
    <w:rsid w:val="006F692D"/>
    <w:rsid w:val="006F694C"/>
    <w:rsid w:val="006F69C1"/>
    <w:rsid w:val="006F6ADC"/>
    <w:rsid w:val="006F6B26"/>
    <w:rsid w:val="006F6C75"/>
    <w:rsid w:val="006F6C8C"/>
    <w:rsid w:val="006F6CBD"/>
    <w:rsid w:val="006F6DB2"/>
    <w:rsid w:val="006F6E06"/>
    <w:rsid w:val="006F7087"/>
    <w:rsid w:val="006F70EB"/>
    <w:rsid w:val="006F712F"/>
    <w:rsid w:val="006F71E2"/>
    <w:rsid w:val="006F7211"/>
    <w:rsid w:val="006F72BA"/>
    <w:rsid w:val="006F73E8"/>
    <w:rsid w:val="006F7445"/>
    <w:rsid w:val="006F75AA"/>
    <w:rsid w:val="006F75F7"/>
    <w:rsid w:val="006F75FD"/>
    <w:rsid w:val="006F789D"/>
    <w:rsid w:val="006F7A0B"/>
    <w:rsid w:val="006F7CA5"/>
    <w:rsid w:val="006F7CE3"/>
    <w:rsid w:val="006F7D02"/>
    <w:rsid w:val="006F7E4A"/>
    <w:rsid w:val="006F7EA3"/>
    <w:rsid w:val="006F7FA3"/>
    <w:rsid w:val="00700124"/>
    <w:rsid w:val="007001A3"/>
    <w:rsid w:val="007001DB"/>
    <w:rsid w:val="00700253"/>
    <w:rsid w:val="007002DE"/>
    <w:rsid w:val="0070042A"/>
    <w:rsid w:val="00700524"/>
    <w:rsid w:val="007006D4"/>
    <w:rsid w:val="00700702"/>
    <w:rsid w:val="00700732"/>
    <w:rsid w:val="00700790"/>
    <w:rsid w:val="00700992"/>
    <w:rsid w:val="007009AB"/>
    <w:rsid w:val="00700A1F"/>
    <w:rsid w:val="00700A50"/>
    <w:rsid w:val="00700A63"/>
    <w:rsid w:val="00700B5F"/>
    <w:rsid w:val="00700BD8"/>
    <w:rsid w:val="00700BE0"/>
    <w:rsid w:val="00700C80"/>
    <w:rsid w:val="00700D68"/>
    <w:rsid w:val="00700DB6"/>
    <w:rsid w:val="00700E64"/>
    <w:rsid w:val="00700E78"/>
    <w:rsid w:val="00700EA4"/>
    <w:rsid w:val="00700EC9"/>
    <w:rsid w:val="00700FAC"/>
    <w:rsid w:val="00701050"/>
    <w:rsid w:val="007010E6"/>
    <w:rsid w:val="0070110F"/>
    <w:rsid w:val="0070118C"/>
    <w:rsid w:val="00701382"/>
    <w:rsid w:val="0070146B"/>
    <w:rsid w:val="00701474"/>
    <w:rsid w:val="007014C1"/>
    <w:rsid w:val="007014CE"/>
    <w:rsid w:val="00701532"/>
    <w:rsid w:val="00701554"/>
    <w:rsid w:val="00701573"/>
    <w:rsid w:val="00701574"/>
    <w:rsid w:val="007017CB"/>
    <w:rsid w:val="007017F1"/>
    <w:rsid w:val="0070189C"/>
    <w:rsid w:val="007018AD"/>
    <w:rsid w:val="0070192F"/>
    <w:rsid w:val="00701A08"/>
    <w:rsid w:val="00701B1F"/>
    <w:rsid w:val="00701B9F"/>
    <w:rsid w:val="00701BCA"/>
    <w:rsid w:val="00701C08"/>
    <w:rsid w:val="00701C71"/>
    <w:rsid w:val="00701D56"/>
    <w:rsid w:val="00701D68"/>
    <w:rsid w:val="00701D7A"/>
    <w:rsid w:val="00701D82"/>
    <w:rsid w:val="00701E13"/>
    <w:rsid w:val="00701E56"/>
    <w:rsid w:val="00701E5A"/>
    <w:rsid w:val="00701F24"/>
    <w:rsid w:val="0070204F"/>
    <w:rsid w:val="007020A3"/>
    <w:rsid w:val="00702114"/>
    <w:rsid w:val="0070218C"/>
    <w:rsid w:val="007021F1"/>
    <w:rsid w:val="0070244C"/>
    <w:rsid w:val="007024E5"/>
    <w:rsid w:val="00702508"/>
    <w:rsid w:val="0070267B"/>
    <w:rsid w:val="00702707"/>
    <w:rsid w:val="007027D1"/>
    <w:rsid w:val="007027D4"/>
    <w:rsid w:val="007027FD"/>
    <w:rsid w:val="0070284A"/>
    <w:rsid w:val="00702851"/>
    <w:rsid w:val="00702875"/>
    <w:rsid w:val="00702B17"/>
    <w:rsid w:val="00702B90"/>
    <w:rsid w:val="00702C27"/>
    <w:rsid w:val="00702C9F"/>
    <w:rsid w:val="00702CDA"/>
    <w:rsid w:val="00702DBE"/>
    <w:rsid w:val="00702DD0"/>
    <w:rsid w:val="00702DE0"/>
    <w:rsid w:val="00702F58"/>
    <w:rsid w:val="00702FCD"/>
    <w:rsid w:val="00703044"/>
    <w:rsid w:val="00703215"/>
    <w:rsid w:val="0070323E"/>
    <w:rsid w:val="0070329C"/>
    <w:rsid w:val="007032D2"/>
    <w:rsid w:val="007032F1"/>
    <w:rsid w:val="007033BB"/>
    <w:rsid w:val="0070344A"/>
    <w:rsid w:val="007034CB"/>
    <w:rsid w:val="0070367F"/>
    <w:rsid w:val="007036FA"/>
    <w:rsid w:val="0070391A"/>
    <w:rsid w:val="00703934"/>
    <w:rsid w:val="00703A08"/>
    <w:rsid w:val="00703A83"/>
    <w:rsid w:val="00703AB2"/>
    <w:rsid w:val="00703AD6"/>
    <w:rsid w:val="00703B06"/>
    <w:rsid w:val="00703DE3"/>
    <w:rsid w:val="00703DF4"/>
    <w:rsid w:val="00703E20"/>
    <w:rsid w:val="00703EB4"/>
    <w:rsid w:val="00703EFE"/>
    <w:rsid w:val="00704196"/>
    <w:rsid w:val="007041B3"/>
    <w:rsid w:val="00704245"/>
    <w:rsid w:val="007042C4"/>
    <w:rsid w:val="007042CB"/>
    <w:rsid w:val="00704331"/>
    <w:rsid w:val="00704433"/>
    <w:rsid w:val="007044AD"/>
    <w:rsid w:val="007044BF"/>
    <w:rsid w:val="0070466A"/>
    <w:rsid w:val="00704672"/>
    <w:rsid w:val="00704718"/>
    <w:rsid w:val="00704723"/>
    <w:rsid w:val="00704795"/>
    <w:rsid w:val="007047FF"/>
    <w:rsid w:val="00704AFF"/>
    <w:rsid w:val="00704C11"/>
    <w:rsid w:val="00704C1C"/>
    <w:rsid w:val="00704C35"/>
    <w:rsid w:val="00704C6A"/>
    <w:rsid w:val="00704C7B"/>
    <w:rsid w:val="00704CAF"/>
    <w:rsid w:val="00704CC9"/>
    <w:rsid w:val="00704EC9"/>
    <w:rsid w:val="00704F73"/>
    <w:rsid w:val="00705010"/>
    <w:rsid w:val="00705112"/>
    <w:rsid w:val="00705127"/>
    <w:rsid w:val="007051CC"/>
    <w:rsid w:val="00705216"/>
    <w:rsid w:val="00705249"/>
    <w:rsid w:val="007052AF"/>
    <w:rsid w:val="007052C4"/>
    <w:rsid w:val="007052EE"/>
    <w:rsid w:val="00705324"/>
    <w:rsid w:val="007053E1"/>
    <w:rsid w:val="00705415"/>
    <w:rsid w:val="007055D5"/>
    <w:rsid w:val="00705603"/>
    <w:rsid w:val="007056E0"/>
    <w:rsid w:val="00705829"/>
    <w:rsid w:val="007059DF"/>
    <w:rsid w:val="007059F8"/>
    <w:rsid w:val="00705AC9"/>
    <w:rsid w:val="00705AF8"/>
    <w:rsid w:val="00705B5A"/>
    <w:rsid w:val="00705BB9"/>
    <w:rsid w:val="00705BFE"/>
    <w:rsid w:val="00705D83"/>
    <w:rsid w:val="00705DF2"/>
    <w:rsid w:val="00705E27"/>
    <w:rsid w:val="00705E71"/>
    <w:rsid w:val="00705EA3"/>
    <w:rsid w:val="00705EF6"/>
    <w:rsid w:val="00706082"/>
    <w:rsid w:val="007060F0"/>
    <w:rsid w:val="0070619A"/>
    <w:rsid w:val="007061AF"/>
    <w:rsid w:val="007061FC"/>
    <w:rsid w:val="0070626D"/>
    <w:rsid w:val="00706288"/>
    <w:rsid w:val="00706340"/>
    <w:rsid w:val="00706359"/>
    <w:rsid w:val="007063E0"/>
    <w:rsid w:val="007064C8"/>
    <w:rsid w:val="007064FA"/>
    <w:rsid w:val="0070653A"/>
    <w:rsid w:val="0070658D"/>
    <w:rsid w:val="007066AD"/>
    <w:rsid w:val="00706735"/>
    <w:rsid w:val="0070683A"/>
    <w:rsid w:val="00706A53"/>
    <w:rsid w:val="00706A58"/>
    <w:rsid w:val="00706AC0"/>
    <w:rsid w:val="00706B5D"/>
    <w:rsid w:val="00706BED"/>
    <w:rsid w:val="00706C59"/>
    <w:rsid w:val="00706C81"/>
    <w:rsid w:val="00706D04"/>
    <w:rsid w:val="00706D37"/>
    <w:rsid w:val="00706DD2"/>
    <w:rsid w:val="00706DE9"/>
    <w:rsid w:val="00706E5F"/>
    <w:rsid w:val="00706ED5"/>
    <w:rsid w:val="00706F12"/>
    <w:rsid w:val="00706F78"/>
    <w:rsid w:val="00707073"/>
    <w:rsid w:val="00707097"/>
    <w:rsid w:val="007071A8"/>
    <w:rsid w:val="007071AD"/>
    <w:rsid w:val="00707266"/>
    <w:rsid w:val="007072A4"/>
    <w:rsid w:val="007072EE"/>
    <w:rsid w:val="0070739B"/>
    <w:rsid w:val="007073CF"/>
    <w:rsid w:val="00707514"/>
    <w:rsid w:val="007075C4"/>
    <w:rsid w:val="007077C3"/>
    <w:rsid w:val="007078A8"/>
    <w:rsid w:val="0070794A"/>
    <w:rsid w:val="00707A0E"/>
    <w:rsid w:val="00707A22"/>
    <w:rsid w:val="00707A6E"/>
    <w:rsid w:val="00707AB4"/>
    <w:rsid w:val="00707B57"/>
    <w:rsid w:val="00707B93"/>
    <w:rsid w:val="00707C2D"/>
    <w:rsid w:val="00707CE2"/>
    <w:rsid w:val="00707D9F"/>
    <w:rsid w:val="00707E1B"/>
    <w:rsid w:val="00707E64"/>
    <w:rsid w:val="00710029"/>
    <w:rsid w:val="0071009D"/>
    <w:rsid w:val="007100CD"/>
    <w:rsid w:val="007101F7"/>
    <w:rsid w:val="00710303"/>
    <w:rsid w:val="0071038C"/>
    <w:rsid w:val="00710520"/>
    <w:rsid w:val="0071052D"/>
    <w:rsid w:val="00710564"/>
    <w:rsid w:val="00710677"/>
    <w:rsid w:val="00710739"/>
    <w:rsid w:val="007108AD"/>
    <w:rsid w:val="00710928"/>
    <w:rsid w:val="00710A6C"/>
    <w:rsid w:val="00710B9C"/>
    <w:rsid w:val="00710C7F"/>
    <w:rsid w:val="00710E00"/>
    <w:rsid w:val="00710E99"/>
    <w:rsid w:val="00710EE5"/>
    <w:rsid w:val="00710FD2"/>
    <w:rsid w:val="00711009"/>
    <w:rsid w:val="0071107C"/>
    <w:rsid w:val="007111CF"/>
    <w:rsid w:val="00711368"/>
    <w:rsid w:val="00711370"/>
    <w:rsid w:val="0071140C"/>
    <w:rsid w:val="007114AA"/>
    <w:rsid w:val="007114C1"/>
    <w:rsid w:val="00711579"/>
    <w:rsid w:val="007115A6"/>
    <w:rsid w:val="0071162C"/>
    <w:rsid w:val="007116DD"/>
    <w:rsid w:val="0071171A"/>
    <w:rsid w:val="0071176D"/>
    <w:rsid w:val="00711795"/>
    <w:rsid w:val="00711833"/>
    <w:rsid w:val="00711923"/>
    <w:rsid w:val="007119A3"/>
    <w:rsid w:val="007119FC"/>
    <w:rsid w:val="00711A68"/>
    <w:rsid w:val="00711A73"/>
    <w:rsid w:val="00711AC4"/>
    <w:rsid w:val="00711CC1"/>
    <w:rsid w:val="00712140"/>
    <w:rsid w:val="00712145"/>
    <w:rsid w:val="0071222C"/>
    <w:rsid w:val="00712330"/>
    <w:rsid w:val="00712334"/>
    <w:rsid w:val="00712339"/>
    <w:rsid w:val="007123AB"/>
    <w:rsid w:val="007123E2"/>
    <w:rsid w:val="0071249E"/>
    <w:rsid w:val="00712548"/>
    <w:rsid w:val="007125DB"/>
    <w:rsid w:val="007125E7"/>
    <w:rsid w:val="007126DB"/>
    <w:rsid w:val="00712873"/>
    <w:rsid w:val="0071291C"/>
    <w:rsid w:val="0071291D"/>
    <w:rsid w:val="00712A60"/>
    <w:rsid w:val="00712A72"/>
    <w:rsid w:val="00712A9C"/>
    <w:rsid w:val="00712AF2"/>
    <w:rsid w:val="00712B50"/>
    <w:rsid w:val="00712C18"/>
    <w:rsid w:val="00712C7C"/>
    <w:rsid w:val="00712E1E"/>
    <w:rsid w:val="00712E5E"/>
    <w:rsid w:val="00712EE9"/>
    <w:rsid w:val="00712F41"/>
    <w:rsid w:val="00712FA2"/>
    <w:rsid w:val="0071302B"/>
    <w:rsid w:val="0071303A"/>
    <w:rsid w:val="007130A1"/>
    <w:rsid w:val="0071312C"/>
    <w:rsid w:val="00713175"/>
    <w:rsid w:val="0071329F"/>
    <w:rsid w:val="007132EB"/>
    <w:rsid w:val="0071349F"/>
    <w:rsid w:val="00713549"/>
    <w:rsid w:val="00713607"/>
    <w:rsid w:val="00713616"/>
    <w:rsid w:val="007136AF"/>
    <w:rsid w:val="007137BD"/>
    <w:rsid w:val="00713882"/>
    <w:rsid w:val="00713925"/>
    <w:rsid w:val="00713AB8"/>
    <w:rsid w:val="00713BBD"/>
    <w:rsid w:val="00713BDE"/>
    <w:rsid w:val="00713CEF"/>
    <w:rsid w:val="00713D37"/>
    <w:rsid w:val="00713D9F"/>
    <w:rsid w:val="00713E05"/>
    <w:rsid w:val="00713E7B"/>
    <w:rsid w:val="00713EEA"/>
    <w:rsid w:val="00713F26"/>
    <w:rsid w:val="00713FFB"/>
    <w:rsid w:val="0071402F"/>
    <w:rsid w:val="0071404E"/>
    <w:rsid w:val="00714173"/>
    <w:rsid w:val="007141D1"/>
    <w:rsid w:val="007144C9"/>
    <w:rsid w:val="00714574"/>
    <w:rsid w:val="007145E6"/>
    <w:rsid w:val="0071466E"/>
    <w:rsid w:val="0071488E"/>
    <w:rsid w:val="007148E8"/>
    <w:rsid w:val="0071490C"/>
    <w:rsid w:val="0071494A"/>
    <w:rsid w:val="007149A4"/>
    <w:rsid w:val="00714A0B"/>
    <w:rsid w:val="00714A26"/>
    <w:rsid w:val="00714A2E"/>
    <w:rsid w:val="00714A73"/>
    <w:rsid w:val="00714B01"/>
    <w:rsid w:val="00714CA4"/>
    <w:rsid w:val="00714D00"/>
    <w:rsid w:val="00714D46"/>
    <w:rsid w:val="00714D8E"/>
    <w:rsid w:val="00714E61"/>
    <w:rsid w:val="00714F2D"/>
    <w:rsid w:val="0071508B"/>
    <w:rsid w:val="007150BE"/>
    <w:rsid w:val="007150EA"/>
    <w:rsid w:val="007151AE"/>
    <w:rsid w:val="007151E3"/>
    <w:rsid w:val="007152C3"/>
    <w:rsid w:val="00715316"/>
    <w:rsid w:val="007153FD"/>
    <w:rsid w:val="007154BE"/>
    <w:rsid w:val="0071553C"/>
    <w:rsid w:val="00715635"/>
    <w:rsid w:val="007156B7"/>
    <w:rsid w:val="00715769"/>
    <w:rsid w:val="007157A9"/>
    <w:rsid w:val="007157DF"/>
    <w:rsid w:val="00715814"/>
    <w:rsid w:val="00715877"/>
    <w:rsid w:val="007158DF"/>
    <w:rsid w:val="00715940"/>
    <w:rsid w:val="00715997"/>
    <w:rsid w:val="0071599F"/>
    <w:rsid w:val="007159BA"/>
    <w:rsid w:val="007159F1"/>
    <w:rsid w:val="00715BDA"/>
    <w:rsid w:val="00715CC7"/>
    <w:rsid w:val="00715D03"/>
    <w:rsid w:val="00715EE1"/>
    <w:rsid w:val="00715F47"/>
    <w:rsid w:val="00716036"/>
    <w:rsid w:val="007160F7"/>
    <w:rsid w:val="00716281"/>
    <w:rsid w:val="007162B4"/>
    <w:rsid w:val="0071631F"/>
    <w:rsid w:val="0071633A"/>
    <w:rsid w:val="00716664"/>
    <w:rsid w:val="0071667A"/>
    <w:rsid w:val="007166DC"/>
    <w:rsid w:val="007166FE"/>
    <w:rsid w:val="00716793"/>
    <w:rsid w:val="007168C2"/>
    <w:rsid w:val="0071694B"/>
    <w:rsid w:val="00716A34"/>
    <w:rsid w:val="00716B51"/>
    <w:rsid w:val="00716B95"/>
    <w:rsid w:val="00716C0F"/>
    <w:rsid w:val="00716D2F"/>
    <w:rsid w:val="00716F98"/>
    <w:rsid w:val="00716FD4"/>
    <w:rsid w:val="00716FD6"/>
    <w:rsid w:val="0071714C"/>
    <w:rsid w:val="0071715A"/>
    <w:rsid w:val="007171CC"/>
    <w:rsid w:val="007171FD"/>
    <w:rsid w:val="007172E7"/>
    <w:rsid w:val="007173F7"/>
    <w:rsid w:val="007174B6"/>
    <w:rsid w:val="007174DC"/>
    <w:rsid w:val="007174E8"/>
    <w:rsid w:val="00717534"/>
    <w:rsid w:val="00717664"/>
    <w:rsid w:val="00717A3B"/>
    <w:rsid w:val="00717C1F"/>
    <w:rsid w:val="00717D37"/>
    <w:rsid w:val="00717D5A"/>
    <w:rsid w:val="00717DCE"/>
    <w:rsid w:val="00717EB4"/>
    <w:rsid w:val="00717EC2"/>
    <w:rsid w:val="00717FAB"/>
    <w:rsid w:val="00717FC7"/>
    <w:rsid w:val="00717FD2"/>
    <w:rsid w:val="00720089"/>
    <w:rsid w:val="007200E0"/>
    <w:rsid w:val="0072018F"/>
    <w:rsid w:val="0072028B"/>
    <w:rsid w:val="0072043D"/>
    <w:rsid w:val="0072048F"/>
    <w:rsid w:val="00720516"/>
    <w:rsid w:val="0072051D"/>
    <w:rsid w:val="0072052A"/>
    <w:rsid w:val="007205E9"/>
    <w:rsid w:val="007206BB"/>
    <w:rsid w:val="007206E7"/>
    <w:rsid w:val="0072071C"/>
    <w:rsid w:val="00720938"/>
    <w:rsid w:val="00720BC0"/>
    <w:rsid w:val="00720C04"/>
    <w:rsid w:val="00720C24"/>
    <w:rsid w:val="00720C29"/>
    <w:rsid w:val="00720C79"/>
    <w:rsid w:val="00720C9E"/>
    <w:rsid w:val="00720D64"/>
    <w:rsid w:val="00720DD2"/>
    <w:rsid w:val="00720DEE"/>
    <w:rsid w:val="00720E1F"/>
    <w:rsid w:val="00720E4A"/>
    <w:rsid w:val="00720E54"/>
    <w:rsid w:val="00720E9C"/>
    <w:rsid w:val="007211A7"/>
    <w:rsid w:val="00721208"/>
    <w:rsid w:val="00721258"/>
    <w:rsid w:val="00721301"/>
    <w:rsid w:val="00721722"/>
    <w:rsid w:val="00721AD8"/>
    <w:rsid w:val="00721BD5"/>
    <w:rsid w:val="00721D62"/>
    <w:rsid w:val="00721DDC"/>
    <w:rsid w:val="00721E41"/>
    <w:rsid w:val="00721EBE"/>
    <w:rsid w:val="00721EBF"/>
    <w:rsid w:val="00721F93"/>
    <w:rsid w:val="00721FDB"/>
    <w:rsid w:val="007220A7"/>
    <w:rsid w:val="007220DC"/>
    <w:rsid w:val="00722123"/>
    <w:rsid w:val="0072217E"/>
    <w:rsid w:val="007221D5"/>
    <w:rsid w:val="0072220E"/>
    <w:rsid w:val="007222B3"/>
    <w:rsid w:val="007223DF"/>
    <w:rsid w:val="00722431"/>
    <w:rsid w:val="0072245B"/>
    <w:rsid w:val="0072248F"/>
    <w:rsid w:val="0072251D"/>
    <w:rsid w:val="007225CA"/>
    <w:rsid w:val="007227E2"/>
    <w:rsid w:val="00722893"/>
    <w:rsid w:val="0072291C"/>
    <w:rsid w:val="00722926"/>
    <w:rsid w:val="0072297D"/>
    <w:rsid w:val="00722A3D"/>
    <w:rsid w:val="00722A81"/>
    <w:rsid w:val="00722AA7"/>
    <w:rsid w:val="00722AC4"/>
    <w:rsid w:val="00722B2A"/>
    <w:rsid w:val="00722B51"/>
    <w:rsid w:val="00722C69"/>
    <w:rsid w:val="00722CBC"/>
    <w:rsid w:val="00722D8D"/>
    <w:rsid w:val="00722E2D"/>
    <w:rsid w:val="0072304C"/>
    <w:rsid w:val="0072318D"/>
    <w:rsid w:val="0072322A"/>
    <w:rsid w:val="00723250"/>
    <w:rsid w:val="0072328B"/>
    <w:rsid w:val="007232D5"/>
    <w:rsid w:val="0072335C"/>
    <w:rsid w:val="007233A8"/>
    <w:rsid w:val="00723494"/>
    <w:rsid w:val="007234C1"/>
    <w:rsid w:val="0072376D"/>
    <w:rsid w:val="00723824"/>
    <w:rsid w:val="00723AA5"/>
    <w:rsid w:val="00723B22"/>
    <w:rsid w:val="00723BB8"/>
    <w:rsid w:val="00723C21"/>
    <w:rsid w:val="00723C25"/>
    <w:rsid w:val="00723E52"/>
    <w:rsid w:val="00723E7D"/>
    <w:rsid w:val="00723E8B"/>
    <w:rsid w:val="0072410F"/>
    <w:rsid w:val="0072418A"/>
    <w:rsid w:val="007241C7"/>
    <w:rsid w:val="00724224"/>
    <w:rsid w:val="007242AB"/>
    <w:rsid w:val="00724382"/>
    <w:rsid w:val="007243FD"/>
    <w:rsid w:val="007244D9"/>
    <w:rsid w:val="007245A7"/>
    <w:rsid w:val="00724663"/>
    <w:rsid w:val="007246DC"/>
    <w:rsid w:val="007247F5"/>
    <w:rsid w:val="00724936"/>
    <w:rsid w:val="00724971"/>
    <w:rsid w:val="007249BB"/>
    <w:rsid w:val="00724AA2"/>
    <w:rsid w:val="00724C39"/>
    <w:rsid w:val="00724C77"/>
    <w:rsid w:val="00724D83"/>
    <w:rsid w:val="00724EAA"/>
    <w:rsid w:val="0072503C"/>
    <w:rsid w:val="00725053"/>
    <w:rsid w:val="0072518D"/>
    <w:rsid w:val="0072520A"/>
    <w:rsid w:val="007252BD"/>
    <w:rsid w:val="007254E0"/>
    <w:rsid w:val="00725510"/>
    <w:rsid w:val="00725520"/>
    <w:rsid w:val="0072554F"/>
    <w:rsid w:val="007255B3"/>
    <w:rsid w:val="007255D9"/>
    <w:rsid w:val="00725601"/>
    <w:rsid w:val="00725685"/>
    <w:rsid w:val="007259B5"/>
    <w:rsid w:val="007259CB"/>
    <w:rsid w:val="00725AB3"/>
    <w:rsid w:val="00725B18"/>
    <w:rsid w:val="00725BB6"/>
    <w:rsid w:val="00725BC6"/>
    <w:rsid w:val="00725DF7"/>
    <w:rsid w:val="00725EC1"/>
    <w:rsid w:val="00725F55"/>
    <w:rsid w:val="00725F6E"/>
    <w:rsid w:val="00725F81"/>
    <w:rsid w:val="007260B9"/>
    <w:rsid w:val="007262DF"/>
    <w:rsid w:val="00726328"/>
    <w:rsid w:val="007263A4"/>
    <w:rsid w:val="007263E4"/>
    <w:rsid w:val="0072643A"/>
    <w:rsid w:val="0072652D"/>
    <w:rsid w:val="0072655B"/>
    <w:rsid w:val="007265B5"/>
    <w:rsid w:val="007265C2"/>
    <w:rsid w:val="0072661F"/>
    <w:rsid w:val="00726630"/>
    <w:rsid w:val="007266A2"/>
    <w:rsid w:val="007267DD"/>
    <w:rsid w:val="007268C8"/>
    <w:rsid w:val="00726910"/>
    <w:rsid w:val="0072697A"/>
    <w:rsid w:val="00726B63"/>
    <w:rsid w:val="00726BD8"/>
    <w:rsid w:val="00726BDE"/>
    <w:rsid w:val="00726C2A"/>
    <w:rsid w:val="00726D56"/>
    <w:rsid w:val="00726EB9"/>
    <w:rsid w:val="00726F8E"/>
    <w:rsid w:val="00726FDC"/>
    <w:rsid w:val="00727037"/>
    <w:rsid w:val="00727093"/>
    <w:rsid w:val="00727133"/>
    <w:rsid w:val="00727147"/>
    <w:rsid w:val="007272AA"/>
    <w:rsid w:val="00727372"/>
    <w:rsid w:val="007273E4"/>
    <w:rsid w:val="00727404"/>
    <w:rsid w:val="007274C1"/>
    <w:rsid w:val="00727515"/>
    <w:rsid w:val="00727549"/>
    <w:rsid w:val="0072754D"/>
    <w:rsid w:val="0072770C"/>
    <w:rsid w:val="007277F8"/>
    <w:rsid w:val="00727831"/>
    <w:rsid w:val="007278E9"/>
    <w:rsid w:val="00727AC4"/>
    <w:rsid w:val="00727B62"/>
    <w:rsid w:val="00727CC4"/>
    <w:rsid w:val="00727DE5"/>
    <w:rsid w:val="00727ED8"/>
    <w:rsid w:val="00727F70"/>
    <w:rsid w:val="00727F90"/>
    <w:rsid w:val="00730010"/>
    <w:rsid w:val="00730062"/>
    <w:rsid w:val="00730109"/>
    <w:rsid w:val="0073016C"/>
    <w:rsid w:val="0073020E"/>
    <w:rsid w:val="0073027D"/>
    <w:rsid w:val="007302A3"/>
    <w:rsid w:val="007302B8"/>
    <w:rsid w:val="007302D1"/>
    <w:rsid w:val="007303C0"/>
    <w:rsid w:val="007304F0"/>
    <w:rsid w:val="0073075A"/>
    <w:rsid w:val="00730A60"/>
    <w:rsid w:val="00730A80"/>
    <w:rsid w:val="00730ABD"/>
    <w:rsid w:val="00730BA5"/>
    <w:rsid w:val="00730C63"/>
    <w:rsid w:val="00730CBF"/>
    <w:rsid w:val="00730D27"/>
    <w:rsid w:val="00730DAC"/>
    <w:rsid w:val="00730E1D"/>
    <w:rsid w:val="00730F4E"/>
    <w:rsid w:val="00731165"/>
    <w:rsid w:val="00731168"/>
    <w:rsid w:val="0073127C"/>
    <w:rsid w:val="007312A8"/>
    <w:rsid w:val="007312E2"/>
    <w:rsid w:val="00731460"/>
    <w:rsid w:val="007316BB"/>
    <w:rsid w:val="007316D1"/>
    <w:rsid w:val="007316E4"/>
    <w:rsid w:val="00731705"/>
    <w:rsid w:val="0073178A"/>
    <w:rsid w:val="00731793"/>
    <w:rsid w:val="0073187C"/>
    <w:rsid w:val="007318DB"/>
    <w:rsid w:val="00731982"/>
    <w:rsid w:val="007319A2"/>
    <w:rsid w:val="007319DA"/>
    <w:rsid w:val="007319F0"/>
    <w:rsid w:val="00731A89"/>
    <w:rsid w:val="00731AAC"/>
    <w:rsid w:val="00731ADC"/>
    <w:rsid w:val="00731B98"/>
    <w:rsid w:val="00731C02"/>
    <w:rsid w:val="00731CE9"/>
    <w:rsid w:val="00731EBA"/>
    <w:rsid w:val="00731F08"/>
    <w:rsid w:val="00731FE3"/>
    <w:rsid w:val="00732053"/>
    <w:rsid w:val="0073209D"/>
    <w:rsid w:val="0073210C"/>
    <w:rsid w:val="00732128"/>
    <w:rsid w:val="00732186"/>
    <w:rsid w:val="00732217"/>
    <w:rsid w:val="00732581"/>
    <w:rsid w:val="007325D0"/>
    <w:rsid w:val="007326D6"/>
    <w:rsid w:val="007327AA"/>
    <w:rsid w:val="007327BB"/>
    <w:rsid w:val="00732836"/>
    <w:rsid w:val="00732963"/>
    <w:rsid w:val="007329FD"/>
    <w:rsid w:val="00732B80"/>
    <w:rsid w:val="00732BE8"/>
    <w:rsid w:val="00732BF5"/>
    <w:rsid w:val="00732CDB"/>
    <w:rsid w:val="00732D1F"/>
    <w:rsid w:val="00732D7F"/>
    <w:rsid w:val="00732ED0"/>
    <w:rsid w:val="007330D6"/>
    <w:rsid w:val="00733123"/>
    <w:rsid w:val="00733161"/>
    <w:rsid w:val="007332FE"/>
    <w:rsid w:val="0073332C"/>
    <w:rsid w:val="0073336D"/>
    <w:rsid w:val="0073337B"/>
    <w:rsid w:val="00733512"/>
    <w:rsid w:val="00733540"/>
    <w:rsid w:val="0073360C"/>
    <w:rsid w:val="00733645"/>
    <w:rsid w:val="007336D9"/>
    <w:rsid w:val="007338A7"/>
    <w:rsid w:val="0073391E"/>
    <w:rsid w:val="007339AB"/>
    <w:rsid w:val="00733AAA"/>
    <w:rsid w:val="00733ABC"/>
    <w:rsid w:val="00733AD3"/>
    <w:rsid w:val="00733AD6"/>
    <w:rsid w:val="00733B4A"/>
    <w:rsid w:val="00733CF8"/>
    <w:rsid w:val="00733DE8"/>
    <w:rsid w:val="00733ECA"/>
    <w:rsid w:val="00733F60"/>
    <w:rsid w:val="00733FD8"/>
    <w:rsid w:val="00733FF4"/>
    <w:rsid w:val="007340FE"/>
    <w:rsid w:val="0073415A"/>
    <w:rsid w:val="007343F2"/>
    <w:rsid w:val="007344A0"/>
    <w:rsid w:val="007344B6"/>
    <w:rsid w:val="007344BA"/>
    <w:rsid w:val="007344F7"/>
    <w:rsid w:val="0073451C"/>
    <w:rsid w:val="00734586"/>
    <w:rsid w:val="007345F4"/>
    <w:rsid w:val="00734611"/>
    <w:rsid w:val="00734678"/>
    <w:rsid w:val="007346CA"/>
    <w:rsid w:val="00734731"/>
    <w:rsid w:val="00734754"/>
    <w:rsid w:val="00734773"/>
    <w:rsid w:val="007347B2"/>
    <w:rsid w:val="007347BF"/>
    <w:rsid w:val="007347D4"/>
    <w:rsid w:val="007349B4"/>
    <w:rsid w:val="00734A0F"/>
    <w:rsid w:val="00734AE8"/>
    <w:rsid w:val="00734B8E"/>
    <w:rsid w:val="00734BE6"/>
    <w:rsid w:val="00734C13"/>
    <w:rsid w:val="00734C5B"/>
    <w:rsid w:val="00734DD0"/>
    <w:rsid w:val="00734F8C"/>
    <w:rsid w:val="00734FB7"/>
    <w:rsid w:val="007350CD"/>
    <w:rsid w:val="0073515F"/>
    <w:rsid w:val="00735235"/>
    <w:rsid w:val="00735262"/>
    <w:rsid w:val="0073531E"/>
    <w:rsid w:val="007353C7"/>
    <w:rsid w:val="007354A3"/>
    <w:rsid w:val="00735544"/>
    <w:rsid w:val="007355FD"/>
    <w:rsid w:val="00735671"/>
    <w:rsid w:val="0073567A"/>
    <w:rsid w:val="00735747"/>
    <w:rsid w:val="00735981"/>
    <w:rsid w:val="00735AB7"/>
    <w:rsid w:val="00735C20"/>
    <w:rsid w:val="00735CE0"/>
    <w:rsid w:val="00735CE2"/>
    <w:rsid w:val="00735F53"/>
    <w:rsid w:val="00735F68"/>
    <w:rsid w:val="00735FB6"/>
    <w:rsid w:val="00735FE9"/>
    <w:rsid w:val="0073606B"/>
    <w:rsid w:val="00736095"/>
    <w:rsid w:val="00736157"/>
    <w:rsid w:val="0073615E"/>
    <w:rsid w:val="0073616A"/>
    <w:rsid w:val="0073618A"/>
    <w:rsid w:val="0073619F"/>
    <w:rsid w:val="0073624B"/>
    <w:rsid w:val="00736269"/>
    <w:rsid w:val="007362D4"/>
    <w:rsid w:val="007362DC"/>
    <w:rsid w:val="0073636C"/>
    <w:rsid w:val="007363BD"/>
    <w:rsid w:val="007364A0"/>
    <w:rsid w:val="007364ED"/>
    <w:rsid w:val="00736512"/>
    <w:rsid w:val="00736573"/>
    <w:rsid w:val="007365EA"/>
    <w:rsid w:val="007365FE"/>
    <w:rsid w:val="0073661E"/>
    <w:rsid w:val="00736644"/>
    <w:rsid w:val="007367F4"/>
    <w:rsid w:val="007367F9"/>
    <w:rsid w:val="00736804"/>
    <w:rsid w:val="00736889"/>
    <w:rsid w:val="00736A12"/>
    <w:rsid w:val="00736B54"/>
    <w:rsid w:val="00736BF5"/>
    <w:rsid w:val="00736CDB"/>
    <w:rsid w:val="00736D4D"/>
    <w:rsid w:val="00736D6C"/>
    <w:rsid w:val="00736E37"/>
    <w:rsid w:val="00736F60"/>
    <w:rsid w:val="00737044"/>
    <w:rsid w:val="007370B1"/>
    <w:rsid w:val="0073715D"/>
    <w:rsid w:val="00737298"/>
    <w:rsid w:val="007373E9"/>
    <w:rsid w:val="00737474"/>
    <w:rsid w:val="00737522"/>
    <w:rsid w:val="0073756B"/>
    <w:rsid w:val="0073756E"/>
    <w:rsid w:val="00737575"/>
    <w:rsid w:val="007375F2"/>
    <w:rsid w:val="007376BE"/>
    <w:rsid w:val="00737715"/>
    <w:rsid w:val="007377EC"/>
    <w:rsid w:val="00737805"/>
    <w:rsid w:val="007378B7"/>
    <w:rsid w:val="00737B80"/>
    <w:rsid w:val="00737BEA"/>
    <w:rsid w:val="00737CA1"/>
    <w:rsid w:val="00737D40"/>
    <w:rsid w:val="00737E75"/>
    <w:rsid w:val="00737ED2"/>
    <w:rsid w:val="00737F10"/>
    <w:rsid w:val="00737FE0"/>
    <w:rsid w:val="0074009B"/>
    <w:rsid w:val="00740180"/>
    <w:rsid w:val="00740342"/>
    <w:rsid w:val="007404D5"/>
    <w:rsid w:val="0074055F"/>
    <w:rsid w:val="0074062A"/>
    <w:rsid w:val="00740634"/>
    <w:rsid w:val="007406E6"/>
    <w:rsid w:val="0074084A"/>
    <w:rsid w:val="007408F3"/>
    <w:rsid w:val="00740972"/>
    <w:rsid w:val="00740A17"/>
    <w:rsid w:val="00740B33"/>
    <w:rsid w:val="00740B40"/>
    <w:rsid w:val="00740B6C"/>
    <w:rsid w:val="00740BDD"/>
    <w:rsid w:val="00740DE2"/>
    <w:rsid w:val="00740E12"/>
    <w:rsid w:val="00740FE3"/>
    <w:rsid w:val="0074103C"/>
    <w:rsid w:val="00741230"/>
    <w:rsid w:val="007412DC"/>
    <w:rsid w:val="00741413"/>
    <w:rsid w:val="00741421"/>
    <w:rsid w:val="00741441"/>
    <w:rsid w:val="00741498"/>
    <w:rsid w:val="00741514"/>
    <w:rsid w:val="0074164D"/>
    <w:rsid w:val="007416BF"/>
    <w:rsid w:val="007417ED"/>
    <w:rsid w:val="0074183B"/>
    <w:rsid w:val="00741849"/>
    <w:rsid w:val="007418EB"/>
    <w:rsid w:val="00741923"/>
    <w:rsid w:val="00741BDB"/>
    <w:rsid w:val="00741E08"/>
    <w:rsid w:val="00741E1A"/>
    <w:rsid w:val="007421B8"/>
    <w:rsid w:val="00742247"/>
    <w:rsid w:val="00742306"/>
    <w:rsid w:val="00742529"/>
    <w:rsid w:val="0074262F"/>
    <w:rsid w:val="007426EF"/>
    <w:rsid w:val="00742701"/>
    <w:rsid w:val="00742746"/>
    <w:rsid w:val="00742765"/>
    <w:rsid w:val="007427B8"/>
    <w:rsid w:val="00742912"/>
    <w:rsid w:val="00742917"/>
    <w:rsid w:val="0074292D"/>
    <w:rsid w:val="00742B57"/>
    <w:rsid w:val="00742BA7"/>
    <w:rsid w:val="00742D2D"/>
    <w:rsid w:val="00742DD6"/>
    <w:rsid w:val="00742F15"/>
    <w:rsid w:val="00742F5E"/>
    <w:rsid w:val="00742F71"/>
    <w:rsid w:val="00742F80"/>
    <w:rsid w:val="00742FF5"/>
    <w:rsid w:val="00743030"/>
    <w:rsid w:val="00743119"/>
    <w:rsid w:val="007431AB"/>
    <w:rsid w:val="00743265"/>
    <w:rsid w:val="00743282"/>
    <w:rsid w:val="00743381"/>
    <w:rsid w:val="007433BB"/>
    <w:rsid w:val="0074357E"/>
    <w:rsid w:val="00743588"/>
    <w:rsid w:val="00743628"/>
    <w:rsid w:val="007437D1"/>
    <w:rsid w:val="00743901"/>
    <w:rsid w:val="0074397B"/>
    <w:rsid w:val="00743A0D"/>
    <w:rsid w:val="00743BB6"/>
    <w:rsid w:val="00743C55"/>
    <w:rsid w:val="00743C7A"/>
    <w:rsid w:val="00743DC4"/>
    <w:rsid w:val="00743E02"/>
    <w:rsid w:val="00743F6A"/>
    <w:rsid w:val="00743F90"/>
    <w:rsid w:val="00744077"/>
    <w:rsid w:val="007441B0"/>
    <w:rsid w:val="007441FD"/>
    <w:rsid w:val="00744288"/>
    <w:rsid w:val="0074434C"/>
    <w:rsid w:val="007443B1"/>
    <w:rsid w:val="00744409"/>
    <w:rsid w:val="0074470C"/>
    <w:rsid w:val="0074471B"/>
    <w:rsid w:val="0074476F"/>
    <w:rsid w:val="0074478C"/>
    <w:rsid w:val="00744824"/>
    <w:rsid w:val="00744854"/>
    <w:rsid w:val="00744A0D"/>
    <w:rsid w:val="00744A6C"/>
    <w:rsid w:val="00744AA3"/>
    <w:rsid w:val="00744B78"/>
    <w:rsid w:val="00744BBF"/>
    <w:rsid w:val="00744C1D"/>
    <w:rsid w:val="00744ED2"/>
    <w:rsid w:val="00744EE6"/>
    <w:rsid w:val="00744F82"/>
    <w:rsid w:val="00744FD0"/>
    <w:rsid w:val="00744FD9"/>
    <w:rsid w:val="00745098"/>
    <w:rsid w:val="00745300"/>
    <w:rsid w:val="007453C9"/>
    <w:rsid w:val="0074559D"/>
    <w:rsid w:val="00745695"/>
    <w:rsid w:val="00745723"/>
    <w:rsid w:val="00745838"/>
    <w:rsid w:val="007458A4"/>
    <w:rsid w:val="00745951"/>
    <w:rsid w:val="007459FF"/>
    <w:rsid w:val="00745AAB"/>
    <w:rsid w:val="00745B9C"/>
    <w:rsid w:val="00745DBE"/>
    <w:rsid w:val="00745DF7"/>
    <w:rsid w:val="00745E21"/>
    <w:rsid w:val="0074604C"/>
    <w:rsid w:val="007460EA"/>
    <w:rsid w:val="00746302"/>
    <w:rsid w:val="00746312"/>
    <w:rsid w:val="0074640E"/>
    <w:rsid w:val="00746472"/>
    <w:rsid w:val="007465D4"/>
    <w:rsid w:val="00746657"/>
    <w:rsid w:val="0074668E"/>
    <w:rsid w:val="00746937"/>
    <w:rsid w:val="00746A91"/>
    <w:rsid w:val="00746AF2"/>
    <w:rsid w:val="00746C00"/>
    <w:rsid w:val="00746C6D"/>
    <w:rsid w:val="00746C93"/>
    <w:rsid w:val="00746CB4"/>
    <w:rsid w:val="00746D7C"/>
    <w:rsid w:val="00746EC3"/>
    <w:rsid w:val="00746ED1"/>
    <w:rsid w:val="007470D0"/>
    <w:rsid w:val="00747121"/>
    <w:rsid w:val="00747184"/>
    <w:rsid w:val="007471B6"/>
    <w:rsid w:val="00747203"/>
    <w:rsid w:val="007473B1"/>
    <w:rsid w:val="00747468"/>
    <w:rsid w:val="00747526"/>
    <w:rsid w:val="0074755E"/>
    <w:rsid w:val="0074762D"/>
    <w:rsid w:val="00747842"/>
    <w:rsid w:val="007479BC"/>
    <w:rsid w:val="00747B36"/>
    <w:rsid w:val="00747B57"/>
    <w:rsid w:val="00747B86"/>
    <w:rsid w:val="00747BB4"/>
    <w:rsid w:val="00747C2B"/>
    <w:rsid w:val="00747C66"/>
    <w:rsid w:val="00747CBA"/>
    <w:rsid w:val="00747D6E"/>
    <w:rsid w:val="00747E35"/>
    <w:rsid w:val="00747E94"/>
    <w:rsid w:val="00747EA9"/>
    <w:rsid w:val="00747EBD"/>
    <w:rsid w:val="00750076"/>
    <w:rsid w:val="007502DC"/>
    <w:rsid w:val="0075031E"/>
    <w:rsid w:val="0075038E"/>
    <w:rsid w:val="00750498"/>
    <w:rsid w:val="007504CD"/>
    <w:rsid w:val="007506F4"/>
    <w:rsid w:val="0075072B"/>
    <w:rsid w:val="00750737"/>
    <w:rsid w:val="00750816"/>
    <w:rsid w:val="00750907"/>
    <w:rsid w:val="0075093E"/>
    <w:rsid w:val="00750B0D"/>
    <w:rsid w:val="00750B7D"/>
    <w:rsid w:val="00750D67"/>
    <w:rsid w:val="00750FE9"/>
    <w:rsid w:val="0075101A"/>
    <w:rsid w:val="007510C1"/>
    <w:rsid w:val="00751200"/>
    <w:rsid w:val="0075129B"/>
    <w:rsid w:val="007512D6"/>
    <w:rsid w:val="007513AD"/>
    <w:rsid w:val="007515FB"/>
    <w:rsid w:val="007516BC"/>
    <w:rsid w:val="007516D9"/>
    <w:rsid w:val="00751741"/>
    <w:rsid w:val="00751791"/>
    <w:rsid w:val="007517C9"/>
    <w:rsid w:val="00751823"/>
    <w:rsid w:val="007518A9"/>
    <w:rsid w:val="007519D9"/>
    <w:rsid w:val="007519F5"/>
    <w:rsid w:val="00751A46"/>
    <w:rsid w:val="00751BF1"/>
    <w:rsid w:val="00751C2B"/>
    <w:rsid w:val="00751CE9"/>
    <w:rsid w:val="00751DA2"/>
    <w:rsid w:val="00751DEF"/>
    <w:rsid w:val="00751E96"/>
    <w:rsid w:val="00751EC5"/>
    <w:rsid w:val="00751F34"/>
    <w:rsid w:val="00752041"/>
    <w:rsid w:val="00752056"/>
    <w:rsid w:val="007521D2"/>
    <w:rsid w:val="007521EC"/>
    <w:rsid w:val="0075228D"/>
    <w:rsid w:val="00752396"/>
    <w:rsid w:val="007523D4"/>
    <w:rsid w:val="007524B9"/>
    <w:rsid w:val="007524CE"/>
    <w:rsid w:val="007524DD"/>
    <w:rsid w:val="0075252B"/>
    <w:rsid w:val="0075254B"/>
    <w:rsid w:val="00752601"/>
    <w:rsid w:val="0075262B"/>
    <w:rsid w:val="0075265C"/>
    <w:rsid w:val="007526BC"/>
    <w:rsid w:val="007526EB"/>
    <w:rsid w:val="007527DD"/>
    <w:rsid w:val="0075280A"/>
    <w:rsid w:val="0075284A"/>
    <w:rsid w:val="0075293A"/>
    <w:rsid w:val="00752941"/>
    <w:rsid w:val="00752C5F"/>
    <w:rsid w:val="00752C7B"/>
    <w:rsid w:val="00752CDC"/>
    <w:rsid w:val="00752D6B"/>
    <w:rsid w:val="00752DB5"/>
    <w:rsid w:val="00752E87"/>
    <w:rsid w:val="00752EFA"/>
    <w:rsid w:val="00752F6E"/>
    <w:rsid w:val="00752F6F"/>
    <w:rsid w:val="00752FDD"/>
    <w:rsid w:val="007530FA"/>
    <w:rsid w:val="00753193"/>
    <w:rsid w:val="007531B9"/>
    <w:rsid w:val="007531E5"/>
    <w:rsid w:val="00753268"/>
    <w:rsid w:val="0075332D"/>
    <w:rsid w:val="0075333B"/>
    <w:rsid w:val="00753404"/>
    <w:rsid w:val="0075344A"/>
    <w:rsid w:val="0075347E"/>
    <w:rsid w:val="007534F4"/>
    <w:rsid w:val="00753702"/>
    <w:rsid w:val="00753764"/>
    <w:rsid w:val="0075376D"/>
    <w:rsid w:val="007537CD"/>
    <w:rsid w:val="0075389D"/>
    <w:rsid w:val="007538C8"/>
    <w:rsid w:val="00753B6A"/>
    <w:rsid w:val="00753C0C"/>
    <w:rsid w:val="00753CC6"/>
    <w:rsid w:val="00753D16"/>
    <w:rsid w:val="00753D69"/>
    <w:rsid w:val="00753DDC"/>
    <w:rsid w:val="00753E52"/>
    <w:rsid w:val="00753ED8"/>
    <w:rsid w:val="00753EE5"/>
    <w:rsid w:val="00754014"/>
    <w:rsid w:val="00754103"/>
    <w:rsid w:val="00754137"/>
    <w:rsid w:val="007541C2"/>
    <w:rsid w:val="007541CD"/>
    <w:rsid w:val="007541D0"/>
    <w:rsid w:val="007542BE"/>
    <w:rsid w:val="007543CD"/>
    <w:rsid w:val="00754504"/>
    <w:rsid w:val="00754559"/>
    <w:rsid w:val="00754573"/>
    <w:rsid w:val="0075459A"/>
    <w:rsid w:val="007545C5"/>
    <w:rsid w:val="00754837"/>
    <w:rsid w:val="007548C7"/>
    <w:rsid w:val="007549D1"/>
    <w:rsid w:val="00754B4B"/>
    <w:rsid w:val="00754B64"/>
    <w:rsid w:val="00754C4A"/>
    <w:rsid w:val="00754C8B"/>
    <w:rsid w:val="00754E8E"/>
    <w:rsid w:val="00754ECC"/>
    <w:rsid w:val="00754F16"/>
    <w:rsid w:val="00754F6A"/>
    <w:rsid w:val="0075500F"/>
    <w:rsid w:val="007550D0"/>
    <w:rsid w:val="00755236"/>
    <w:rsid w:val="00755265"/>
    <w:rsid w:val="007553A8"/>
    <w:rsid w:val="007553AB"/>
    <w:rsid w:val="007553AF"/>
    <w:rsid w:val="00755506"/>
    <w:rsid w:val="0075558B"/>
    <w:rsid w:val="0075558C"/>
    <w:rsid w:val="0075559E"/>
    <w:rsid w:val="007555CC"/>
    <w:rsid w:val="0075573F"/>
    <w:rsid w:val="007558C2"/>
    <w:rsid w:val="00755A89"/>
    <w:rsid w:val="00755AFB"/>
    <w:rsid w:val="00755AFE"/>
    <w:rsid w:val="00755B60"/>
    <w:rsid w:val="00755C20"/>
    <w:rsid w:val="00755C37"/>
    <w:rsid w:val="00755C3E"/>
    <w:rsid w:val="00755D08"/>
    <w:rsid w:val="00755D17"/>
    <w:rsid w:val="00755DE0"/>
    <w:rsid w:val="00755E37"/>
    <w:rsid w:val="00755F4C"/>
    <w:rsid w:val="00755FFD"/>
    <w:rsid w:val="007560F2"/>
    <w:rsid w:val="00756116"/>
    <w:rsid w:val="0075633E"/>
    <w:rsid w:val="00756446"/>
    <w:rsid w:val="0075649A"/>
    <w:rsid w:val="00756539"/>
    <w:rsid w:val="007566A1"/>
    <w:rsid w:val="007567F6"/>
    <w:rsid w:val="0075688A"/>
    <w:rsid w:val="007568AD"/>
    <w:rsid w:val="007568FB"/>
    <w:rsid w:val="00756918"/>
    <w:rsid w:val="00756B9C"/>
    <w:rsid w:val="00756C80"/>
    <w:rsid w:val="00756CDD"/>
    <w:rsid w:val="00756F88"/>
    <w:rsid w:val="00756FD3"/>
    <w:rsid w:val="007570AA"/>
    <w:rsid w:val="0075715F"/>
    <w:rsid w:val="00757335"/>
    <w:rsid w:val="00757602"/>
    <w:rsid w:val="007576DA"/>
    <w:rsid w:val="00757744"/>
    <w:rsid w:val="00757795"/>
    <w:rsid w:val="007577D3"/>
    <w:rsid w:val="007578BF"/>
    <w:rsid w:val="00757990"/>
    <w:rsid w:val="00757BD1"/>
    <w:rsid w:val="00757C21"/>
    <w:rsid w:val="00757C44"/>
    <w:rsid w:val="00757C9F"/>
    <w:rsid w:val="00757DB8"/>
    <w:rsid w:val="00757F6A"/>
    <w:rsid w:val="00757FFB"/>
    <w:rsid w:val="00760023"/>
    <w:rsid w:val="00760049"/>
    <w:rsid w:val="007600E2"/>
    <w:rsid w:val="007600FB"/>
    <w:rsid w:val="007602EA"/>
    <w:rsid w:val="00760568"/>
    <w:rsid w:val="00760571"/>
    <w:rsid w:val="007605F1"/>
    <w:rsid w:val="007607AD"/>
    <w:rsid w:val="007607D5"/>
    <w:rsid w:val="00760A8A"/>
    <w:rsid w:val="00760BE4"/>
    <w:rsid w:val="00760BEB"/>
    <w:rsid w:val="00760C12"/>
    <w:rsid w:val="00760CA5"/>
    <w:rsid w:val="00760CFF"/>
    <w:rsid w:val="00760DAD"/>
    <w:rsid w:val="00760EA7"/>
    <w:rsid w:val="00760F2E"/>
    <w:rsid w:val="00761051"/>
    <w:rsid w:val="0076106C"/>
    <w:rsid w:val="007610CF"/>
    <w:rsid w:val="007613A6"/>
    <w:rsid w:val="00761474"/>
    <w:rsid w:val="00761511"/>
    <w:rsid w:val="0076151A"/>
    <w:rsid w:val="00761554"/>
    <w:rsid w:val="00761633"/>
    <w:rsid w:val="007616E1"/>
    <w:rsid w:val="00761700"/>
    <w:rsid w:val="007618DB"/>
    <w:rsid w:val="00761CCE"/>
    <w:rsid w:val="00761CE8"/>
    <w:rsid w:val="00761CEB"/>
    <w:rsid w:val="00761D45"/>
    <w:rsid w:val="00761E32"/>
    <w:rsid w:val="00761EE1"/>
    <w:rsid w:val="00761F0A"/>
    <w:rsid w:val="00761F63"/>
    <w:rsid w:val="007621C2"/>
    <w:rsid w:val="007621D9"/>
    <w:rsid w:val="0076224C"/>
    <w:rsid w:val="00762306"/>
    <w:rsid w:val="007624F1"/>
    <w:rsid w:val="007625BB"/>
    <w:rsid w:val="007625BF"/>
    <w:rsid w:val="007626D4"/>
    <w:rsid w:val="0076273B"/>
    <w:rsid w:val="007628C4"/>
    <w:rsid w:val="007629C7"/>
    <w:rsid w:val="007629DE"/>
    <w:rsid w:val="00762A0C"/>
    <w:rsid w:val="00762B7E"/>
    <w:rsid w:val="00762DB4"/>
    <w:rsid w:val="00762DE3"/>
    <w:rsid w:val="00762E69"/>
    <w:rsid w:val="00762F59"/>
    <w:rsid w:val="00762F5F"/>
    <w:rsid w:val="00762FC2"/>
    <w:rsid w:val="00762FF3"/>
    <w:rsid w:val="007630B6"/>
    <w:rsid w:val="0076315D"/>
    <w:rsid w:val="0076318A"/>
    <w:rsid w:val="007631CB"/>
    <w:rsid w:val="007631D1"/>
    <w:rsid w:val="0076329E"/>
    <w:rsid w:val="007632D4"/>
    <w:rsid w:val="007635DD"/>
    <w:rsid w:val="007635FD"/>
    <w:rsid w:val="0076382D"/>
    <w:rsid w:val="0076393A"/>
    <w:rsid w:val="0076399A"/>
    <w:rsid w:val="00763AF9"/>
    <w:rsid w:val="00763B54"/>
    <w:rsid w:val="00763B70"/>
    <w:rsid w:val="00763BFF"/>
    <w:rsid w:val="00763C91"/>
    <w:rsid w:val="00763CB9"/>
    <w:rsid w:val="00763CC1"/>
    <w:rsid w:val="00763DA4"/>
    <w:rsid w:val="00763DDB"/>
    <w:rsid w:val="00763EFE"/>
    <w:rsid w:val="00763F4A"/>
    <w:rsid w:val="00763F85"/>
    <w:rsid w:val="00763FF8"/>
    <w:rsid w:val="007641F1"/>
    <w:rsid w:val="00764200"/>
    <w:rsid w:val="00764259"/>
    <w:rsid w:val="00764290"/>
    <w:rsid w:val="007643B6"/>
    <w:rsid w:val="0076441B"/>
    <w:rsid w:val="00764473"/>
    <w:rsid w:val="007645CC"/>
    <w:rsid w:val="00764644"/>
    <w:rsid w:val="00764680"/>
    <w:rsid w:val="00764713"/>
    <w:rsid w:val="0076471D"/>
    <w:rsid w:val="0076477A"/>
    <w:rsid w:val="00764791"/>
    <w:rsid w:val="007648E8"/>
    <w:rsid w:val="007649A7"/>
    <w:rsid w:val="007649C5"/>
    <w:rsid w:val="007649CD"/>
    <w:rsid w:val="00764A0C"/>
    <w:rsid w:val="00764ACA"/>
    <w:rsid w:val="00764B36"/>
    <w:rsid w:val="00764C88"/>
    <w:rsid w:val="00764CDD"/>
    <w:rsid w:val="00764E6A"/>
    <w:rsid w:val="00764EA4"/>
    <w:rsid w:val="00764FEB"/>
    <w:rsid w:val="007650B9"/>
    <w:rsid w:val="007651FF"/>
    <w:rsid w:val="00765201"/>
    <w:rsid w:val="00765236"/>
    <w:rsid w:val="00765241"/>
    <w:rsid w:val="00765380"/>
    <w:rsid w:val="007653B6"/>
    <w:rsid w:val="00765457"/>
    <w:rsid w:val="007655A0"/>
    <w:rsid w:val="007655B2"/>
    <w:rsid w:val="007656C9"/>
    <w:rsid w:val="007656FF"/>
    <w:rsid w:val="007658B2"/>
    <w:rsid w:val="007658DC"/>
    <w:rsid w:val="0076594E"/>
    <w:rsid w:val="00765956"/>
    <w:rsid w:val="00765A39"/>
    <w:rsid w:val="00765A7E"/>
    <w:rsid w:val="00765C55"/>
    <w:rsid w:val="00765D50"/>
    <w:rsid w:val="00765D7F"/>
    <w:rsid w:val="00765E58"/>
    <w:rsid w:val="00765EC7"/>
    <w:rsid w:val="00765F20"/>
    <w:rsid w:val="00765F83"/>
    <w:rsid w:val="007660A5"/>
    <w:rsid w:val="007661E7"/>
    <w:rsid w:val="00766227"/>
    <w:rsid w:val="00766286"/>
    <w:rsid w:val="00766291"/>
    <w:rsid w:val="00766463"/>
    <w:rsid w:val="007664DA"/>
    <w:rsid w:val="007666C2"/>
    <w:rsid w:val="00766707"/>
    <w:rsid w:val="007667C8"/>
    <w:rsid w:val="007667D9"/>
    <w:rsid w:val="007667F4"/>
    <w:rsid w:val="00766911"/>
    <w:rsid w:val="007669FD"/>
    <w:rsid w:val="00766A01"/>
    <w:rsid w:val="00766A14"/>
    <w:rsid w:val="00766ABA"/>
    <w:rsid w:val="00766ABB"/>
    <w:rsid w:val="00766B48"/>
    <w:rsid w:val="00766B75"/>
    <w:rsid w:val="00766BB1"/>
    <w:rsid w:val="00766BBD"/>
    <w:rsid w:val="00766D6F"/>
    <w:rsid w:val="00766DA5"/>
    <w:rsid w:val="00766DAE"/>
    <w:rsid w:val="00766E72"/>
    <w:rsid w:val="00766ECD"/>
    <w:rsid w:val="00766F47"/>
    <w:rsid w:val="00766F5C"/>
    <w:rsid w:val="007671CE"/>
    <w:rsid w:val="007671EB"/>
    <w:rsid w:val="0076721A"/>
    <w:rsid w:val="00767342"/>
    <w:rsid w:val="0076739A"/>
    <w:rsid w:val="00767498"/>
    <w:rsid w:val="007674C7"/>
    <w:rsid w:val="00767539"/>
    <w:rsid w:val="00767670"/>
    <w:rsid w:val="00767695"/>
    <w:rsid w:val="007676CD"/>
    <w:rsid w:val="007677D0"/>
    <w:rsid w:val="00767808"/>
    <w:rsid w:val="00767827"/>
    <w:rsid w:val="00767839"/>
    <w:rsid w:val="0076784A"/>
    <w:rsid w:val="00767A26"/>
    <w:rsid w:val="00767AF4"/>
    <w:rsid w:val="00767B05"/>
    <w:rsid w:val="00767B5B"/>
    <w:rsid w:val="00767BA6"/>
    <w:rsid w:val="00767BB8"/>
    <w:rsid w:val="00767C17"/>
    <w:rsid w:val="00767C4A"/>
    <w:rsid w:val="00767D0E"/>
    <w:rsid w:val="00767D3E"/>
    <w:rsid w:val="00767D77"/>
    <w:rsid w:val="00767E11"/>
    <w:rsid w:val="00767E40"/>
    <w:rsid w:val="00767E80"/>
    <w:rsid w:val="00767FFD"/>
    <w:rsid w:val="00770053"/>
    <w:rsid w:val="007702E7"/>
    <w:rsid w:val="00770421"/>
    <w:rsid w:val="00770469"/>
    <w:rsid w:val="007704BD"/>
    <w:rsid w:val="00770500"/>
    <w:rsid w:val="00770579"/>
    <w:rsid w:val="0077062A"/>
    <w:rsid w:val="00770762"/>
    <w:rsid w:val="00770833"/>
    <w:rsid w:val="00770856"/>
    <w:rsid w:val="00770B79"/>
    <w:rsid w:val="00770CFA"/>
    <w:rsid w:val="00770DB8"/>
    <w:rsid w:val="00770F03"/>
    <w:rsid w:val="00770FF4"/>
    <w:rsid w:val="00771000"/>
    <w:rsid w:val="007710A8"/>
    <w:rsid w:val="007710C4"/>
    <w:rsid w:val="00771186"/>
    <w:rsid w:val="007711D8"/>
    <w:rsid w:val="00771261"/>
    <w:rsid w:val="007712E5"/>
    <w:rsid w:val="00771451"/>
    <w:rsid w:val="007714AD"/>
    <w:rsid w:val="0077158F"/>
    <w:rsid w:val="00771720"/>
    <w:rsid w:val="0077172D"/>
    <w:rsid w:val="00771779"/>
    <w:rsid w:val="007718BB"/>
    <w:rsid w:val="00771942"/>
    <w:rsid w:val="00771B40"/>
    <w:rsid w:val="00771BC9"/>
    <w:rsid w:val="00771D70"/>
    <w:rsid w:val="00771F84"/>
    <w:rsid w:val="00771FA2"/>
    <w:rsid w:val="007720F1"/>
    <w:rsid w:val="0077210A"/>
    <w:rsid w:val="00772118"/>
    <w:rsid w:val="0077215F"/>
    <w:rsid w:val="007722E1"/>
    <w:rsid w:val="00772314"/>
    <w:rsid w:val="00772341"/>
    <w:rsid w:val="00772390"/>
    <w:rsid w:val="007723D0"/>
    <w:rsid w:val="00772447"/>
    <w:rsid w:val="00772493"/>
    <w:rsid w:val="007724D7"/>
    <w:rsid w:val="007725CB"/>
    <w:rsid w:val="007726FD"/>
    <w:rsid w:val="00772958"/>
    <w:rsid w:val="00772A86"/>
    <w:rsid w:val="00772AD3"/>
    <w:rsid w:val="00772C3F"/>
    <w:rsid w:val="00772CD9"/>
    <w:rsid w:val="00772DC9"/>
    <w:rsid w:val="00772F62"/>
    <w:rsid w:val="00773002"/>
    <w:rsid w:val="0077307A"/>
    <w:rsid w:val="00773088"/>
    <w:rsid w:val="00773097"/>
    <w:rsid w:val="0077321B"/>
    <w:rsid w:val="00773362"/>
    <w:rsid w:val="00773386"/>
    <w:rsid w:val="007733DE"/>
    <w:rsid w:val="0077342F"/>
    <w:rsid w:val="0077348A"/>
    <w:rsid w:val="007734EF"/>
    <w:rsid w:val="00773572"/>
    <w:rsid w:val="00773646"/>
    <w:rsid w:val="00773650"/>
    <w:rsid w:val="007736FA"/>
    <w:rsid w:val="007738CD"/>
    <w:rsid w:val="0077390F"/>
    <w:rsid w:val="007739C1"/>
    <w:rsid w:val="007739CB"/>
    <w:rsid w:val="007739D8"/>
    <w:rsid w:val="00773A7E"/>
    <w:rsid w:val="00773AAF"/>
    <w:rsid w:val="00773B4D"/>
    <w:rsid w:val="00773BA0"/>
    <w:rsid w:val="00773BE0"/>
    <w:rsid w:val="00773CCF"/>
    <w:rsid w:val="00773DA0"/>
    <w:rsid w:val="00773F2C"/>
    <w:rsid w:val="00773FA3"/>
    <w:rsid w:val="00773FF7"/>
    <w:rsid w:val="00774037"/>
    <w:rsid w:val="0077410D"/>
    <w:rsid w:val="007742A3"/>
    <w:rsid w:val="007742B7"/>
    <w:rsid w:val="007742C0"/>
    <w:rsid w:val="0077436C"/>
    <w:rsid w:val="007743B8"/>
    <w:rsid w:val="007744CF"/>
    <w:rsid w:val="00774562"/>
    <w:rsid w:val="00774584"/>
    <w:rsid w:val="00774614"/>
    <w:rsid w:val="0077469E"/>
    <w:rsid w:val="007746A2"/>
    <w:rsid w:val="0077477C"/>
    <w:rsid w:val="00774908"/>
    <w:rsid w:val="00774A1E"/>
    <w:rsid w:val="00774BD7"/>
    <w:rsid w:val="00774DFD"/>
    <w:rsid w:val="00774E6E"/>
    <w:rsid w:val="00774EC0"/>
    <w:rsid w:val="00774ED1"/>
    <w:rsid w:val="00774EF6"/>
    <w:rsid w:val="00774FA3"/>
    <w:rsid w:val="00774FB9"/>
    <w:rsid w:val="00774FD9"/>
    <w:rsid w:val="00775014"/>
    <w:rsid w:val="0077503A"/>
    <w:rsid w:val="007750F7"/>
    <w:rsid w:val="00775139"/>
    <w:rsid w:val="007753D6"/>
    <w:rsid w:val="007753D9"/>
    <w:rsid w:val="0077542E"/>
    <w:rsid w:val="00775482"/>
    <w:rsid w:val="00775485"/>
    <w:rsid w:val="007754E9"/>
    <w:rsid w:val="00775536"/>
    <w:rsid w:val="0077568B"/>
    <w:rsid w:val="00775760"/>
    <w:rsid w:val="0077576A"/>
    <w:rsid w:val="0077588A"/>
    <w:rsid w:val="007759EC"/>
    <w:rsid w:val="00775C9E"/>
    <w:rsid w:val="00775DC5"/>
    <w:rsid w:val="00775E77"/>
    <w:rsid w:val="00775F6C"/>
    <w:rsid w:val="00775FD3"/>
    <w:rsid w:val="007760F2"/>
    <w:rsid w:val="00776317"/>
    <w:rsid w:val="00776608"/>
    <w:rsid w:val="0077669E"/>
    <w:rsid w:val="007767B1"/>
    <w:rsid w:val="007767BB"/>
    <w:rsid w:val="00776800"/>
    <w:rsid w:val="0077683F"/>
    <w:rsid w:val="00776899"/>
    <w:rsid w:val="007768C0"/>
    <w:rsid w:val="00776912"/>
    <w:rsid w:val="007769E2"/>
    <w:rsid w:val="00776AD3"/>
    <w:rsid w:val="00776B04"/>
    <w:rsid w:val="00776B39"/>
    <w:rsid w:val="00776B5E"/>
    <w:rsid w:val="00776C19"/>
    <w:rsid w:val="00776C5C"/>
    <w:rsid w:val="00776D6E"/>
    <w:rsid w:val="00776D75"/>
    <w:rsid w:val="00776DA9"/>
    <w:rsid w:val="00776DCE"/>
    <w:rsid w:val="00776E2C"/>
    <w:rsid w:val="00776E57"/>
    <w:rsid w:val="00776EE7"/>
    <w:rsid w:val="00776F46"/>
    <w:rsid w:val="00777041"/>
    <w:rsid w:val="0077704A"/>
    <w:rsid w:val="00777083"/>
    <w:rsid w:val="007770DD"/>
    <w:rsid w:val="00777105"/>
    <w:rsid w:val="00777123"/>
    <w:rsid w:val="00777175"/>
    <w:rsid w:val="007771AD"/>
    <w:rsid w:val="00777281"/>
    <w:rsid w:val="0077740B"/>
    <w:rsid w:val="00777440"/>
    <w:rsid w:val="0077748E"/>
    <w:rsid w:val="0077751A"/>
    <w:rsid w:val="0077751D"/>
    <w:rsid w:val="0077753B"/>
    <w:rsid w:val="0077766A"/>
    <w:rsid w:val="007776DA"/>
    <w:rsid w:val="007777C8"/>
    <w:rsid w:val="007777C9"/>
    <w:rsid w:val="007777EF"/>
    <w:rsid w:val="00777A90"/>
    <w:rsid w:val="00777B20"/>
    <w:rsid w:val="00777B29"/>
    <w:rsid w:val="00777B6D"/>
    <w:rsid w:val="00777BEA"/>
    <w:rsid w:val="00777C3B"/>
    <w:rsid w:val="00777D8C"/>
    <w:rsid w:val="00777DFE"/>
    <w:rsid w:val="00777EC0"/>
    <w:rsid w:val="00777EC6"/>
    <w:rsid w:val="00777EDB"/>
    <w:rsid w:val="00777F73"/>
    <w:rsid w:val="00780054"/>
    <w:rsid w:val="0078007B"/>
    <w:rsid w:val="007800C2"/>
    <w:rsid w:val="00780276"/>
    <w:rsid w:val="007802F1"/>
    <w:rsid w:val="00780584"/>
    <w:rsid w:val="007805D0"/>
    <w:rsid w:val="007806EE"/>
    <w:rsid w:val="00780839"/>
    <w:rsid w:val="00780874"/>
    <w:rsid w:val="0078091D"/>
    <w:rsid w:val="007809BE"/>
    <w:rsid w:val="00780A26"/>
    <w:rsid w:val="00780B7E"/>
    <w:rsid w:val="00780C2D"/>
    <w:rsid w:val="00780E67"/>
    <w:rsid w:val="00780E96"/>
    <w:rsid w:val="00780EE3"/>
    <w:rsid w:val="00780F0A"/>
    <w:rsid w:val="007810EF"/>
    <w:rsid w:val="0078126F"/>
    <w:rsid w:val="00781307"/>
    <w:rsid w:val="00781353"/>
    <w:rsid w:val="00781393"/>
    <w:rsid w:val="007813BD"/>
    <w:rsid w:val="00781522"/>
    <w:rsid w:val="00781550"/>
    <w:rsid w:val="007816C1"/>
    <w:rsid w:val="007817E5"/>
    <w:rsid w:val="0078181D"/>
    <w:rsid w:val="0078188D"/>
    <w:rsid w:val="00781A95"/>
    <w:rsid w:val="00781CAA"/>
    <w:rsid w:val="00781D83"/>
    <w:rsid w:val="00781DE9"/>
    <w:rsid w:val="00782006"/>
    <w:rsid w:val="00782230"/>
    <w:rsid w:val="0078234E"/>
    <w:rsid w:val="0078240C"/>
    <w:rsid w:val="00782458"/>
    <w:rsid w:val="007824D3"/>
    <w:rsid w:val="00782795"/>
    <w:rsid w:val="007827EE"/>
    <w:rsid w:val="00782843"/>
    <w:rsid w:val="007829F6"/>
    <w:rsid w:val="00782A07"/>
    <w:rsid w:val="00782A13"/>
    <w:rsid w:val="00782B8A"/>
    <w:rsid w:val="00782C33"/>
    <w:rsid w:val="00782C85"/>
    <w:rsid w:val="00782CF9"/>
    <w:rsid w:val="00782D24"/>
    <w:rsid w:val="00782DE3"/>
    <w:rsid w:val="00782E33"/>
    <w:rsid w:val="00782F14"/>
    <w:rsid w:val="00782FDF"/>
    <w:rsid w:val="0078300E"/>
    <w:rsid w:val="0078303E"/>
    <w:rsid w:val="00783059"/>
    <w:rsid w:val="007830B5"/>
    <w:rsid w:val="007830E8"/>
    <w:rsid w:val="00783107"/>
    <w:rsid w:val="00783117"/>
    <w:rsid w:val="00783142"/>
    <w:rsid w:val="0078324D"/>
    <w:rsid w:val="00783290"/>
    <w:rsid w:val="007832B1"/>
    <w:rsid w:val="007832E7"/>
    <w:rsid w:val="00783320"/>
    <w:rsid w:val="00783727"/>
    <w:rsid w:val="007837B9"/>
    <w:rsid w:val="00783814"/>
    <w:rsid w:val="0078381D"/>
    <w:rsid w:val="007838F3"/>
    <w:rsid w:val="00783977"/>
    <w:rsid w:val="007839B9"/>
    <w:rsid w:val="00783A23"/>
    <w:rsid w:val="00783A3C"/>
    <w:rsid w:val="00783B04"/>
    <w:rsid w:val="00783C7B"/>
    <w:rsid w:val="00783EFC"/>
    <w:rsid w:val="00783F90"/>
    <w:rsid w:val="0078400F"/>
    <w:rsid w:val="00784165"/>
    <w:rsid w:val="007841D3"/>
    <w:rsid w:val="00784203"/>
    <w:rsid w:val="00784222"/>
    <w:rsid w:val="00784388"/>
    <w:rsid w:val="0078456F"/>
    <w:rsid w:val="007845A6"/>
    <w:rsid w:val="007845B4"/>
    <w:rsid w:val="007845C2"/>
    <w:rsid w:val="00784613"/>
    <w:rsid w:val="0078461A"/>
    <w:rsid w:val="00784802"/>
    <w:rsid w:val="0078486A"/>
    <w:rsid w:val="007849AB"/>
    <w:rsid w:val="007849BF"/>
    <w:rsid w:val="00784A56"/>
    <w:rsid w:val="00784AD7"/>
    <w:rsid w:val="00784C07"/>
    <w:rsid w:val="00784DAA"/>
    <w:rsid w:val="00784DD9"/>
    <w:rsid w:val="00784DF8"/>
    <w:rsid w:val="00784FA0"/>
    <w:rsid w:val="007851C7"/>
    <w:rsid w:val="00785244"/>
    <w:rsid w:val="007852C4"/>
    <w:rsid w:val="007852D3"/>
    <w:rsid w:val="0078537B"/>
    <w:rsid w:val="00785417"/>
    <w:rsid w:val="00785464"/>
    <w:rsid w:val="0078547C"/>
    <w:rsid w:val="0078565B"/>
    <w:rsid w:val="007856D2"/>
    <w:rsid w:val="0078571C"/>
    <w:rsid w:val="00785865"/>
    <w:rsid w:val="007859C4"/>
    <w:rsid w:val="00785A00"/>
    <w:rsid w:val="00785A16"/>
    <w:rsid w:val="00785AAB"/>
    <w:rsid w:val="00785AD2"/>
    <w:rsid w:val="00785B09"/>
    <w:rsid w:val="00785B28"/>
    <w:rsid w:val="00785B9D"/>
    <w:rsid w:val="00785BB7"/>
    <w:rsid w:val="00785BD7"/>
    <w:rsid w:val="00785C58"/>
    <w:rsid w:val="00785E04"/>
    <w:rsid w:val="00785F65"/>
    <w:rsid w:val="00786055"/>
    <w:rsid w:val="00786074"/>
    <w:rsid w:val="00786195"/>
    <w:rsid w:val="00786228"/>
    <w:rsid w:val="007862AB"/>
    <w:rsid w:val="007862B1"/>
    <w:rsid w:val="007862BC"/>
    <w:rsid w:val="007863FF"/>
    <w:rsid w:val="00786625"/>
    <w:rsid w:val="0078665B"/>
    <w:rsid w:val="007866D3"/>
    <w:rsid w:val="00786827"/>
    <w:rsid w:val="0078689F"/>
    <w:rsid w:val="007868BB"/>
    <w:rsid w:val="007869F6"/>
    <w:rsid w:val="00786A13"/>
    <w:rsid w:val="00786B5C"/>
    <w:rsid w:val="00786B5F"/>
    <w:rsid w:val="00786C7E"/>
    <w:rsid w:val="00786CC7"/>
    <w:rsid w:val="00786CE1"/>
    <w:rsid w:val="00786D1D"/>
    <w:rsid w:val="00786E9C"/>
    <w:rsid w:val="00786F2B"/>
    <w:rsid w:val="00786FA0"/>
    <w:rsid w:val="007870B7"/>
    <w:rsid w:val="007871D1"/>
    <w:rsid w:val="00787301"/>
    <w:rsid w:val="0078738D"/>
    <w:rsid w:val="007873AD"/>
    <w:rsid w:val="0078748C"/>
    <w:rsid w:val="007874E1"/>
    <w:rsid w:val="00787527"/>
    <w:rsid w:val="007875B0"/>
    <w:rsid w:val="007876C2"/>
    <w:rsid w:val="00787702"/>
    <w:rsid w:val="00787704"/>
    <w:rsid w:val="00787713"/>
    <w:rsid w:val="00787855"/>
    <w:rsid w:val="00787886"/>
    <w:rsid w:val="00787898"/>
    <w:rsid w:val="007878DB"/>
    <w:rsid w:val="00787939"/>
    <w:rsid w:val="0078795E"/>
    <w:rsid w:val="007879B9"/>
    <w:rsid w:val="007879C5"/>
    <w:rsid w:val="007879F8"/>
    <w:rsid w:val="00787AA0"/>
    <w:rsid w:val="00787AB1"/>
    <w:rsid w:val="00787ABE"/>
    <w:rsid w:val="00787CC6"/>
    <w:rsid w:val="00787DC1"/>
    <w:rsid w:val="00787EBE"/>
    <w:rsid w:val="00787F7D"/>
    <w:rsid w:val="007900A7"/>
    <w:rsid w:val="00790106"/>
    <w:rsid w:val="00790108"/>
    <w:rsid w:val="00790135"/>
    <w:rsid w:val="00790139"/>
    <w:rsid w:val="0079018C"/>
    <w:rsid w:val="00790388"/>
    <w:rsid w:val="007905A8"/>
    <w:rsid w:val="00790660"/>
    <w:rsid w:val="0079075E"/>
    <w:rsid w:val="007908A9"/>
    <w:rsid w:val="00790A5F"/>
    <w:rsid w:val="00790ADC"/>
    <w:rsid w:val="00790AE3"/>
    <w:rsid w:val="00790B0D"/>
    <w:rsid w:val="00790BA2"/>
    <w:rsid w:val="00790BDA"/>
    <w:rsid w:val="00790C18"/>
    <w:rsid w:val="00790C51"/>
    <w:rsid w:val="00790C88"/>
    <w:rsid w:val="00790E2A"/>
    <w:rsid w:val="00790FD1"/>
    <w:rsid w:val="00791025"/>
    <w:rsid w:val="00791189"/>
    <w:rsid w:val="00791343"/>
    <w:rsid w:val="0079134C"/>
    <w:rsid w:val="0079136F"/>
    <w:rsid w:val="00791399"/>
    <w:rsid w:val="00791468"/>
    <w:rsid w:val="0079159E"/>
    <w:rsid w:val="007915F6"/>
    <w:rsid w:val="00791683"/>
    <w:rsid w:val="0079171D"/>
    <w:rsid w:val="00791768"/>
    <w:rsid w:val="00791791"/>
    <w:rsid w:val="007917A6"/>
    <w:rsid w:val="007917B9"/>
    <w:rsid w:val="007917C3"/>
    <w:rsid w:val="00791AFC"/>
    <w:rsid w:val="00791B23"/>
    <w:rsid w:val="00791CC7"/>
    <w:rsid w:val="00791CF2"/>
    <w:rsid w:val="00791D99"/>
    <w:rsid w:val="00791E98"/>
    <w:rsid w:val="00791EDF"/>
    <w:rsid w:val="00791F32"/>
    <w:rsid w:val="00791FBB"/>
    <w:rsid w:val="00792147"/>
    <w:rsid w:val="00792190"/>
    <w:rsid w:val="00792203"/>
    <w:rsid w:val="00792434"/>
    <w:rsid w:val="00792521"/>
    <w:rsid w:val="00792537"/>
    <w:rsid w:val="00792622"/>
    <w:rsid w:val="00792657"/>
    <w:rsid w:val="00792795"/>
    <w:rsid w:val="00792A4A"/>
    <w:rsid w:val="00792A51"/>
    <w:rsid w:val="00792B29"/>
    <w:rsid w:val="00792B79"/>
    <w:rsid w:val="00792B8E"/>
    <w:rsid w:val="00792C41"/>
    <w:rsid w:val="00792E8E"/>
    <w:rsid w:val="00792E9B"/>
    <w:rsid w:val="00792ED4"/>
    <w:rsid w:val="00792FF3"/>
    <w:rsid w:val="0079304B"/>
    <w:rsid w:val="0079305E"/>
    <w:rsid w:val="007930CD"/>
    <w:rsid w:val="007930E5"/>
    <w:rsid w:val="00793286"/>
    <w:rsid w:val="007932BC"/>
    <w:rsid w:val="00793303"/>
    <w:rsid w:val="00793403"/>
    <w:rsid w:val="007934FF"/>
    <w:rsid w:val="0079351E"/>
    <w:rsid w:val="00793540"/>
    <w:rsid w:val="007936CC"/>
    <w:rsid w:val="00793819"/>
    <w:rsid w:val="00793928"/>
    <w:rsid w:val="00793A20"/>
    <w:rsid w:val="00793A41"/>
    <w:rsid w:val="00793F4C"/>
    <w:rsid w:val="00794036"/>
    <w:rsid w:val="0079408B"/>
    <w:rsid w:val="0079410D"/>
    <w:rsid w:val="00794287"/>
    <w:rsid w:val="00794298"/>
    <w:rsid w:val="00794403"/>
    <w:rsid w:val="0079441F"/>
    <w:rsid w:val="007945FF"/>
    <w:rsid w:val="00794672"/>
    <w:rsid w:val="00794875"/>
    <w:rsid w:val="0079492C"/>
    <w:rsid w:val="00794A2B"/>
    <w:rsid w:val="00794A6E"/>
    <w:rsid w:val="00794B47"/>
    <w:rsid w:val="00794C09"/>
    <w:rsid w:val="00794C78"/>
    <w:rsid w:val="00794DE9"/>
    <w:rsid w:val="00794DF6"/>
    <w:rsid w:val="00794EB9"/>
    <w:rsid w:val="00794F1B"/>
    <w:rsid w:val="00794FA4"/>
    <w:rsid w:val="00794FB8"/>
    <w:rsid w:val="00794FDB"/>
    <w:rsid w:val="00794FFB"/>
    <w:rsid w:val="0079518B"/>
    <w:rsid w:val="007951F3"/>
    <w:rsid w:val="00795257"/>
    <w:rsid w:val="00795438"/>
    <w:rsid w:val="00795488"/>
    <w:rsid w:val="007954D3"/>
    <w:rsid w:val="007956E8"/>
    <w:rsid w:val="0079578E"/>
    <w:rsid w:val="007957A2"/>
    <w:rsid w:val="00795A06"/>
    <w:rsid w:val="00795A35"/>
    <w:rsid w:val="00795AA6"/>
    <w:rsid w:val="00795B8C"/>
    <w:rsid w:val="00795C66"/>
    <w:rsid w:val="00795DA1"/>
    <w:rsid w:val="00795DA7"/>
    <w:rsid w:val="00795E45"/>
    <w:rsid w:val="00796092"/>
    <w:rsid w:val="00796097"/>
    <w:rsid w:val="007960D4"/>
    <w:rsid w:val="00796212"/>
    <w:rsid w:val="00796289"/>
    <w:rsid w:val="007962CF"/>
    <w:rsid w:val="00796317"/>
    <w:rsid w:val="007963C1"/>
    <w:rsid w:val="007963CF"/>
    <w:rsid w:val="00796462"/>
    <w:rsid w:val="007964A0"/>
    <w:rsid w:val="007965B7"/>
    <w:rsid w:val="00796785"/>
    <w:rsid w:val="007967A9"/>
    <w:rsid w:val="00796808"/>
    <w:rsid w:val="00796871"/>
    <w:rsid w:val="00796923"/>
    <w:rsid w:val="007969E9"/>
    <w:rsid w:val="00796A53"/>
    <w:rsid w:val="00796BD8"/>
    <w:rsid w:val="00796C21"/>
    <w:rsid w:val="00796D48"/>
    <w:rsid w:val="00796ECC"/>
    <w:rsid w:val="00796F5E"/>
    <w:rsid w:val="00796F61"/>
    <w:rsid w:val="00796F9B"/>
    <w:rsid w:val="00797030"/>
    <w:rsid w:val="00797055"/>
    <w:rsid w:val="00797165"/>
    <w:rsid w:val="0079725F"/>
    <w:rsid w:val="00797319"/>
    <w:rsid w:val="0079734C"/>
    <w:rsid w:val="007974CF"/>
    <w:rsid w:val="0079752D"/>
    <w:rsid w:val="00797651"/>
    <w:rsid w:val="00797666"/>
    <w:rsid w:val="00797717"/>
    <w:rsid w:val="00797739"/>
    <w:rsid w:val="007977B0"/>
    <w:rsid w:val="007977B1"/>
    <w:rsid w:val="007979DB"/>
    <w:rsid w:val="00797A4A"/>
    <w:rsid w:val="00797B33"/>
    <w:rsid w:val="00797C5C"/>
    <w:rsid w:val="007A0012"/>
    <w:rsid w:val="007A001C"/>
    <w:rsid w:val="007A00C0"/>
    <w:rsid w:val="007A025F"/>
    <w:rsid w:val="007A029F"/>
    <w:rsid w:val="007A02C9"/>
    <w:rsid w:val="007A02CE"/>
    <w:rsid w:val="007A0322"/>
    <w:rsid w:val="007A0449"/>
    <w:rsid w:val="007A04AD"/>
    <w:rsid w:val="007A05C5"/>
    <w:rsid w:val="007A0619"/>
    <w:rsid w:val="007A0647"/>
    <w:rsid w:val="007A066F"/>
    <w:rsid w:val="007A0688"/>
    <w:rsid w:val="007A0813"/>
    <w:rsid w:val="007A08CA"/>
    <w:rsid w:val="007A08E4"/>
    <w:rsid w:val="007A093E"/>
    <w:rsid w:val="007A0AA8"/>
    <w:rsid w:val="007A0CA2"/>
    <w:rsid w:val="007A0D0D"/>
    <w:rsid w:val="007A0DD0"/>
    <w:rsid w:val="007A0E1C"/>
    <w:rsid w:val="007A0E53"/>
    <w:rsid w:val="007A0E68"/>
    <w:rsid w:val="007A0E82"/>
    <w:rsid w:val="007A0EF3"/>
    <w:rsid w:val="007A0F1E"/>
    <w:rsid w:val="007A1100"/>
    <w:rsid w:val="007A11CA"/>
    <w:rsid w:val="007A131F"/>
    <w:rsid w:val="007A1407"/>
    <w:rsid w:val="007A1488"/>
    <w:rsid w:val="007A14CB"/>
    <w:rsid w:val="007A16E8"/>
    <w:rsid w:val="007A1872"/>
    <w:rsid w:val="007A1900"/>
    <w:rsid w:val="007A19A8"/>
    <w:rsid w:val="007A19D2"/>
    <w:rsid w:val="007A1A0B"/>
    <w:rsid w:val="007A1D3C"/>
    <w:rsid w:val="007A1D9F"/>
    <w:rsid w:val="007A1E56"/>
    <w:rsid w:val="007A2070"/>
    <w:rsid w:val="007A20B3"/>
    <w:rsid w:val="007A21D0"/>
    <w:rsid w:val="007A21FE"/>
    <w:rsid w:val="007A22D5"/>
    <w:rsid w:val="007A24D4"/>
    <w:rsid w:val="007A2577"/>
    <w:rsid w:val="007A265B"/>
    <w:rsid w:val="007A269E"/>
    <w:rsid w:val="007A26F6"/>
    <w:rsid w:val="007A27C6"/>
    <w:rsid w:val="007A2946"/>
    <w:rsid w:val="007A2967"/>
    <w:rsid w:val="007A2A3C"/>
    <w:rsid w:val="007A2A81"/>
    <w:rsid w:val="007A2B51"/>
    <w:rsid w:val="007A2B55"/>
    <w:rsid w:val="007A2C90"/>
    <w:rsid w:val="007A2CC6"/>
    <w:rsid w:val="007A3285"/>
    <w:rsid w:val="007A330F"/>
    <w:rsid w:val="007A3360"/>
    <w:rsid w:val="007A336F"/>
    <w:rsid w:val="007A3402"/>
    <w:rsid w:val="007A344A"/>
    <w:rsid w:val="007A3473"/>
    <w:rsid w:val="007A34A1"/>
    <w:rsid w:val="007A34CF"/>
    <w:rsid w:val="007A34E1"/>
    <w:rsid w:val="007A358C"/>
    <w:rsid w:val="007A35F3"/>
    <w:rsid w:val="007A3666"/>
    <w:rsid w:val="007A36EB"/>
    <w:rsid w:val="007A37C1"/>
    <w:rsid w:val="007A37E8"/>
    <w:rsid w:val="007A3912"/>
    <w:rsid w:val="007A3923"/>
    <w:rsid w:val="007A3A7E"/>
    <w:rsid w:val="007A3A8F"/>
    <w:rsid w:val="007A3BE1"/>
    <w:rsid w:val="007A3BEA"/>
    <w:rsid w:val="007A3DBF"/>
    <w:rsid w:val="007A3E90"/>
    <w:rsid w:val="007A3F03"/>
    <w:rsid w:val="007A3F8B"/>
    <w:rsid w:val="007A4051"/>
    <w:rsid w:val="007A41CE"/>
    <w:rsid w:val="007A4291"/>
    <w:rsid w:val="007A42AE"/>
    <w:rsid w:val="007A437D"/>
    <w:rsid w:val="007A438D"/>
    <w:rsid w:val="007A43F0"/>
    <w:rsid w:val="007A4524"/>
    <w:rsid w:val="007A4599"/>
    <w:rsid w:val="007A45A9"/>
    <w:rsid w:val="007A46C3"/>
    <w:rsid w:val="007A46DD"/>
    <w:rsid w:val="007A46F5"/>
    <w:rsid w:val="007A482F"/>
    <w:rsid w:val="007A489F"/>
    <w:rsid w:val="007A4A17"/>
    <w:rsid w:val="007A4A27"/>
    <w:rsid w:val="007A4A80"/>
    <w:rsid w:val="007A4BDC"/>
    <w:rsid w:val="007A4CBE"/>
    <w:rsid w:val="007A4DDA"/>
    <w:rsid w:val="007A4E5E"/>
    <w:rsid w:val="007A4F56"/>
    <w:rsid w:val="007A4FE8"/>
    <w:rsid w:val="007A4FF1"/>
    <w:rsid w:val="007A513A"/>
    <w:rsid w:val="007A520B"/>
    <w:rsid w:val="007A5266"/>
    <w:rsid w:val="007A52A4"/>
    <w:rsid w:val="007A52CD"/>
    <w:rsid w:val="007A53A4"/>
    <w:rsid w:val="007A53B5"/>
    <w:rsid w:val="007A53C2"/>
    <w:rsid w:val="007A55CE"/>
    <w:rsid w:val="007A563F"/>
    <w:rsid w:val="007A5640"/>
    <w:rsid w:val="007A569F"/>
    <w:rsid w:val="007A57B1"/>
    <w:rsid w:val="007A583D"/>
    <w:rsid w:val="007A589B"/>
    <w:rsid w:val="007A58D5"/>
    <w:rsid w:val="007A598A"/>
    <w:rsid w:val="007A5AE4"/>
    <w:rsid w:val="007A5B22"/>
    <w:rsid w:val="007A5B98"/>
    <w:rsid w:val="007A5C0B"/>
    <w:rsid w:val="007A5CD9"/>
    <w:rsid w:val="007A5DD2"/>
    <w:rsid w:val="007A5E1E"/>
    <w:rsid w:val="007A5FEE"/>
    <w:rsid w:val="007A604B"/>
    <w:rsid w:val="007A6134"/>
    <w:rsid w:val="007A614B"/>
    <w:rsid w:val="007A6178"/>
    <w:rsid w:val="007A630A"/>
    <w:rsid w:val="007A63F6"/>
    <w:rsid w:val="007A6672"/>
    <w:rsid w:val="007A6678"/>
    <w:rsid w:val="007A68E7"/>
    <w:rsid w:val="007A6A90"/>
    <w:rsid w:val="007A6B20"/>
    <w:rsid w:val="007A6B7E"/>
    <w:rsid w:val="007A6BE7"/>
    <w:rsid w:val="007A6C3E"/>
    <w:rsid w:val="007A6CB6"/>
    <w:rsid w:val="007A6D13"/>
    <w:rsid w:val="007A6E68"/>
    <w:rsid w:val="007A6EE1"/>
    <w:rsid w:val="007A6FDA"/>
    <w:rsid w:val="007A6FDC"/>
    <w:rsid w:val="007A6FF2"/>
    <w:rsid w:val="007A7049"/>
    <w:rsid w:val="007A70C8"/>
    <w:rsid w:val="007A7148"/>
    <w:rsid w:val="007A7188"/>
    <w:rsid w:val="007A71CD"/>
    <w:rsid w:val="007A71FC"/>
    <w:rsid w:val="007A72EF"/>
    <w:rsid w:val="007A737E"/>
    <w:rsid w:val="007A750B"/>
    <w:rsid w:val="007A7692"/>
    <w:rsid w:val="007A7729"/>
    <w:rsid w:val="007A775E"/>
    <w:rsid w:val="007A778D"/>
    <w:rsid w:val="007A78B9"/>
    <w:rsid w:val="007A78D6"/>
    <w:rsid w:val="007A7960"/>
    <w:rsid w:val="007A7B08"/>
    <w:rsid w:val="007A7B16"/>
    <w:rsid w:val="007A7CFB"/>
    <w:rsid w:val="007A7D85"/>
    <w:rsid w:val="007A7EF2"/>
    <w:rsid w:val="007A7EF3"/>
    <w:rsid w:val="007A7F77"/>
    <w:rsid w:val="007A7FA0"/>
    <w:rsid w:val="007A7FC6"/>
    <w:rsid w:val="007B00C4"/>
    <w:rsid w:val="007B00D3"/>
    <w:rsid w:val="007B012E"/>
    <w:rsid w:val="007B0181"/>
    <w:rsid w:val="007B021C"/>
    <w:rsid w:val="007B0288"/>
    <w:rsid w:val="007B0364"/>
    <w:rsid w:val="007B038E"/>
    <w:rsid w:val="007B03AF"/>
    <w:rsid w:val="007B047C"/>
    <w:rsid w:val="007B0529"/>
    <w:rsid w:val="007B0556"/>
    <w:rsid w:val="007B0559"/>
    <w:rsid w:val="007B057E"/>
    <w:rsid w:val="007B05C4"/>
    <w:rsid w:val="007B05E8"/>
    <w:rsid w:val="007B0676"/>
    <w:rsid w:val="007B0747"/>
    <w:rsid w:val="007B07E5"/>
    <w:rsid w:val="007B07EE"/>
    <w:rsid w:val="007B080E"/>
    <w:rsid w:val="007B082A"/>
    <w:rsid w:val="007B085A"/>
    <w:rsid w:val="007B08E8"/>
    <w:rsid w:val="007B0AB9"/>
    <w:rsid w:val="007B0AF9"/>
    <w:rsid w:val="007B0BB0"/>
    <w:rsid w:val="007B0DD8"/>
    <w:rsid w:val="007B0E57"/>
    <w:rsid w:val="007B0E9F"/>
    <w:rsid w:val="007B0EAD"/>
    <w:rsid w:val="007B1052"/>
    <w:rsid w:val="007B10B4"/>
    <w:rsid w:val="007B1134"/>
    <w:rsid w:val="007B12D2"/>
    <w:rsid w:val="007B13E2"/>
    <w:rsid w:val="007B16A8"/>
    <w:rsid w:val="007B16AD"/>
    <w:rsid w:val="007B16CF"/>
    <w:rsid w:val="007B188A"/>
    <w:rsid w:val="007B1B02"/>
    <w:rsid w:val="007B1E01"/>
    <w:rsid w:val="007B1EDE"/>
    <w:rsid w:val="007B208E"/>
    <w:rsid w:val="007B20AF"/>
    <w:rsid w:val="007B2276"/>
    <w:rsid w:val="007B232A"/>
    <w:rsid w:val="007B2485"/>
    <w:rsid w:val="007B257D"/>
    <w:rsid w:val="007B2593"/>
    <w:rsid w:val="007B269C"/>
    <w:rsid w:val="007B26C3"/>
    <w:rsid w:val="007B27FE"/>
    <w:rsid w:val="007B2933"/>
    <w:rsid w:val="007B29E4"/>
    <w:rsid w:val="007B2A84"/>
    <w:rsid w:val="007B2BC1"/>
    <w:rsid w:val="007B2C3A"/>
    <w:rsid w:val="007B2D90"/>
    <w:rsid w:val="007B2E98"/>
    <w:rsid w:val="007B2FBC"/>
    <w:rsid w:val="007B3010"/>
    <w:rsid w:val="007B30A4"/>
    <w:rsid w:val="007B3248"/>
    <w:rsid w:val="007B3297"/>
    <w:rsid w:val="007B32EA"/>
    <w:rsid w:val="007B3419"/>
    <w:rsid w:val="007B3431"/>
    <w:rsid w:val="007B35EA"/>
    <w:rsid w:val="007B36B2"/>
    <w:rsid w:val="007B399C"/>
    <w:rsid w:val="007B39EA"/>
    <w:rsid w:val="007B3A6B"/>
    <w:rsid w:val="007B3B7D"/>
    <w:rsid w:val="007B3BDE"/>
    <w:rsid w:val="007B3C19"/>
    <w:rsid w:val="007B3CCB"/>
    <w:rsid w:val="007B3D1C"/>
    <w:rsid w:val="007B3DC3"/>
    <w:rsid w:val="007B423E"/>
    <w:rsid w:val="007B429B"/>
    <w:rsid w:val="007B4333"/>
    <w:rsid w:val="007B4352"/>
    <w:rsid w:val="007B4384"/>
    <w:rsid w:val="007B4548"/>
    <w:rsid w:val="007B45EC"/>
    <w:rsid w:val="007B4613"/>
    <w:rsid w:val="007B4758"/>
    <w:rsid w:val="007B47CA"/>
    <w:rsid w:val="007B484E"/>
    <w:rsid w:val="007B48B8"/>
    <w:rsid w:val="007B4A59"/>
    <w:rsid w:val="007B4B61"/>
    <w:rsid w:val="007B4B83"/>
    <w:rsid w:val="007B4C1F"/>
    <w:rsid w:val="007B4D71"/>
    <w:rsid w:val="007B4EF0"/>
    <w:rsid w:val="007B4F2F"/>
    <w:rsid w:val="007B507B"/>
    <w:rsid w:val="007B50E6"/>
    <w:rsid w:val="007B50FA"/>
    <w:rsid w:val="007B5168"/>
    <w:rsid w:val="007B52EC"/>
    <w:rsid w:val="007B5347"/>
    <w:rsid w:val="007B5479"/>
    <w:rsid w:val="007B5597"/>
    <w:rsid w:val="007B564D"/>
    <w:rsid w:val="007B56A0"/>
    <w:rsid w:val="007B56B7"/>
    <w:rsid w:val="007B5902"/>
    <w:rsid w:val="007B598C"/>
    <w:rsid w:val="007B59B3"/>
    <w:rsid w:val="007B5A80"/>
    <w:rsid w:val="007B5AE4"/>
    <w:rsid w:val="007B5B0A"/>
    <w:rsid w:val="007B5BE0"/>
    <w:rsid w:val="007B5BE6"/>
    <w:rsid w:val="007B5C93"/>
    <w:rsid w:val="007B5D65"/>
    <w:rsid w:val="007B5D92"/>
    <w:rsid w:val="007B5F70"/>
    <w:rsid w:val="007B5FF0"/>
    <w:rsid w:val="007B605F"/>
    <w:rsid w:val="007B60E1"/>
    <w:rsid w:val="007B60ED"/>
    <w:rsid w:val="007B614D"/>
    <w:rsid w:val="007B61E7"/>
    <w:rsid w:val="007B621B"/>
    <w:rsid w:val="007B6277"/>
    <w:rsid w:val="007B62DF"/>
    <w:rsid w:val="007B635F"/>
    <w:rsid w:val="007B6424"/>
    <w:rsid w:val="007B6497"/>
    <w:rsid w:val="007B64C2"/>
    <w:rsid w:val="007B64D7"/>
    <w:rsid w:val="007B67E0"/>
    <w:rsid w:val="007B681B"/>
    <w:rsid w:val="007B686B"/>
    <w:rsid w:val="007B6974"/>
    <w:rsid w:val="007B6A07"/>
    <w:rsid w:val="007B6A2A"/>
    <w:rsid w:val="007B6A6E"/>
    <w:rsid w:val="007B6A90"/>
    <w:rsid w:val="007B6AE7"/>
    <w:rsid w:val="007B6BA6"/>
    <w:rsid w:val="007B6CDE"/>
    <w:rsid w:val="007B6CFD"/>
    <w:rsid w:val="007B6D0E"/>
    <w:rsid w:val="007B6D17"/>
    <w:rsid w:val="007B6EA5"/>
    <w:rsid w:val="007B6EB7"/>
    <w:rsid w:val="007B6F86"/>
    <w:rsid w:val="007B6FA2"/>
    <w:rsid w:val="007B6FE6"/>
    <w:rsid w:val="007B70AA"/>
    <w:rsid w:val="007B70AB"/>
    <w:rsid w:val="007B7365"/>
    <w:rsid w:val="007B739F"/>
    <w:rsid w:val="007B7563"/>
    <w:rsid w:val="007B7642"/>
    <w:rsid w:val="007B767B"/>
    <w:rsid w:val="007B769C"/>
    <w:rsid w:val="007B77C3"/>
    <w:rsid w:val="007B77E0"/>
    <w:rsid w:val="007B783E"/>
    <w:rsid w:val="007B78BD"/>
    <w:rsid w:val="007B792D"/>
    <w:rsid w:val="007B79DA"/>
    <w:rsid w:val="007B7B1E"/>
    <w:rsid w:val="007B7B51"/>
    <w:rsid w:val="007B7C0C"/>
    <w:rsid w:val="007B7C45"/>
    <w:rsid w:val="007B7CB8"/>
    <w:rsid w:val="007B7D08"/>
    <w:rsid w:val="007B7DC3"/>
    <w:rsid w:val="007B7DF7"/>
    <w:rsid w:val="007B7EA9"/>
    <w:rsid w:val="007B7F1C"/>
    <w:rsid w:val="007B7F3C"/>
    <w:rsid w:val="007B7FBD"/>
    <w:rsid w:val="007C0024"/>
    <w:rsid w:val="007C0211"/>
    <w:rsid w:val="007C0238"/>
    <w:rsid w:val="007C031B"/>
    <w:rsid w:val="007C03D6"/>
    <w:rsid w:val="007C0513"/>
    <w:rsid w:val="007C067F"/>
    <w:rsid w:val="007C07B9"/>
    <w:rsid w:val="007C07E5"/>
    <w:rsid w:val="007C07FB"/>
    <w:rsid w:val="007C0818"/>
    <w:rsid w:val="007C097F"/>
    <w:rsid w:val="007C09D0"/>
    <w:rsid w:val="007C0A05"/>
    <w:rsid w:val="007C0D3E"/>
    <w:rsid w:val="007C0E1D"/>
    <w:rsid w:val="007C0F5B"/>
    <w:rsid w:val="007C0F75"/>
    <w:rsid w:val="007C0FF2"/>
    <w:rsid w:val="007C1052"/>
    <w:rsid w:val="007C1068"/>
    <w:rsid w:val="007C119C"/>
    <w:rsid w:val="007C1243"/>
    <w:rsid w:val="007C1268"/>
    <w:rsid w:val="007C1290"/>
    <w:rsid w:val="007C12CD"/>
    <w:rsid w:val="007C1338"/>
    <w:rsid w:val="007C14C3"/>
    <w:rsid w:val="007C151C"/>
    <w:rsid w:val="007C1541"/>
    <w:rsid w:val="007C160E"/>
    <w:rsid w:val="007C16BF"/>
    <w:rsid w:val="007C17BA"/>
    <w:rsid w:val="007C1835"/>
    <w:rsid w:val="007C1AA6"/>
    <w:rsid w:val="007C1D04"/>
    <w:rsid w:val="007C1D2A"/>
    <w:rsid w:val="007C1D7B"/>
    <w:rsid w:val="007C1E80"/>
    <w:rsid w:val="007C1F72"/>
    <w:rsid w:val="007C1F7A"/>
    <w:rsid w:val="007C2004"/>
    <w:rsid w:val="007C22F9"/>
    <w:rsid w:val="007C2345"/>
    <w:rsid w:val="007C236E"/>
    <w:rsid w:val="007C2395"/>
    <w:rsid w:val="007C24FC"/>
    <w:rsid w:val="007C2651"/>
    <w:rsid w:val="007C2667"/>
    <w:rsid w:val="007C286D"/>
    <w:rsid w:val="007C2890"/>
    <w:rsid w:val="007C28CD"/>
    <w:rsid w:val="007C298D"/>
    <w:rsid w:val="007C2A85"/>
    <w:rsid w:val="007C2AE3"/>
    <w:rsid w:val="007C2B31"/>
    <w:rsid w:val="007C2BC1"/>
    <w:rsid w:val="007C2BE6"/>
    <w:rsid w:val="007C2CEB"/>
    <w:rsid w:val="007C2ED6"/>
    <w:rsid w:val="007C2F60"/>
    <w:rsid w:val="007C2FEF"/>
    <w:rsid w:val="007C3023"/>
    <w:rsid w:val="007C31EC"/>
    <w:rsid w:val="007C3470"/>
    <w:rsid w:val="007C34A3"/>
    <w:rsid w:val="007C356A"/>
    <w:rsid w:val="007C3743"/>
    <w:rsid w:val="007C3914"/>
    <w:rsid w:val="007C3985"/>
    <w:rsid w:val="007C39D3"/>
    <w:rsid w:val="007C3B9E"/>
    <w:rsid w:val="007C3C44"/>
    <w:rsid w:val="007C3DEA"/>
    <w:rsid w:val="007C3EAB"/>
    <w:rsid w:val="007C40A4"/>
    <w:rsid w:val="007C41FF"/>
    <w:rsid w:val="007C4313"/>
    <w:rsid w:val="007C4332"/>
    <w:rsid w:val="007C4451"/>
    <w:rsid w:val="007C445C"/>
    <w:rsid w:val="007C44E8"/>
    <w:rsid w:val="007C454D"/>
    <w:rsid w:val="007C4602"/>
    <w:rsid w:val="007C4726"/>
    <w:rsid w:val="007C4731"/>
    <w:rsid w:val="007C47D4"/>
    <w:rsid w:val="007C47D8"/>
    <w:rsid w:val="007C48B2"/>
    <w:rsid w:val="007C48CF"/>
    <w:rsid w:val="007C4903"/>
    <w:rsid w:val="007C4A28"/>
    <w:rsid w:val="007C4A66"/>
    <w:rsid w:val="007C4B53"/>
    <w:rsid w:val="007C4BF3"/>
    <w:rsid w:val="007C4C28"/>
    <w:rsid w:val="007C4CFF"/>
    <w:rsid w:val="007C4D92"/>
    <w:rsid w:val="007C4ECF"/>
    <w:rsid w:val="007C4F32"/>
    <w:rsid w:val="007C4FA6"/>
    <w:rsid w:val="007C5164"/>
    <w:rsid w:val="007C5348"/>
    <w:rsid w:val="007C5382"/>
    <w:rsid w:val="007C53B8"/>
    <w:rsid w:val="007C555F"/>
    <w:rsid w:val="007C570C"/>
    <w:rsid w:val="007C57A8"/>
    <w:rsid w:val="007C5881"/>
    <w:rsid w:val="007C58ED"/>
    <w:rsid w:val="007C5913"/>
    <w:rsid w:val="007C594A"/>
    <w:rsid w:val="007C59E3"/>
    <w:rsid w:val="007C5AD3"/>
    <w:rsid w:val="007C5C35"/>
    <w:rsid w:val="007C5D65"/>
    <w:rsid w:val="007C5E5B"/>
    <w:rsid w:val="007C5F1B"/>
    <w:rsid w:val="007C60A7"/>
    <w:rsid w:val="007C61E9"/>
    <w:rsid w:val="007C6252"/>
    <w:rsid w:val="007C630F"/>
    <w:rsid w:val="007C631D"/>
    <w:rsid w:val="007C6375"/>
    <w:rsid w:val="007C6447"/>
    <w:rsid w:val="007C64AA"/>
    <w:rsid w:val="007C64E6"/>
    <w:rsid w:val="007C651C"/>
    <w:rsid w:val="007C65E6"/>
    <w:rsid w:val="007C6662"/>
    <w:rsid w:val="007C66C9"/>
    <w:rsid w:val="007C670B"/>
    <w:rsid w:val="007C67C2"/>
    <w:rsid w:val="007C68B4"/>
    <w:rsid w:val="007C69DA"/>
    <w:rsid w:val="007C69F1"/>
    <w:rsid w:val="007C6A4C"/>
    <w:rsid w:val="007C6A8F"/>
    <w:rsid w:val="007C6AC2"/>
    <w:rsid w:val="007C6BE4"/>
    <w:rsid w:val="007C6C45"/>
    <w:rsid w:val="007C6C4C"/>
    <w:rsid w:val="007C6C63"/>
    <w:rsid w:val="007C6CA3"/>
    <w:rsid w:val="007C6D08"/>
    <w:rsid w:val="007C6D8B"/>
    <w:rsid w:val="007C6DBB"/>
    <w:rsid w:val="007C6DFB"/>
    <w:rsid w:val="007C6E10"/>
    <w:rsid w:val="007C6E5A"/>
    <w:rsid w:val="007C6EE7"/>
    <w:rsid w:val="007C7059"/>
    <w:rsid w:val="007C7087"/>
    <w:rsid w:val="007C712B"/>
    <w:rsid w:val="007C712E"/>
    <w:rsid w:val="007C717A"/>
    <w:rsid w:val="007C72B5"/>
    <w:rsid w:val="007C73A4"/>
    <w:rsid w:val="007C7413"/>
    <w:rsid w:val="007C7592"/>
    <w:rsid w:val="007C761E"/>
    <w:rsid w:val="007C76FB"/>
    <w:rsid w:val="007C776C"/>
    <w:rsid w:val="007C77F9"/>
    <w:rsid w:val="007C793E"/>
    <w:rsid w:val="007C7A7B"/>
    <w:rsid w:val="007C7ABF"/>
    <w:rsid w:val="007C7ADB"/>
    <w:rsid w:val="007C7BA4"/>
    <w:rsid w:val="007C7C14"/>
    <w:rsid w:val="007C7C21"/>
    <w:rsid w:val="007C7DF8"/>
    <w:rsid w:val="007C7E29"/>
    <w:rsid w:val="007C7E74"/>
    <w:rsid w:val="007C7F2D"/>
    <w:rsid w:val="007D00E4"/>
    <w:rsid w:val="007D018B"/>
    <w:rsid w:val="007D020F"/>
    <w:rsid w:val="007D02A9"/>
    <w:rsid w:val="007D0340"/>
    <w:rsid w:val="007D0370"/>
    <w:rsid w:val="007D03D9"/>
    <w:rsid w:val="007D03F0"/>
    <w:rsid w:val="007D0489"/>
    <w:rsid w:val="007D0492"/>
    <w:rsid w:val="007D0522"/>
    <w:rsid w:val="007D0542"/>
    <w:rsid w:val="007D055D"/>
    <w:rsid w:val="007D05EF"/>
    <w:rsid w:val="007D079C"/>
    <w:rsid w:val="007D081C"/>
    <w:rsid w:val="007D088E"/>
    <w:rsid w:val="007D08AC"/>
    <w:rsid w:val="007D099B"/>
    <w:rsid w:val="007D09D2"/>
    <w:rsid w:val="007D0A36"/>
    <w:rsid w:val="007D0AAA"/>
    <w:rsid w:val="007D0CB8"/>
    <w:rsid w:val="007D0DA5"/>
    <w:rsid w:val="007D0DF5"/>
    <w:rsid w:val="007D0E3D"/>
    <w:rsid w:val="007D0F33"/>
    <w:rsid w:val="007D0F40"/>
    <w:rsid w:val="007D103E"/>
    <w:rsid w:val="007D103F"/>
    <w:rsid w:val="007D110F"/>
    <w:rsid w:val="007D113B"/>
    <w:rsid w:val="007D11F6"/>
    <w:rsid w:val="007D1325"/>
    <w:rsid w:val="007D1342"/>
    <w:rsid w:val="007D1365"/>
    <w:rsid w:val="007D1373"/>
    <w:rsid w:val="007D15A9"/>
    <w:rsid w:val="007D161A"/>
    <w:rsid w:val="007D163D"/>
    <w:rsid w:val="007D1699"/>
    <w:rsid w:val="007D16BB"/>
    <w:rsid w:val="007D1737"/>
    <w:rsid w:val="007D178A"/>
    <w:rsid w:val="007D178D"/>
    <w:rsid w:val="007D17F8"/>
    <w:rsid w:val="007D1815"/>
    <w:rsid w:val="007D18D2"/>
    <w:rsid w:val="007D1B1A"/>
    <w:rsid w:val="007D1C7C"/>
    <w:rsid w:val="007D1CD6"/>
    <w:rsid w:val="007D1E06"/>
    <w:rsid w:val="007D2195"/>
    <w:rsid w:val="007D2248"/>
    <w:rsid w:val="007D23BD"/>
    <w:rsid w:val="007D23F2"/>
    <w:rsid w:val="007D2742"/>
    <w:rsid w:val="007D277C"/>
    <w:rsid w:val="007D2837"/>
    <w:rsid w:val="007D28EB"/>
    <w:rsid w:val="007D29E4"/>
    <w:rsid w:val="007D2DE7"/>
    <w:rsid w:val="007D2DF3"/>
    <w:rsid w:val="007D2E05"/>
    <w:rsid w:val="007D2E73"/>
    <w:rsid w:val="007D2EC6"/>
    <w:rsid w:val="007D2F1E"/>
    <w:rsid w:val="007D3032"/>
    <w:rsid w:val="007D304C"/>
    <w:rsid w:val="007D3102"/>
    <w:rsid w:val="007D3272"/>
    <w:rsid w:val="007D32B1"/>
    <w:rsid w:val="007D34AD"/>
    <w:rsid w:val="007D35B7"/>
    <w:rsid w:val="007D35BC"/>
    <w:rsid w:val="007D36BB"/>
    <w:rsid w:val="007D36CC"/>
    <w:rsid w:val="007D36FC"/>
    <w:rsid w:val="007D3705"/>
    <w:rsid w:val="007D3867"/>
    <w:rsid w:val="007D3869"/>
    <w:rsid w:val="007D399E"/>
    <w:rsid w:val="007D39BC"/>
    <w:rsid w:val="007D39E5"/>
    <w:rsid w:val="007D3AB8"/>
    <w:rsid w:val="007D3B37"/>
    <w:rsid w:val="007D3B67"/>
    <w:rsid w:val="007D3BCB"/>
    <w:rsid w:val="007D3C81"/>
    <w:rsid w:val="007D3C92"/>
    <w:rsid w:val="007D3CB3"/>
    <w:rsid w:val="007D3CD6"/>
    <w:rsid w:val="007D3D93"/>
    <w:rsid w:val="007D3EB0"/>
    <w:rsid w:val="007D3EE5"/>
    <w:rsid w:val="007D3F3A"/>
    <w:rsid w:val="007D3FF8"/>
    <w:rsid w:val="007D4151"/>
    <w:rsid w:val="007D4195"/>
    <w:rsid w:val="007D4297"/>
    <w:rsid w:val="007D42EB"/>
    <w:rsid w:val="007D42F9"/>
    <w:rsid w:val="007D435A"/>
    <w:rsid w:val="007D4484"/>
    <w:rsid w:val="007D45C3"/>
    <w:rsid w:val="007D460E"/>
    <w:rsid w:val="007D4801"/>
    <w:rsid w:val="007D482C"/>
    <w:rsid w:val="007D486D"/>
    <w:rsid w:val="007D4907"/>
    <w:rsid w:val="007D4BE1"/>
    <w:rsid w:val="007D4C0E"/>
    <w:rsid w:val="007D4C25"/>
    <w:rsid w:val="007D4C66"/>
    <w:rsid w:val="007D4CE1"/>
    <w:rsid w:val="007D4D6F"/>
    <w:rsid w:val="007D4DFC"/>
    <w:rsid w:val="007D4F16"/>
    <w:rsid w:val="007D4F76"/>
    <w:rsid w:val="007D4FFA"/>
    <w:rsid w:val="007D502A"/>
    <w:rsid w:val="007D5041"/>
    <w:rsid w:val="007D5049"/>
    <w:rsid w:val="007D5094"/>
    <w:rsid w:val="007D509F"/>
    <w:rsid w:val="007D50A7"/>
    <w:rsid w:val="007D50BA"/>
    <w:rsid w:val="007D5107"/>
    <w:rsid w:val="007D51A8"/>
    <w:rsid w:val="007D55C5"/>
    <w:rsid w:val="007D5707"/>
    <w:rsid w:val="007D575E"/>
    <w:rsid w:val="007D58F0"/>
    <w:rsid w:val="007D5921"/>
    <w:rsid w:val="007D5994"/>
    <w:rsid w:val="007D59DC"/>
    <w:rsid w:val="007D5A86"/>
    <w:rsid w:val="007D5B8E"/>
    <w:rsid w:val="007D5BCC"/>
    <w:rsid w:val="007D5DDC"/>
    <w:rsid w:val="007D5EAC"/>
    <w:rsid w:val="007D60B7"/>
    <w:rsid w:val="007D61E3"/>
    <w:rsid w:val="007D6237"/>
    <w:rsid w:val="007D631E"/>
    <w:rsid w:val="007D63D9"/>
    <w:rsid w:val="007D65C0"/>
    <w:rsid w:val="007D6721"/>
    <w:rsid w:val="007D6830"/>
    <w:rsid w:val="007D6914"/>
    <w:rsid w:val="007D6945"/>
    <w:rsid w:val="007D69E3"/>
    <w:rsid w:val="007D6A55"/>
    <w:rsid w:val="007D6AC5"/>
    <w:rsid w:val="007D6AC8"/>
    <w:rsid w:val="007D6B0E"/>
    <w:rsid w:val="007D6B54"/>
    <w:rsid w:val="007D6C8E"/>
    <w:rsid w:val="007D6D64"/>
    <w:rsid w:val="007D6ECE"/>
    <w:rsid w:val="007D6ED1"/>
    <w:rsid w:val="007D6FA7"/>
    <w:rsid w:val="007D703C"/>
    <w:rsid w:val="007D705F"/>
    <w:rsid w:val="007D759B"/>
    <w:rsid w:val="007D784B"/>
    <w:rsid w:val="007D7853"/>
    <w:rsid w:val="007D7896"/>
    <w:rsid w:val="007D7897"/>
    <w:rsid w:val="007D78BC"/>
    <w:rsid w:val="007D7932"/>
    <w:rsid w:val="007D7AE4"/>
    <w:rsid w:val="007D7C14"/>
    <w:rsid w:val="007D7CA1"/>
    <w:rsid w:val="007D7D08"/>
    <w:rsid w:val="007E0019"/>
    <w:rsid w:val="007E00BF"/>
    <w:rsid w:val="007E011C"/>
    <w:rsid w:val="007E0213"/>
    <w:rsid w:val="007E0263"/>
    <w:rsid w:val="007E02BA"/>
    <w:rsid w:val="007E0456"/>
    <w:rsid w:val="007E04A3"/>
    <w:rsid w:val="007E04C5"/>
    <w:rsid w:val="007E0683"/>
    <w:rsid w:val="007E09EE"/>
    <w:rsid w:val="007E0A0D"/>
    <w:rsid w:val="007E0A5D"/>
    <w:rsid w:val="007E0A81"/>
    <w:rsid w:val="007E0AAE"/>
    <w:rsid w:val="007E0C12"/>
    <w:rsid w:val="007E0C5E"/>
    <w:rsid w:val="007E0CA5"/>
    <w:rsid w:val="007E0D7D"/>
    <w:rsid w:val="007E0DD2"/>
    <w:rsid w:val="007E0DE1"/>
    <w:rsid w:val="007E0E23"/>
    <w:rsid w:val="007E0E7B"/>
    <w:rsid w:val="007E0FFA"/>
    <w:rsid w:val="007E1140"/>
    <w:rsid w:val="007E1249"/>
    <w:rsid w:val="007E129C"/>
    <w:rsid w:val="007E133B"/>
    <w:rsid w:val="007E134D"/>
    <w:rsid w:val="007E13BA"/>
    <w:rsid w:val="007E14B2"/>
    <w:rsid w:val="007E14DD"/>
    <w:rsid w:val="007E15BF"/>
    <w:rsid w:val="007E1660"/>
    <w:rsid w:val="007E170A"/>
    <w:rsid w:val="007E1742"/>
    <w:rsid w:val="007E17A1"/>
    <w:rsid w:val="007E1810"/>
    <w:rsid w:val="007E181B"/>
    <w:rsid w:val="007E1856"/>
    <w:rsid w:val="007E1A1A"/>
    <w:rsid w:val="007E1AF0"/>
    <w:rsid w:val="007E1B57"/>
    <w:rsid w:val="007E1C55"/>
    <w:rsid w:val="007E1CD0"/>
    <w:rsid w:val="007E1CD3"/>
    <w:rsid w:val="007E1FA6"/>
    <w:rsid w:val="007E1FB3"/>
    <w:rsid w:val="007E2078"/>
    <w:rsid w:val="007E22C3"/>
    <w:rsid w:val="007E22D3"/>
    <w:rsid w:val="007E236D"/>
    <w:rsid w:val="007E23CA"/>
    <w:rsid w:val="007E24DA"/>
    <w:rsid w:val="007E254E"/>
    <w:rsid w:val="007E255F"/>
    <w:rsid w:val="007E2593"/>
    <w:rsid w:val="007E2854"/>
    <w:rsid w:val="007E29B6"/>
    <w:rsid w:val="007E2A13"/>
    <w:rsid w:val="007E2A44"/>
    <w:rsid w:val="007E2A90"/>
    <w:rsid w:val="007E2D45"/>
    <w:rsid w:val="007E2DDF"/>
    <w:rsid w:val="007E2EA4"/>
    <w:rsid w:val="007E2F54"/>
    <w:rsid w:val="007E3143"/>
    <w:rsid w:val="007E328A"/>
    <w:rsid w:val="007E32A9"/>
    <w:rsid w:val="007E3435"/>
    <w:rsid w:val="007E3452"/>
    <w:rsid w:val="007E3732"/>
    <w:rsid w:val="007E3797"/>
    <w:rsid w:val="007E3806"/>
    <w:rsid w:val="007E38FB"/>
    <w:rsid w:val="007E39DE"/>
    <w:rsid w:val="007E3A09"/>
    <w:rsid w:val="007E3A22"/>
    <w:rsid w:val="007E3B42"/>
    <w:rsid w:val="007E3CCA"/>
    <w:rsid w:val="007E3CDB"/>
    <w:rsid w:val="007E3DB7"/>
    <w:rsid w:val="007E3E4A"/>
    <w:rsid w:val="007E3FA7"/>
    <w:rsid w:val="007E4016"/>
    <w:rsid w:val="007E4090"/>
    <w:rsid w:val="007E428A"/>
    <w:rsid w:val="007E43BE"/>
    <w:rsid w:val="007E43EA"/>
    <w:rsid w:val="007E4435"/>
    <w:rsid w:val="007E44FF"/>
    <w:rsid w:val="007E45FC"/>
    <w:rsid w:val="007E460A"/>
    <w:rsid w:val="007E4733"/>
    <w:rsid w:val="007E47AC"/>
    <w:rsid w:val="007E49D2"/>
    <w:rsid w:val="007E49DE"/>
    <w:rsid w:val="007E4A3D"/>
    <w:rsid w:val="007E4B53"/>
    <w:rsid w:val="007E4BBF"/>
    <w:rsid w:val="007E4D2D"/>
    <w:rsid w:val="007E4E2D"/>
    <w:rsid w:val="007E4E75"/>
    <w:rsid w:val="007E4E90"/>
    <w:rsid w:val="007E4F01"/>
    <w:rsid w:val="007E4F45"/>
    <w:rsid w:val="007E4F4C"/>
    <w:rsid w:val="007E4FB0"/>
    <w:rsid w:val="007E509D"/>
    <w:rsid w:val="007E5154"/>
    <w:rsid w:val="007E5171"/>
    <w:rsid w:val="007E51D2"/>
    <w:rsid w:val="007E524E"/>
    <w:rsid w:val="007E5300"/>
    <w:rsid w:val="007E552B"/>
    <w:rsid w:val="007E55B5"/>
    <w:rsid w:val="007E55DF"/>
    <w:rsid w:val="007E5717"/>
    <w:rsid w:val="007E57DB"/>
    <w:rsid w:val="007E5822"/>
    <w:rsid w:val="007E59C0"/>
    <w:rsid w:val="007E59F4"/>
    <w:rsid w:val="007E5A2F"/>
    <w:rsid w:val="007E5A47"/>
    <w:rsid w:val="007E5A56"/>
    <w:rsid w:val="007E5AD5"/>
    <w:rsid w:val="007E5B8E"/>
    <w:rsid w:val="007E5C39"/>
    <w:rsid w:val="007E61C2"/>
    <w:rsid w:val="007E61CD"/>
    <w:rsid w:val="007E62E2"/>
    <w:rsid w:val="007E63D3"/>
    <w:rsid w:val="007E6471"/>
    <w:rsid w:val="007E64F1"/>
    <w:rsid w:val="007E6563"/>
    <w:rsid w:val="007E65F7"/>
    <w:rsid w:val="007E66E6"/>
    <w:rsid w:val="007E66EC"/>
    <w:rsid w:val="007E6703"/>
    <w:rsid w:val="007E6728"/>
    <w:rsid w:val="007E67B8"/>
    <w:rsid w:val="007E67E6"/>
    <w:rsid w:val="007E6A17"/>
    <w:rsid w:val="007E6AE9"/>
    <w:rsid w:val="007E6BAE"/>
    <w:rsid w:val="007E6CBC"/>
    <w:rsid w:val="007E6ED4"/>
    <w:rsid w:val="007E6EF6"/>
    <w:rsid w:val="007E6FB5"/>
    <w:rsid w:val="007E6FF2"/>
    <w:rsid w:val="007E70ED"/>
    <w:rsid w:val="007E721F"/>
    <w:rsid w:val="007E722E"/>
    <w:rsid w:val="007E7344"/>
    <w:rsid w:val="007E7481"/>
    <w:rsid w:val="007E75FF"/>
    <w:rsid w:val="007E774E"/>
    <w:rsid w:val="007E7757"/>
    <w:rsid w:val="007E77FC"/>
    <w:rsid w:val="007E7870"/>
    <w:rsid w:val="007E7915"/>
    <w:rsid w:val="007E7948"/>
    <w:rsid w:val="007E7BBA"/>
    <w:rsid w:val="007E7E50"/>
    <w:rsid w:val="007E7EB9"/>
    <w:rsid w:val="007E7EDF"/>
    <w:rsid w:val="007E7F6B"/>
    <w:rsid w:val="007E7F6C"/>
    <w:rsid w:val="007F0086"/>
    <w:rsid w:val="007F00D8"/>
    <w:rsid w:val="007F0153"/>
    <w:rsid w:val="007F0242"/>
    <w:rsid w:val="007F029E"/>
    <w:rsid w:val="007F036A"/>
    <w:rsid w:val="007F04B7"/>
    <w:rsid w:val="007F0547"/>
    <w:rsid w:val="007F0674"/>
    <w:rsid w:val="007F06D5"/>
    <w:rsid w:val="007F0831"/>
    <w:rsid w:val="007F08A2"/>
    <w:rsid w:val="007F08C8"/>
    <w:rsid w:val="007F09AC"/>
    <w:rsid w:val="007F0A1D"/>
    <w:rsid w:val="007F0ACA"/>
    <w:rsid w:val="007F0B42"/>
    <w:rsid w:val="007F0BA0"/>
    <w:rsid w:val="007F0C51"/>
    <w:rsid w:val="007F0D85"/>
    <w:rsid w:val="007F0DD7"/>
    <w:rsid w:val="007F0DDD"/>
    <w:rsid w:val="007F0DEE"/>
    <w:rsid w:val="007F1243"/>
    <w:rsid w:val="007F137E"/>
    <w:rsid w:val="007F13DF"/>
    <w:rsid w:val="007F156A"/>
    <w:rsid w:val="007F1586"/>
    <w:rsid w:val="007F161F"/>
    <w:rsid w:val="007F180F"/>
    <w:rsid w:val="007F1814"/>
    <w:rsid w:val="007F187D"/>
    <w:rsid w:val="007F1A33"/>
    <w:rsid w:val="007F1ABA"/>
    <w:rsid w:val="007F1AC9"/>
    <w:rsid w:val="007F1B61"/>
    <w:rsid w:val="007F1BFF"/>
    <w:rsid w:val="007F1DED"/>
    <w:rsid w:val="007F1F36"/>
    <w:rsid w:val="007F2020"/>
    <w:rsid w:val="007F2159"/>
    <w:rsid w:val="007F21A6"/>
    <w:rsid w:val="007F2296"/>
    <w:rsid w:val="007F22D7"/>
    <w:rsid w:val="007F232D"/>
    <w:rsid w:val="007F24E2"/>
    <w:rsid w:val="007F2502"/>
    <w:rsid w:val="007F25FA"/>
    <w:rsid w:val="007F2672"/>
    <w:rsid w:val="007F2726"/>
    <w:rsid w:val="007F288A"/>
    <w:rsid w:val="007F2AEB"/>
    <w:rsid w:val="007F2B04"/>
    <w:rsid w:val="007F2BC2"/>
    <w:rsid w:val="007F2C11"/>
    <w:rsid w:val="007F2C41"/>
    <w:rsid w:val="007F2CD4"/>
    <w:rsid w:val="007F2DA3"/>
    <w:rsid w:val="007F2DB5"/>
    <w:rsid w:val="007F2ED6"/>
    <w:rsid w:val="007F2F6C"/>
    <w:rsid w:val="007F306D"/>
    <w:rsid w:val="007F30A5"/>
    <w:rsid w:val="007F32B5"/>
    <w:rsid w:val="007F32DA"/>
    <w:rsid w:val="007F3453"/>
    <w:rsid w:val="007F3475"/>
    <w:rsid w:val="007F350B"/>
    <w:rsid w:val="007F353D"/>
    <w:rsid w:val="007F35BE"/>
    <w:rsid w:val="007F35D6"/>
    <w:rsid w:val="007F3621"/>
    <w:rsid w:val="007F369A"/>
    <w:rsid w:val="007F374E"/>
    <w:rsid w:val="007F377C"/>
    <w:rsid w:val="007F3898"/>
    <w:rsid w:val="007F38A5"/>
    <w:rsid w:val="007F394B"/>
    <w:rsid w:val="007F3A1A"/>
    <w:rsid w:val="007F3BDE"/>
    <w:rsid w:val="007F3C10"/>
    <w:rsid w:val="007F3C66"/>
    <w:rsid w:val="007F3CD6"/>
    <w:rsid w:val="007F3DBE"/>
    <w:rsid w:val="007F4177"/>
    <w:rsid w:val="007F4201"/>
    <w:rsid w:val="007F4203"/>
    <w:rsid w:val="007F42DD"/>
    <w:rsid w:val="007F4382"/>
    <w:rsid w:val="007F448A"/>
    <w:rsid w:val="007F4500"/>
    <w:rsid w:val="007F4538"/>
    <w:rsid w:val="007F472E"/>
    <w:rsid w:val="007F4766"/>
    <w:rsid w:val="007F492C"/>
    <w:rsid w:val="007F49B0"/>
    <w:rsid w:val="007F4BA5"/>
    <w:rsid w:val="007F4CA1"/>
    <w:rsid w:val="007F4D17"/>
    <w:rsid w:val="007F4D9E"/>
    <w:rsid w:val="007F4DDE"/>
    <w:rsid w:val="007F4DF1"/>
    <w:rsid w:val="007F4E19"/>
    <w:rsid w:val="007F4E2B"/>
    <w:rsid w:val="007F4E93"/>
    <w:rsid w:val="007F4FA3"/>
    <w:rsid w:val="007F5110"/>
    <w:rsid w:val="007F511B"/>
    <w:rsid w:val="007F5145"/>
    <w:rsid w:val="007F516F"/>
    <w:rsid w:val="007F52A2"/>
    <w:rsid w:val="007F544C"/>
    <w:rsid w:val="007F556C"/>
    <w:rsid w:val="007F5649"/>
    <w:rsid w:val="007F564A"/>
    <w:rsid w:val="007F56A5"/>
    <w:rsid w:val="007F56BD"/>
    <w:rsid w:val="007F586C"/>
    <w:rsid w:val="007F588C"/>
    <w:rsid w:val="007F5A45"/>
    <w:rsid w:val="007F5D23"/>
    <w:rsid w:val="007F5D68"/>
    <w:rsid w:val="007F5DDB"/>
    <w:rsid w:val="007F5F0D"/>
    <w:rsid w:val="007F5F6F"/>
    <w:rsid w:val="007F611F"/>
    <w:rsid w:val="007F612E"/>
    <w:rsid w:val="007F624B"/>
    <w:rsid w:val="007F63B6"/>
    <w:rsid w:val="007F6450"/>
    <w:rsid w:val="007F646C"/>
    <w:rsid w:val="007F647F"/>
    <w:rsid w:val="007F6526"/>
    <w:rsid w:val="007F656E"/>
    <w:rsid w:val="007F65B4"/>
    <w:rsid w:val="007F663A"/>
    <w:rsid w:val="007F665F"/>
    <w:rsid w:val="007F66EE"/>
    <w:rsid w:val="007F671F"/>
    <w:rsid w:val="007F6828"/>
    <w:rsid w:val="007F689D"/>
    <w:rsid w:val="007F68F5"/>
    <w:rsid w:val="007F6907"/>
    <w:rsid w:val="007F6B31"/>
    <w:rsid w:val="007F6BFC"/>
    <w:rsid w:val="007F6D33"/>
    <w:rsid w:val="007F6D51"/>
    <w:rsid w:val="007F6D6B"/>
    <w:rsid w:val="007F6DE5"/>
    <w:rsid w:val="007F6DFD"/>
    <w:rsid w:val="007F6E68"/>
    <w:rsid w:val="007F6EDF"/>
    <w:rsid w:val="007F6F35"/>
    <w:rsid w:val="007F6FAE"/>
    <w:rsid w:val="007F7030"/>
    <w:rsid w:val="007F7090"/>
    <w:rsid w:val="007F715D"/>
    <w:rsid w:val="007F7173"/>
    <w:rsid w:val="007F71C6"/>
    <w:rsid w:val="007F7202"/>
    <w:rsid w:val="007F7238"/>
    <w:rsid w:val="007F7248"/>
    <w:rsid w:val="007F726D"/>
    <w:rsid w:val="007F7313"/>
    <w:rsid w:val="007F73F0"/>
    <w:rsid w:val="007F74AB"/>
    <w:rsid w:val="007F7552"/>
    <w:rsid w:val="007F7578"/>
    <w:rsid w:val="007F75CB"/>
    <w:rsid w:val="007F7651"/>
    <w:rsid w:val="007F76FF"/>
    <w:rsid w:val="007F781E"/>
    <w:rsid w:val="007F7836"/>
    <w:rsid w:val="007F783B"/>
    <w:rsid w:val="007F783E"/>
    <w:rsid w:val="007F7938"/>
    <w:rsid w:val="007F7983"/>
    <w:rsid w:val="007F79BE"/>
    <w:rsid w:val="007F7B90"/>
    <w:rsid w:val="007F7BE9"/>
    <w:rsid w:val="007F7BF7"/>
    <w:rsid w:val="007F7D16"/>
    <w:rsid w:val="007F7D8D"/>
    <w:rsid w:val="007F7D9B"/>
    <w:rsid w:val="007F7E30"/>
    <w:rsid w:val="008000A5"/>
    <w:rsid w:val="008001B1"/>
    <w:rsid w:val="008001D0"/>
    <w:rsid w:val="00800226"/>
    <w:rsid w:val="0080040E"/>
    <w:rsid w:val="008005BE"/>
    <w:rsid w:val="008006D5"/>
    <w:rsid w:val="0080070B"/>
    <w:rsid w:val="00800748"/>
    <w:rsid w:val="00800893"/>
    <w:rsid w:val="008008B6"/>
    <w:rsid w:val="00800962"/>
    <w:rsid w:val="008009F0"/>
    <w:rsid w:val="00800A51"/>
    <w:rsid w:val="00800B2A"/>
    <w:rsid w:val="00800B47"/>
    <w:rsid w:val="00800B9C"/>
    <w:rsid w:val="00800BB1"/>
    <w:rsid w:val="00800BBE"/>
    <w:rsid w:val="00800CCB"/>
    <w:rsid w:val="00800CDA"/>
    <w:rsid w:val="00800D4D"/>
    <w:rsid w:val="00800DC2"/>
    <w:rsid w:val="00800E2A"/>
    <w:rsid w:val="00800E56"/>
    <w:rsid w:val="00800E83"/>
    <w:rsid w:val="00800ED8"/>
    <w:rsid w:val="00800F4D"/>
    <w:rsid w:val="00800F84"/>
    <w:rsid w:val="00800FE8"/>
    <w:rsid w:val="0080103C"/>
    <w:rsid w:val="008010A7"/>
    <w:rsid w:val="00801137"/>
    <w:rsid w:val="0080113F"/>
    <w:rsid w:val="008011F4"/>
    <w:rsid w:val="008011FE"/>
    <w:rsid w:val="00801217"/>
    <w:rsid w:val="00801239"/>
    <w:rsid w:val="0080144E"/>
    <w:rsid w:val="00801581"/>
    <w:rsid w:val="008016C1"/>
    <w:rsid w:val="008017A1"/>
    <w:rsid w:val="00801803"/>
    <w:rsid w:val="0080186D"/>
    <w:rsid w:val="008018C6"/>
    <w:rsid w:val="008018FA"/>
    <w:rsid w:val="00801968"/>
    <w:rsid w:val="008019BB"/>
    <w:rsid w:val="00801AE4"/>
    <w:rsid w:val="00801C1C"/>
    <w:rsid w:val="00801CCE"/>
    <w:rsid w:val="00801D81"/>
    <w:rsid w:val="00801D89"/>
    <w:rsid w:val="00801E3D"/>
    <w:rsid w:val="0080208E"/>
    <w:rsid w:val="0080212D"/>
    <w:rsid w:val="00802208"/>
    <w:rsid w:val="008024AB"/>
    <w:rsid w:val="008024FC"/>
    <w:rsid w:val="00802557"/>
    <w:rsid w:val="00802588"/>
    <w:rsid w:val="0080258D"/>
    <w:rsid w:val="00802658"/>
    <w:rsid w:val="00802688"/>
    <w:rsid w:val="0080269F"/>
    <w:rsid w:val="0080271F"/>
    <w:rsid w:val="008027DA"/>
    <w:rsid w:val="00802A79"/>
    <w:rsid w:val="00802A9B"/>
    <w:rsid w:val="00802AAE"/>
    <w:rsid w:val="00802B34"/>
    <w:rsid w:val="00802BF7"/>
    <w:rsid w:val="00802C50"/>
    <w:rsid w:val="00802C79"/>
    <w:rsid w:val="00802C8B"/>
    <w:rsid w:val="00802CB9"/>
    <w:rsid w:val="00802D16"/>
    <w:rsid w:val="00802D26"/>
    <w:rsid w:val="00802DC9"/>
    <w:rsid w:val="00802F03"/>
    <w:rsid w:val="008030E4"/>
    <w:rsid w:val="00803156"/>
    <w:rsid w:val="008031EC"/>
    <w:rsid w:val="0080332C"/>
    <w:rsid w:val="008033AD"/>
    <w:rsid w:val="0080353E"/>
    <w:rsid w:val="0080368E"/>
    <w:rsid w:val="00803739"/>
    <w:rsid w:val="008037EC"/>
    <w:rsid w:val="0080383A"/>
    <w:rsid w:val="008038A0"/>
    <w:rsid w:val="00803940"/>
    <w:rsid w:val="008039CA"/>
    <w:rsid w:val="00803A28"/>
    <w:rsid w:val="00803A39"/>
    <w:rsid w:val="00803A99"/>
    <w:rsid w:val="00803B11"/>
    <w:rsid w:val="00803B7B"/>
    <w:rsid w:val="00803CB1"/>
    <w:rsid w:val="00803D26"/>
    <w:rsid w:val="00803D46"/>
    <w:rsid w:val="00803D73"/>
    <w:rsid w:val="00803ED0"/>
    <w:rsid w:val="00803EFB"/>
    <w:rsid w:val="00803F5F"/>
    <w:rsid w:val="008040EC"/>
    <w:rsid w:val="00804184"/>
    <w:rsid w:val="0080435C"/>
    <w:rsid w:val="00804387"/>
    <w:rsid w:val="00804522"/>
    <w:rsid w:val="00804556"/>
    <w:rsid w:val="008046B5"/>
    <w:rsid w:val="008046F7"/>
    <w:rsid w:val="0080479F"/>
    <w:rsid w:val="008047AF"/>
    <w:rsid w:val="008047BE"/>
    <w:rsid w:val="00804869"/>
    <w:rsid w:val="00804AD6"/>
    <w:rsid w:val="00804CE0"/>
    <w:rsid w:val="00804D98"/>
    <w:rsid w:val="00804DB3"/>
    <w:rsid w:val="00804F2D"/>
    <w:rsid w:val="00805014"/>
    <w:rsid w:val="00805074"/>
    <w:rsid w:val="008050DB"/>
    <w:rsid w:val="008050E5"/>
    <w:rsid w:val="00805119"/>
    <w:rsid w:val="0080517B"/>
    <w:rsid w:val="00805192"/>
    <w:rsid w:val="0080524A"/>
    <w:rsid w:val="008053AB"/>
    <w:rsid w:val="00805520"/>
    <w:rsid w:val="00805558"/>
    <w:rsid w:val="008056B5"/>
    <w:rsid w:val="008057E8"/>
    <w:rsid w:val="008058D2"/>
    <w:rsid w:val="0080593F"/>
    <w:rsid w:val="008059B5"/>
    <w:rsid w:val="00805A3C"/>
    <w:rsid w:val="00805A80"/>
    <w:rsid w:val="00805B0C"/>
    <w:rsid w:val="00805B74"/>
    <w:rsid w:val="00805B9B"/>
    <w:rsid w:val="00805BB3"/>
    <w:rsid w:val="00805BC0"/>
    <w:rsid w:val="00805BF7"/>
    <w:rsid w:val="00805BFC"/>
    <w:rsid w:val="00805C18"/>
    <w:rsid w:val="00805D28"/>
    <w:rsid w:val="00805DE9"/>
    <w:rsid w:val="00805E13"/>
    <w:rsid w:val="00805E68"/>
    <w:rsid w:val="00805EFD"/>
    <w:rsid w:val="00805FB0"/>
    <w:rsid w:val="008060EF"/>
    <w:rsid w:val="00806161"/>
    <w:rsid w:val="0080624A"/>
    <w:rsid w:val="00806348"/>
    <w:rsid w:val="00806401"/>
    <w:rsid w:val="00806525"/>
    <w:rsid w:val="00806542"/>
    <w:rsid w:val="00806558"/>
    <w:rsid w:val="0080659D"/>
    <w:rsid w:val="0080661A"/>
    <w:rsid w:val="008066DC"/>
    <w:rsid w:val="0080692A"/>
    <w:rsid w:val="00806BC8"/>
    <w:rsid w:val="00806BE1"/>
    <w:rsid w:val="00806BE8"/>
    <w:rsid w:val="00806C7E"/>
    <w:rsid w:val="00806C92"/>
    <w:rsid w:val="00806D11"/>
    <w:rsid w:val="00806D5D"/>
    <w:rsid w:val="00806D64"/>
    <w:rsid w:val="00806E8F"/>
    <w:rsid w:val="00807103"/>
    <w:rsid w:val="0080715D"/>
    <w:rsid w:val="008071DA"/>
    <w:rsid w:val="008072D6"/>
    <w:rsid w:val="0080746E"/>
    <w:rsid w:val="00807482"/>
    <w:rsid w:val="00807764"/>
    <w:rsid w:val="0080780C"/>
    <w:rsid w:val="0080786A"/>
    <w:rsid w:val="0080790F"/>
    <w:rsid w:val="0080794E"/>
    <w:rsid w:val="00807A84"/>
    <w:rsid w:val="00807B40"/>
    <w:rsid w:val="00807B69"/>
    <w:rsid w:val="00807CCC"/>
    <w:rsid w:val="00807CDC"/>
    <w:rsid w:val="00807E25"/>
    <w:rsid w:val="00807F1B"/>
    <w:rsid w:val="00807F80"/>
    <w:rsid w:val="0081003A"/>
    <w:rsid w:val="0081010B"/>
    <w:rsid w:val="00810123"/>
    <w:rsid w:val="008101B9"/>
    <w:rsid w:val="0081022D"/>
    <w:rsid w:val="0081028F"/>
    <w:rsid w:val="008102B1"/>
    <w:rsid w:val="008102F7"/>
    <w:rsid w:val="008103FB"/>
    <w:rsid w:val="00810456"/>
    <w:rsid w:val="00810575"/>
    <w:rsid w:val="00810664"/>
    <w:rsid w:val="00810672"/>
    <w:rsid w:val="008106AD"/>
    <w:rsid w:val="008106BC"/>
    <w:rsid w:val="008106F3"/>
    <w:rsid w:val="0081070E"/>
    <w:rsid w:val="00810812"/>
    <w:rsid w:val="00810872"/>
    <w:rsid w:val="00810939"/>
    <w:rsid w:val="008109D4"/>
    <w:rsid w:val="00810A60"/>
    <w:rsid w:val="00810AD1"/>
    <w:rsid w:val="00810AEB"/>
    <w:rsid w:val="00810B51"/>
    <w:rsid w:val="00810B81"/>
    <w:rsid w:val="00810C34"/>
    <w:rsid w:val="00810C6C"/>
    <w:rsid w:val="00810CD7"/>
    <w:rsid w:val="00810D44"/>
    <w:rsid w:val="00810D9A"/>
    <w:rsid w:val="00810E09"/>
    <w:rsid w:val="00810FA5"/>
    <w:rsid w:val="00810FC2"/>
    <w:rsid w:val="0081103E"/>
    <w:rsid w:val="008110A4"/>
    <w:rsid w:val="00811103"/>
    <w:rsid w:val="0081125B"/>
    <w:rsid w:val="00811297"/>
    <w:rsid w:val="008112BF"/>
    <w:rsid w:val="00811541"/>
    <w:rsid w:val="0081165B"/>
    <w:rsid w:val="0081182B"/>
    <w:rsid w:val="00811876"/>
    <w:rsid w:val="00811937"/>
    <w:rsid w:val="008119B4"/>
    <w:rsid w:val="00811A05"/>
    <w:rsid w:val="00811A0F"/>
    <w:rsid w:val="00811A64"/>
    <w:rsid w:val="00811AB7"/>
    <w:rsid w:val="00811ACC"/>
    <w:rsid w:val="00811AF5"/>
    <w:rsid w:val="00811BE8"/>
    <w:rsid w:val="00811C1C"/>
    <w:rsid w:val="00811CD1"/>
    <w:rsid w:val="00811D6E"/>
    <w:rsid w:val="00811E47"/>
    <w:rsid w:val="00811E4E"/>
    <w:rsid w:val="00811E6E"/>
    <w:rsid w:val="00811E85"/>
    <w:rsid w:val="0081214A"/>
    <w:rsid w:val="008121AC"/>
    <w:rsid w:val="008121CE"/>
    <w:rsid w:val="00812207"/>
    <w:rsid w:val="008124EC"/>
    <w:rsid w:val="00812513"/>
    <w:rsid w:val="0081254C"/>
    <w:rsid w:val="0081254D"/>
    <w:rsid w:val="0081258E"/>
    <w:rsid w:val="0081265C"/>
    <w:rsid w:val="008126BF"/>
    <w:rsid w:val="008126D8"/>
    <w:rsid w:val="00812724"/>
    <w:rsid w:val="00812736"/>
    <w:rsid w:val="00812774"/>
    <w:rsid w:val="0081282F"/>
    <w:rsid w:val="00812831"/>
    <w:rsid w:val="008128FE"/>
    <w:rsid w:val="00812957"/>
    <w:rsid w:val="00812981"/>
    <w:rsid w:val="00812A43"/>
    <w:rsid w:val="00812AEC"/>
    <w:rsid w:val="00812B7E"/>
    <w:rsid w:val="00812C18"/>
    <w:rsid w:val="00812E82"/>
    <w:rsid w:val="00812E84"/>
    <w:rsid w:val="00812EA9"/>
    <w:rsid w:val="00813150"/>
    <w:rsid w:val="0081319A"/>
    <w:rsid w:val="008131CC"/>
    <w:rsid w:val="008132D0"/>
    <w:rsid w:val="008133F8"/>
    <w:rsid w:val="008134CB"/>
    <w:rsid w:val="00813677"/>
    <w:rsid w:val="008137A5"/>
    <w:rsid w:val="008137B0"/>
    <w:rsid w:val="008137E2"/>
    <w:rsid w:val="00813842"/>
    <w:rsid w:val="0081389D"/>
    <w:rsid w:val="008138BE"/>
    <w:rsid w:val="008139F3"/>
    <w:rsid w:val="00813A5A"/>
    <w:rsid w:val="00813A8C"/>
    <w:rsid w:val="00813B8F"/>
    <w:rsid w:val="00813C7D"/>
    <w:rsid w:val="00813E33"/>
    <w:rsid w:val="00813F07"/>
    <w:rsid w:val="00813F1D"/>
    <w:rsid w:val="00813FA1"/>
    <w:rsid w:val="00814067"/>
    <w:rsid w:val="008140F3"/>
    <w:rsid w:val="0081410D"/>
    <w:rsid w:val="00814265"/>
    <w:rsid w:val="008142AF"/>
    <w:rsid w:val="00814333"/>
    <w:rsid w:val="00814428"/>
    <w:rsid w:val="00814446"/>
    <w:rsid w:val="00814472"/>
    <w:rsid w:val="008144B2"/>
    <w:rsid w:val="0081454A"/>
    <w:rsid w:val="00814697"/>
    <w:rsid w:val="0081469D"/>
    <w:rsid w:val="008148E6"/>
    <w:rsid w:val="008149BC"/>
    <w:rsid w:val="008149D7"/>
    <w:rsid w:val="00814A14"/>
    <w:rsid w:val="00814B6C"/>
    <w:rsid w:val="00814B71"/>
    <w:rsid w:val="00814C51"/>
    <w:rsid w:val="00814C7D"/>
    <w:rsid w:val="00814CC3"/>
    <w:rsid w:val="00814D05"/>
    <w:rsid w:val="00814D2C"/>
    <w:rsid w:val="00814D64"/>
    <w:rsid w:val="00814DCD"/>
    <w:rsid w:val="00814DFD"/>
    <w:rsid w:val="00814E1F"/>
    <w:rsid w:val="00814F46"/>
    <w:rsid w:val="00814FAA"/>
    <w:rsid w:val="00815050"/>
    <w:rsid w:val="00815240"/>
    <w:rsid w:val="008152AD"/>
    <w:rsid w:val="008152C6"/>
    <w:rsid w:val="0081537A"/>
    <w:rsid w:val="00815381"/>
    <w:rsid w:val="0081546B"/>
    <w:rsid w:val="008154BD"/>
    <w:rsid w:val="008154BE"/>
    <w:rsid w:val="00815586"/>
    <w:rsid w:val="0081558C"/>
    <w:rsid w:val="008155A3"/>
    <w:rsid w:val="008155F6"/>
    <w:rsid w:val="00815645"/>
    <w:rsid w:val="00815948"/>
    <w:rsid w:val="00815A60"/>
    <w:rsid w:val="00815B5C"/>
    <w:rsid w:val="00815B88"/>
    <w:rsid w:val="00815BE8"/>
    <w:rsid w:val="00815C08"/>
    <w:rsid w:val="00815C35"/>
    <w:rsid w:val="00815C7F"/>
    <w:rsid w:val="00815D1A"/>
    <w:rsid w:val="00815F10"/>
    <w:rsid w:val="00815F40"/>
    <w:rsid w:val="00815F51"/>
    <w:rsid w:val="00815FF1"/>
    <w:rsid w:val="00816024"/>
    <w:rsid w:val="00816093"/>
    <w:rsid w:val="0081615E"/>
    <w:rsid w:val="008161B8"/>
    <w:rsid w:val="008161E2"/>
    <w:rsid w:val="0081620C"/>
    <w:rsid w:val="0081625C"/>
    <w:rsid w:val="0081628E"/>
    <w:rsid w:val="008162A3"/>
    <w:rsid w:val="008162D5"/>
    <w:rsid w:val="008163A5"/>
    <w:rsid w:val="0081670E"/>
    <w:rsid w:val="0081694F"/>
    <w:rsid w:val="00816972"/>
    <w:rsid w:val="00816AF7"/>
    <w:rsid w:val="00816BB7"/>
    <w:rsid w:val="00816BF2"/>
    <w:rsid w:val="00816C31"/>
    <w:rsid w:val="00816C34"/>
    <w:rsid w:val="00816D54"/>
    <w:rsid w:val="00816D84"/>
    <w:rsid w:val="00816DAD"/>
    <w:rsid w:val="00816DBA"/>
    <w:rsid w:val="00816E34"/>
    <w:rsid w:val="00816E5E"/>
    <w:rsid w:val="00816E65"/>
    <w:rsid w:val="008170B0"/>
    <w:rsid w:val="008170C9"/>
    <w:rsid w:val="00817332"/>
    <w:rsid w:val="00817468"/>
    <w:rsid w:val="0081746A"/>
    <w:rsid w:val="008175DD"/>
    <w:rsid w:val="00817606"/>
    <w:rsid w:val="00817625"/>
    <w:rsid w:val="008176D5"/>
    <w:rsid w:val="00817749"/>
    <w:rsid w:val="00817848"/>
    <w:rsid w:val="0081785F"/>
    <w:rsid w:val="00817872"/>
    <w:rsid w:val="008178DE"/>
    <w:rsid w:val="00817947"/>
    <w:rsid w:val="00817B1F"/>
    <w:rsid w:val="00817D62"/>
    <w:rsid w:val="00817D95"/>
    <w:rsid w:val="00817DDE"/>
    <w:rsid w:val="00817F19"/>
    <w:rsid w:val="00817F8E"/>
    <w:rsid w:val="00820030"/>
    <w:rsid w:val="0082003E"/>
    <w:rsid w:val="0082009C"/>
    <w:rsid w:val="008201A4"/>
    <w:rsid w:val="00820253"/>
    <w:rsid w:val="00820266"/>
    <w:rsid w:val="00820335"/>
    <w:rsid w:val="00820507"/>
    <w:rsid w:val="008205E8"/>
    <w:rsid w:val="00820647"/>
    <w:rsid w:val="00820688"/>
    <w:rsid w:val="008206B2"/>
    <w:rsid w:val="008206EB"/>
    <w:rsid w:val="008206EE"/>
    <w:rsid w:val="00820746"/>
    <w:rsid w:val="008208AD"/>
    <w:rsid w:val="008209BF"/>
    <w:rsid w:val="00820BFF"/>
    <w:rsid w:val="00820C58"/>
    <w:rsid w:val="00820C89"/>
    <w:rsid w:val="00820C8F"/>
    <w:rsid w:val="00820CDA"/>
    <w:rsid w:val="00820D0E"/>
    <w:rsid w:val="00820D56"/>
    <w:rsid w:val="00820D7E"/>
    <w:rsid w:val="00820E53"/>
    <w:rsid w:val="00820E77"/>
    <w:rsid w:val="00820F58"/>
    <w:rsid w:val="00820FD6"/>
    <w:rsid w:val="0082105F"/>
    <w:rsid w:val="00821071"/>
    <w:rsid w:val="008210D4"/>
    <w:rsid w:val="008210DB"/>
    <w:rsid w:val="00821182"/>
    <w:rsid w:val="00821192"/>
    <w:rsid w:val="00821309"/>
    <w:rsid w:val="0082130A"/>
    <w:rsid w:val="00821340"/>
    <w:rsid w:val="00821349"/>
    <w:rsid w:val="008214B0"/>
    <w:rsid w:val="00821558"/>
    <w:rsid w:val="00821622"/>
    <w:rsid w:val="00821880"/>
    <w:rsid w:val="008219BF"/>
    <w:rsid w:val="008219FA"/>
    <w:rsid w:val="00821A5B"/>
    <w:rsid w:val="00821B43"/>
    <w:rsid w:val="00821EC0"/>
    <w:rsid w:val="00821EE3"/>
    <w:rsid w:val="00821EFE"/>
    <w:rsid w:val="00821F7E"/>
    <w:rsid w:val="00821FFC"/>
    <w:rsid w:val="00822020"/>
    <w:rsid w:val="00822349"/>
    <w:rsid w:val="00822415"/>
    <w:rsid w:val="00822535"/>
    <w:rsid w:val="00822581"/>
    <w:rsid w:val="00822586"/>
    <w:rsid w:val="008225EB"/>
    <w:rsid w:val="008226F8"/>
    <w:rsid w:val="00822774"/>
    <w:rsid w:val="00822776"/>
    <w:rsid w:val="00822841"/>
    <w:rsid w:val="0082288B"/>
    <w:rsid w:val="008228C8"/>
    <w:rsid w:val="0082291C"/>
    <w:rsid w:val="00822945"/>
    <w:rsid w:val="008229D7"/>
    <w:rsid w:val="00822AC4"/>
    <w:rsid w:val="00822BB0"/>
    <w:rsid w:val="00822CD3"/>
    <w:rsid w:val="00822CD5"/>
    <w:rsid w:val="00822D60"/>
    <w:rsid w:val="00822E66"/>
    <w:rsid w:val="00822E80"/>
    <w:rsid w:val="00822EF9"/>
    <w:rsid w:val="00822F8D"/>
    <w:rsid w:val="00822F99"/>
    <w:rsid w:val="00823050"/>
    <w:rsid w:val="00823156"/>
    <w:rsid w:val="008231EB"/>
    <w:rsid w:val="0082344C"/>
    <w:rsid w:val="0082364F"/>
    <w:rsid w:val="008236EA"/>
    <w:rsid w:val="00823728"/>
    <w:rsid w:val="00823824"/>
    <w:rsid w:val="00823861"/>
    <w:rsid w:val="008238E5"/>
    <w:rsid w:val="00823A21"/>
    <w:rsid w:val="00823FE8"/>
    <w:rsid w:val="00824015"/>
    <w:rsid w:val="0082439C"/>
    <w:rsid w:val="008243A3"/>
    <w:rsid w:val="00824425"/>
    <w:rsid w:val="0082442A"/>
    <w:rsid w:val="00824563"/>
    <w:rsid w:val="0082458B"/>
    <w:rsid w:val="00824610"/>
    <w:rsid w:val="008247A8"/>
    <w:rsid w:val="0082482C"/>
    <w:rsid w:val="00824864"/>
    <w:rsid w:val="00824885"/>
    <w:rsid w:val="00824939"/>
    <w:rsid w:val="00824A1A"/>
    <w:rsid w:val="00824AD7"/>
    <w:rsid w:val="00824B20"/>
    <w:rsid w:val="00824C28"/>
    <w:rsid w:val="00824CAB"/>
    <w:rsid w:val="00824D83"/>
    <w:rsid w:val="00824DE5"/>
    <w:rsid w:val="00824DF8"/>
    <w:rsid w:val="00824FE0"/>
    <w:rsid w:val="00825180"/>
    <w:rsid w:val="0082520E"/>
    <w:rsid w:val="0082527B"/>
    <w:rsid w:val="008252E8"/>
    <w:rsid w:val="00825363"/>
    <w:rsid w:val="00825389"/>
    <w:rsid w:val="008253BB"/>
    <w:rsid w:val="008253FE"/>
    <w:rsid w:val="00825413"/>
    <w:rsid w:val="008254A7"/>
    <w:rsid w:val="008255B4"/>
    <w:rsid w:val="0082565B"/>
    <w:rsid w:val="00825801"/>
    <w:rsid w:val="0082586B"/>
    <w:rsid w:val="00825876"/>
    <w:rsid w:val="00825AAC"/>
    <w:rsid w:val="00825B02"/>
    <w:rsid w:val="00825BB6"/>
    <w:rsid w:val="00825D1C"/>
    <w:rsid w:val="00825DC9"/>
    <w:rsid w:val="00825E17"/>
    <w:rsid w:val="00825E3E"/>
    <w:rsid w:val="00825E82"/>
    <w:rsid w:val="00825E85"/>
    <w:rsid w:val="00825F83"/>
    <w:rsid w:val="008260CF"/>
    <w:rsid w:val="008260EB"/>
    <w:rsid w:val="0082611D"/>
    <w:rsid w:val="0082634E"/>
    <w:rsid w:val="00826429"/>
    <w:rsid w:val="008266C9"/>
    <w:rsid w:val="00826764"/>
    <w:rsid w:val="00826948"/>
    <w:rsid w:val="0082697A"/>
    <w:rsid w:val="00826A4E"/>
    <w:rsid w:val="00826B4C"/>
    <w:rsid w:val="00826B6C"/>
    <w:rsid w:val="00826B92"/>
    <w:rsid w:val="00826BAB"/>
    <w:rsid w:val="00826CED"/>
    <w:rsid w:val="00826D3F"/>
    <w:rsid w:val="00826D41"/>
    <w:rsid w:val="00826D7B"/>
    <w:rsid w:val="00826D9B"/>
    <w:rsid w:val="00826DBA"/>
    <w:rsid w:val="00826E4A"/>
    <w:rsid w:val="00826E7E"/>
    <w:rsid w:val="00826F9E"/>
    <w:rsid w:val="00826FA1"/>
    <w:rsid w:val="008270C0"/>
    <w:rsid w:val="008270D0"/>
    <w:rsid w:val="008271AB"/>
    <w:rsid w:val="008271B4"/>
    <w:rsid w:val="0082723C"/>
    <w:rsid w:val="00827273"/>
    <w:rsid w:val="00827276"/>
    <w:rsid w:val="00827305"/>
    <w:rsid w:val="00827306"/>
    <w:rsid w:val="0082741F"/>
    <w:rsid w:val="008274DE"/>
    <w:rsid w:val="0082753D"/>
    <w:rsid w:val="008275CC"/>
    <w:rsid w:val="008276DE"/>
    <w:rsid w:val="008276F8"/>
    <w:rsid w:val="00827750"/>
    <w:rsid w:val="00827769"/>
    <w:rsid w:val="0082777A"/>
    <w:rsid w:val="008277EF"/>
    <w:rsid w:val="00827888"/>
    <w:rsid w:val="00827D31"/>
    <w:rsid w:val="00827E38"/>
    <w:rsid w:val="00827E7F"/>
    <w:rsid w:val="00830028"/>
    <w:rsid w:val="0083002C"/>
    <w:rsid w:val="00830032"/>
    <w:rsid w:val="008300A5"/>
    <w:rsid w:val="008300F7"/>
    <w:rsid w:val="0083012E"/>
    <w:rsid w:val="00830173"/>
    <w:rsid w:val="00830192"/>
    <w:rsid w:val="008301A0"/>
    <w:rsid w:val="008301AB"/>
    <w:rsid w:val="00830203"/>
    <w:rsid w:val="00830236"/>
    <w:rsid w:val="00830255"/>
    <w:rsid w:val="00830320"/>
    <w:rsid w:val="00830387"/>
    <w:rsid w:val="00830422"/>
    <w:rsid w:val="00830623"/>
    <w:rsid w:val="00830635"/>
    <w:rsid w:val="0083069F"/>
    <w:rsid w:val="0083079F"/>
    <w:rsid w:val="008307C9"/>
    <w:rsid w:val="008307F7"/>
    <w:rsid w:val="008309E9"/>
    <w:rsid w:val="00830AE5"/>
    <w:rsid w:val="00830BAA"/>
    <w:rsid w:val="00830BD5"/>
    <w:rsid w:val="00830BF7"/>
    <w:rsid w:val="00830C1D"/>
    <w:rsid w:val="00830D09"/>
    <w:rsid w:val="00830E1A"/>
    <w:rsid w:val="00830EF8"/>
    <w:rsid w:val="00830F09"/>
    <w:rsid w:val="00830F3E"/>
    <w:rsid w:val="008310B0"/>
    <w:rsid w:val="008310E7"/>
    <w:rsid w:val="00831200"/>
    <w:rsid w:val="00831247"/>
    <w:rsid w:val="008313E7"/>
    <w:rsid w:val="008314C0"/>
    <w:rsid w:val="0083150E"/>
    <w:rsid w:val="0083152E"/>
    <w:rsid w:val="008315BC"/>
    <w:rsid w:val="0083166C"/>
    <w:rsid w:val="00831783"/>
    <w:rsid w:val="00831907"/>
    <w:rsid w:val="0083198C"/>
    <w:rsid w:val="00831A10"/>
    <w:rsid w:val="00831A20"/>
    <w:rsid w:val="00831A47"/>
    <w:rsid w:val="00831A5B"/>
    <w:rsid w:val="00831C78"/>
    <w:rsid w:val="00831CB3"/>
    <w:rsid w:val="00831D95"/>
    <w:rsid w:val="00831DC8"/>
    <w:rsid w:val="00831E33"/>
    <w:rsid w:val="00831E69"/>
    <w:rsid w:val="00831F90"/>
    <w:rsid w:val="0083203B"/>
    <w:rsid w:val="008320A4"/>
    <w:rsid w:val="0083218D"/>
    <w:rsid w:val="00832353"/>
    <w:rsid w:val="00832396"/>
    <w:rsid w:val="0083239B"/>
    <w:rsid w:val="008323EB"/>
    <w:rsid w:val="00832563"/>
    <w:rsid w:val="0083259C"/>
    <w:rsid w:val="008327DE"/>
    <w:rsid w:val="0083287B"/>
    <w:rsid w:val="00832888"/>
    <w:rsid w:val="00832A3B"/>
    <w:rsid w:val="00832AF3"/>
    <w:rsid w:val="00832BE7"/>
    <w:rsid w:val="00832C3C"/>
    <w:rsid w:val="00832C48"/>
    <w:rsid w:val="00832D55"/>
    <w:rsid w:val="00832D64"/>
    <w:rsid w:val="00832D77"/>
    <w:rsid w:val="00832E0E"/>
    <w:rsid w:val="00832E7A"/>
    <w:rsid w:val="00832E8B"/>
    <w:rsid w:val="0083309D"/>
    <w:rsid w:val="008330BA"/>
    <w:rsid w:val="008331D4"/>
    <w:rsid w:val="00833260"/>
    <w:rsid w:val="00833271"/>
    <w:rsid w:val="0083329E"/>
    <w:rsid w:val="008332E0"/>
    <w:rsid w:val="00833365"/>
    <w:rsid w:val="00833446"/>
    <w:rsid w:val="0083352E"/>
    <w:rsid w:val="00833554"/>
    <w:rsid w:val="008335BA"/>
    <w:rsid w:val="008335E1"/>
    <w:rsid w:val="00833619"/>
    <w:rsid w:val="0083363F"/>
    <w:rsid w:val="008336DD"/>
    <w:rsid w:val="008337A0"/>
    <w:rsid w:val="008337DF"/>
    <w:rsid w:val="008338A8"/>
    <w:rsid w:val="008338B5"/>
    <w:rsid w:val="00833994"/>
    <w:rsid w:val="008339C3"/>
    <w:rsid w:val="00833B68"/>
    <w:rsid w:val="00833B7E"/>
    <w:rsid w:val="00833B96"/>
    <w:rsid w:val="00833C02"/>
    <w:rsid w:val="00833D56"/>
    <w:rsid w:val="00833DA8"/>
    <w:rsid w:val="00833ED3"/>
    <w:rsid w:val="00833EEB"/>
    <w:rsid w:val="00833F2B"/>
    <w:rsid w:val="00833F5C"/>
    <w:rsid w:val="008340C6"/>
    <w:rsid w:val="00834275"/>
    <w:rsid w:val="008342D6"/>
    <w:rsid w:val="008342E8"/>
    <w:rsid w:val="0083437D"/>
    <w:rsid w:val="0083443B"/>
    <w:rsid w:val="00834451"/>
    <w:rsid w:val="00834524"/>
    <w:rsid w:val="008345D6"/>
    <w:rsid w:val="008347CE"/>
    <w:rsid w:val="0083485A"/>
    <w:rsid w:val="0083486D"/>
    <w:rsid w:val="00834896"/>
    <w:rsid w:val="0083496A"/>
    <w:rsid w:val="00834A73"/>
    <w:rsid w:val="00834AEA"/>
    <w:rsid w:val="00834B0C"/>
    <w:rsid w:val="00834B66"/>
    <w:rsid w:val="00834B7B"/>
    <w:rsid w:val="00834BAA"/>
    <w:rsid w:val="00834BF6"/>
    <w:rsid w:val="00834CDA"/>
    <w:rsid w:val="00834F75"/>
    <w:rsid w:val="00835110"/>
    <w:rsid w:val="008351AD"/>
    <w:rsid w:val="0083526E"/>
    <w:rsid w:val="008352FD"/>
    <w:rsid w:val="0083540F"/>
    <w:rsid w:val="00835495"/>
    <w:rsid w:val="00835519"/>
    <w:rsid w:val="00835808"/>
    <w:rsid w:val="00835820"/>
    <w:rsid w:val="00835931"/>
    <w:rsid w:val="00835A1E"/>
    <w:rsid w:val="00835A29"/>
    <w:rsid w:val="00835C57"/>
    <w:rsid w:val="00835E0B"/>
    <w:rsid w:val="00835EE2"/>
    <w:rsid w:val="00835FF5"/>
    <w:rsid w:val="0083611F"/>
    <w:rsid w:val="008361F0"/>
    <w:rsid w:val="00836250"/>
    <w:rsid w:val="00836378"/>
    <w:rsid w:val="008363D8"/>
    <w:rsid w:val="008363EC"/>
    <w:rsid w:val="00836407"/>
    <w:rsid w:val="008364CA"/>
    <w:rsid w:val="008365CD"/>
    <w:rsid w:val="008365DA"/>
    <w:rsid w:val="008365DB"/>
    <w:rsid w:val="008365F0"/>
    <w:rsid w:val="0083664A"/>
    <w:rsid w:val="008366ED"/>
    <w:rsid w:val="008367C5"/>
    <w:rsid w:val="00836834"/>
    <w:rsid w:val="0083683B"/>
    <w:rsid w:val="00836868"/>
    <w:rsid w:val="00836A1F"/>
    <w:rsid w:val="00836B8B"/>
    <w:rsid w:val="00836B9A"/>
    <w:rsid w:val="00836BC5"/>
    <w:rsid w:val="00836D38"/>
    <w:rsid w:val="00836FBC"/>
    <w:rsid w:val="00837045"/>
    <w:rsid w:val="00837111"/>
    <w:rsid w:val="00837146"/>
    <w:rsid w:val="0083716A"/>
    <w:rsid w:val="008371EB"/>
    <w:rsid w:val="00837225"/>
    <w:rsid w:val="00837275"/>
    <w:rsid w:val="008374C3"/>
    <w:rsid w:val="008374DB"/>
    <w:rsid w:val="008374EA"/>
    <w:rsid w:val="00837766"/>
    <w:rsid w:val="0083781F"/>
    <w:rsid w:val="0083786A"/>
    <w:rsid w:val="008378D6"/>
    <w:rsid w:val="0083795F"/>
    <w:rsid w:val="00837B8E"/>
    <w:rsid w:val="00837BB1"/>
    <w:rsid w:val="00837BE8"/>
    <w:rsid w:val="00837CB2"/>
    <w:rsid w:val="00837CBF"/>
    <w:rsid w:val="00837DF4"/>
    <w:rsid w:val="00837EB6"/>
    <w:rsid w:val="00837EF6"/>
    <w:rsid w:val="00837F7E"/>
    <w:rsid w:val="00837FD6"/>
    <w:rsid w:val="00840205"/>
    <w:rsid w:val="008402CD"/>
    <w:rsid w:val="0084038B"/>
    <w:rsid w:val="008403D3"/>
    <w:rsid w:val="008404B1"/>
    <w:rsid w:val="00840529"/>
    <w:rsid w:val="00840649"/>
    <w:rsid w:val="0084070C"/>
    <w:rsid w:val="0084072B"/>
    <w:rsid w:val="0084082B"/>
    <w:rsid w:val="0084086E"/>
    <w:rsid w:val="00840995"/>
    <w:rsid w:val="008409A9"/>
    <w:rsid w:val="008409D2"/>
    <w:rsid w:val="00840AA8"/>
    <w:rsid w:val="00840B99"/>
    <w:rsid w:val="00840BD6"/>
    <w:rsid w:val="00840C07"/>
    <w:rsid w:val="00840CAE"/>
    <w:rsid w:val="00840D38"/>
    <w:rsid w:val="00840FCA"/>
    <w:rsid w:val="00840FE9"/>
    <w:rsid w:val="00841101"/>
    <w:rsid w:val="008411FF"/>
    <w:rsid w:val="00841255"/>
    <w:rsid w:val="0084125A"/>
    <w:rsid w:val="0084128D"/>
    <w:rsid w:val="008412F8"/>
    <w:rsid w:val="00841475"/>
    <w:rsid w:val="00841498"/>
    <w:rsid w:val="008414B8"/>
    <w:rsid w:val="00841527"/>
    <w:rsid w:val="00841533"/>
    <w:rsid w:val="00841539"/>
    <w:rsid w:val="00841581"/>
    <w:rsid w:val="008417BF"/>
    <w:rsid w:val="0084192C"/>
    <w:rsid w:val="0084197D"/>
    <w:rsid w:val="00841A03"/>
    <w:rsid w:val="00841B3A"/>
    <w:rsid w:val="00841C6A"/>
    <w:rsid w:val="00841CAC"/>
    <w:rsid w:val="00841D0B"/>
    <w:rsid w:val="00841D39"/>
    <w:rsid w:val="00841D94"/>
    <w:rsid w:val="00841EAD"/>
    <w:rsid w:val="00841EB4"/>
    <w:rsid w:val="00841F40"/>
    <w:rsid w:val="00841F89"/>
    <w:rsid w:val="00841F95"/>
    <w:rsid w:val="00841FBC"/>
    <w:rsid w:val="00842081"/>
    <w:rsid w:val="008420BE"/>
    <w:rsid w:val="008420DC"/>
    <w:rsid w:val="008421E3"/>
    <w:rsid w:val="008421FE"/>
    <w:rsid w:val="00842211"/>
    <w:rsid w:val="00842253"/>
    <w:rsid w:val="008422F9"/>
    <w:rsid w:val="0084231A"/>
    <w:rsid w:val="008423CA"/>
    <w:rsid w:val="008425B0"/>
    <w:rsid w:val="008425D9"/>
    <w:rsid w:val="00842606"/>
    <w:rsid w:val="0084266F"/>
    <w:rsid w:val="00842733"/>
    <w:rsid w:val="0084285C"/>
    <w:rsid w:val="008429BC"/>
    <w:rsid w:val="008429F6"/>
    <w:rsid w:val="00842A2A"/>
    <w:rsid w:val="00842A34"/>
    <w:rsid w:val="00842A37"/>
    <w:rsid w:val="00842AB8"/>
    <w:rsid w:val="00842AD2"/>
    <w:rsid w:val="00842B3E"/>
    <w:rsid w:val="00842BDE"/>
    <w:rsid w:val="00842C96"/>
    <w:rsid w:val="00842D9E"/>
    <w:rsid w:val="00842DD7"/>
    <w:rsid w:val="00842E68"/>
    <w:rsid w:val="00842F00"/>
    <w:rsid w:val="00842FC2"/>
    <w:rsid w:val="00843054"/>
    <w:rsid w:val="00843173"/>
    <w:rsid w:val="0084327C"/>
    <w:rsid w:val="008432EC"/>
    <w:rsid w:val="0084330B"/>
    <w:rsid w:val="0084331F"/>
    <w:rsid w:val="00843350"/>
    <w:rsid w:val="00843364"/>
    <w:rsid w:val="00843441"/>
    <w:rsid w:val="0084352E"/>
    <w:rsid w:val="008435EA"/>
    <w:rsid w:val="008435FD"/>
    <w:rsid w:val="00843615"/>
    <w:rsid w:val="00843667"/>
    <w:rsid w:val="00843725"/>
    <w:rsid w:val="00843819"/>
    <w:rsid w:val="0084388A"/>
    <w:rsid w:val="00843892"/>
    <w:rsid w:val="0084390E"/>
    <w:rsid w:val="00843913"/>
    <w:rsid w:val="00843914"/>
    <w:rsid w:val="00843916"/>
    <w:rsid w:val="00843928"/>
    <w:rsid w:val="00843AD1"/>
    <w:rsid w:val="00843ADB"/>
    <w:rsid w:val="00843AEE"/>
    <w:rsid w:val="00843B38"/>
    <w:rsid w:val="00843C10"/>
    <w:rsid w:val="00843C41"/>
    <w:rsid w:val="00843C51"/>
    <w:rsid w:val="00843CC2"/>
    <w:rsid w:val="00843DD2"/>
    <w:rsid w:val="00843EDE"/>
    <w:rsid w:val="00843F38"/>
    <w:rsid w:val="00843F56"/>
    <w:rsid w:val="00843FE9"/>
    <w:rsid w:val="00844062"/>
    <w:rsid w:val="0084415F"/>
    <w:rsid w:val="0084424F"/>
    <w:rsid w:val="008444FD"/>
    <w:rsid w:val="0084468D"/>
    <w:rsid w:val="0084469E"/>
    <w:rsid w:val="008446D3"/>
    <w:rsid w:val="0084485C"/>
    <w:rsid w:val="0084490A"/>
    <w:rsid w:val="00844944"/>
    <w:rsid w:val="00844957"/>
    <w:rsid w:val="00844969"/>
    <w:rsid w:val="00844A16"/>
    <w:rsid w:val="00844C90"/>
    <w:rsid w:val="00844CA6"/>
    <w:rsid w:val="00844E06"/>
    <w:rsid w:val="00844FF7"/>
    <w:rsid w:val="0084512B"/>
    <w:rsid w:val="0084516D"/>
    <w:rsid w:val="008452DD"/>
    <w:rsid w:val="00845451"/>
    <w:rsid w:val="008454D2"/>
    <w:rsid w:val="00845535"/>
    <w:rsid w:val="0084563D"/>
    <w:rsid w:val="0084573C"/>
    <w:rsid w:val="0084574A"/>
    <w:rsid w:val="008457AF"/>
    <w:rsid w:val="008457E2"/>
    <w:rsid w:val="00845822"/>
    <w:rsid w:val="00845887"/>
    <w:rsid w:val="008458D4"/>
    <w:rsid w:val="008459D5"/>
    <w:rsid w:val="008459F0"/>
    <w:rsid w:val="00845A12"/>
    <w:rsid w:val="00845A46"/>
    <w:rsid w:val="00845A73"/>
    <w:rsid w:val="00845BB2"/>
    <w:rsid w:val="00845D39"/>
    <w:rsid w:val="00845D93"/>
    <w:rsid w:val="00845E6E"/>
    <w:rsid w:val="008460AD"/>
    <w:rsid w:val="008462A8"/>
    <w:rsid w:val="008462BD"/>
    <w:rsid w:val="0084644E"/>
    <w:rsid w:val="008464A3"/>
    <w:rsid w:val="008464DD"/>
    <w:rsid w:val="008464E1"/>
    <w:rsid w:val="008465A6"/>
    <w:rsid w:val="008465B4"/>
    <w:rsid w:val="008466B2"/>
    <w:rsid w:val="008466E7"/>
    <w:rsid w:val="0084671B"/>
    <w:rsid w:val="008467A5"/>
    <w:rsid w:val="00846A3C"/>
    <w:rsid w:val="00846A4A"/>
    <w:rsid w:val="00846AAC"/>
    <w:rsid w:val="00846C2F"/>
    <w:rsid w:val="00846D78"/>
    <w:rsid w:val="00846DD4"/>
    <w:rsid w:val="00846DE8"/>
    <w:rsid w:val="00846E4F"/>
    <w:rsid w:val="00846F3A"/>
    <w:rsid w:val="00846F77"/>
    <w:rsid w:val="0084708C"/>
    <w:rsid w:val="008470BA"/>
    <w:rsid w:val="0084719C"/>
    <w:rsid w:val="008471C9"/>
    <w:rsid w:val="00847281"/>
    <w:rsid w:val="008477BC"/>
    <w:rsid w:val="00847971"/>
    <w:rsid w:val="00847BEF"/>
    <w:rsid w:val="00847C6F"/>
    <w:rsid w:val="00847E3E"/>
    <w:rsid w:val="00847E4E"/>
    <w:rsid w:val="00847F88"/>
    <w:rsid w:val="00847FA4"/>
    <w:rsid w:val="00850054"/>
    <w:rsid w:val="00850136"/>
    <w:rsid w:val="00850189"/>
    <w:rsid w:val="00850225"/>
    <w:rsid w:val="00850237"/>
    <w:rsid w:val="00850318"/>
    <w:rsid w:val="0085056F"/>
    <w:rsid w:val="00850587"/>
    <w:rsid w:val="00850602"/>
    <w:rsid w:val="008506FE"/>
    <w:rsid w:val="008509F9"/>
    <w:rsid w:val="00850A64"/>
    <w:rsid w:val="00850A8F"/>
    <w:rsid w:val="00850D29"/>
    <w:rsid w:val="00850D41"/>
    <w:rsid w:val="00850D75"/>
    <w:rsid w:val="00850E84"/>
    <w:rsid w:val="00850F79"/>
    <w:rsid w:val="008510DE"/>
    <w:rsid w:val="008510FA"/>
    <w:rsid w:val="0085114E"/>
    <w:rsid w:val="00851278"/>
    <w:rsid w:val="00851290"/>
    <w:rsid w:val="00851311"/>
    <w:rsid w:val="0085139E"/>
    <w:rsid w:val="008513BE"/>
    <w:rsid w:val="008514C1"/>
    <w:rsid w:val="008514F2"/>
    <w:rsid w:val="00851505"/>
    <w:rsid w:val="00851604"/>
    <w:rsid w:val="0085166E"/>
    <w:rsid w:val="008516B4"/>
    <w:rsid w:val="00851742"/>
    <w:rsid w:val="008518B0"/>
    <w:rsid w:val="00851919"/>
    <w:rsid w:val="00851A14"/>
    <w:rsid w:val="00851A53"/>
    <w:rsid w:val="00851A83"/>
    <w:rsid w:val="00851B96"/>
    <w:rsid w:val="00851CAD"/>
    <w:rsid w:val="00851CD5"/>
    <w:rsid w:val="00851E18"/>
    <w:rsid w:val="00851EF1"/>
    <w:rsid w:val="00851FFC"/>
    <w:rsid w:val="00852163"/>
    <w:rsid w:val="008521AC"/>
    <w:rsid w:val="0085228B"/>
    <w:rsid w:val="008522CD"/>
    <w:rsid w:val="00852318"/>
    <w:rsid w:val="008524B8"/>
    <w:rsid w:val="008524BD"/>
    <w:rsid w:val="008524D9"/>
    <w:rsid w:val="008524E1"/>
    <w:rsid w:val="00852555"/>
    <w:rsid w:val="008525EA"/>
    <w:rsid w:val="00852671"/>
    <w:rsid w:val="00852679"/>
    <w:rsid w:val="00852685"/>
    <w:rsid w:val="00852704"/>
    <w:rsid w:val="00852774"/>
    <w:rsid w:val="008528E9"/>
    <w:rsid w:val="00852902"/>
    <w:rsid w:val="0085290E"/>
    <w:rsid w:val="008529B5"/>
    <w:rsid w:val="00852A0A"/>
    <w:rsid w:val="00852A6C"/>
    <w:rsid w:val="00852B4E"/>
    <w:rsid w:val="00852CC1"/>
    <w:rsid w:val="00852EC2"/>
    <w:rsid w:val="00852F54"/>
    <w:rsid w:val="00852FCF"/>
    <w:rsid w:val="008530D8"/>
    <w:rsid w:val="008531A5"/>
    <w:rsid w:val="0085320C"/>
    <w:rsid w:val="00853247"/>
    <w:rsid w:val="0085343F"/>
    <w:rsid w:val="008534EE"/>
    <w:rsid w:val="008535B2"/>
    <w:rsid w:val="00853678"/>
    <w:rsid w:val="00853695"/>
    <w:rsid w:val="00853734"/>
    <w:rsid w:val="00853989"/>
    <w:rsid w:val="0085398C"/>
    <w:rsid w:val="00853B56"/>
    <w:rsid w:val="00853B87"/>
    <w:rsid w:val="00853B8C"/>
    <w:rsid w:val="00853C26"/>
    <w:rsid w:val="00853C49"/>
    <w:rsid w:val="00853D9E"/>
    <w:rsid w:val="00853EC2"/>
    <w:rsid w:val="00853EC7"/>
    <w:rsid w:val="00853F04"/>
    <w:rsid w:val="00853F1D"/>
    <w:rsid w:val="00853F91"/>
    <w:rsid w:val="00853FCC"/>
    <w:rsid w:val="0085400A"/>
    <w:rsid w:val="0085404B"/>
    <w:rsid w:val="008540D6"/>
    <w:rsid w:val="008540EC"/>
    <w:rsid w:val="00854173"/>
    <w:rsid w:val="008541E8"/>
    <w:rsid w:val="0085421B"/>
    <w:rsid w:val="00854238"/>
    <w:rsid w:val="008542F4"/>
    <w:rsid w:val="008545EC"/>
    <w:rsid w:val="00854B16"/>
    <w:rsid w:val="00854B74"/>
    <w:rsid w:val="00854DF2"/>
    <w:rsid w:val="00854EF8"/>
    <w:rsid w:val="00855063"/>
    <w:rsid w:val="00855287"/>
    <w:rsid w:val="008552AF"/>
    <w:rsid w:val="008552EE"/>
    <w:rsid w:val="00855312"/>
    <w:rsid w:val="00855332"/>
    <w:rsid w:val="00855492"/>
    <w:rsid w:val="00855508"/>
    <w:rsid w:val="0085568E"/>
    <w:rsid w:val="0085571E"/>
    <w:rsid w:val="0085574F"/>
    <w:rsid w:val="0085577C"/>
    <w:rsid w:val="00855790"/>
    <w:rsid w:val="008558AE"/>
    <w:rsid w:val="0085591B"/>
    <w:rsid w:val="0085599F"/>
    <w:rsid w:val="008559D3"/>
    <w:rsid w:val="00855A48"/>
    <w:rsid w:val="00855A85"/>
    <w:rsid w:val="00855B9B"/>
    <w:rsid w:val="00855BB4"/>
    <w:rsid w:val="00855BE2"/>
    <w:rsid w:val="00855C2A"/>
    <w:rsid w:val="00855C56"/>
    <w:rsid w:val="00855C6D"/>
    <w:rsid w:val="00855D85"/>
    <w:rsid w:val="00855E0C"/>
    <w:rsid w:val="00855F2C"/>
    <w:rsid w:val="00855F42"/>
    <w:rsid w:val="00855FE4"/>
    <w:rsid w:val="00856005"/>
    <w:rsid w:val="0085602F"/>
    <w:rsid w:val="008560EC"/>
    <w:rsid w:val="0085611A"/>
    <w:rsid w:val="00856255"/>
    <w:rsid w:val="00856298"/>
    <w:rsid w:val="008562E5"/>
    <w:rsid w:val="008563E1"/>
    <w:rsid w:val="0085647E"/>
    <w:rsid w:val="008564F4"/>
    <w:rsid w:val="00856547"/>
    <w:rsid w:val="00856599"/>
    <w:rsid w:val="00856668"/>
    <w:rsid w:val="0085673F"/>
    <w:rsid w:val="0085678C"/>
    <w:rsid w:val="00856859"/>
    <w:rsid w:val="0085697F"/>
    <w:rsid w:val="00856A72"/>
    <w:rsid w:val="00856B01"/>
    <w:rsid w:val="00856B6B"/>
    <w:rsid w:val="00856B95"/>
    <w:rsid w:val="00856BE1"/>
    <w:rsid w:val="00856CE8"/>
    <w:rsid w:val="00856D5A"/>
    <w:rsid w:val="00856D70"/>
    <w:rsid w:val="00856E60"/>
    <w:rsid w:val="00856ED4"/>
    <w:rsid w:val="00856EF0"/>
    <w:rsid w:val="00856F32"/>
    <w:rsid w:val="00856FA6"/>
    <w:rsid w:val="00856FD7"/>
    <w:rsid w:val="00856FED"/>
    <w:rsid w:val="00856FF4"/>
    <w:rsid w:val="00857003"/>
    <w:rsid w:val="0085707E"/>
    <w:rsid w:val="0085707F"/>
    <w:rsid w:val="0085708A"/>
    <w:rsid w:val="00857090"/>
    <w:rsid w:val="008570F4"/>
    <w:rsid w:val="00857140"/>
    <w:rsid w:val="008573C4"/>
    <w:rsid w:val="0085748A"/>
    <w:rsid w:val="008574B7"/>
    <w:rsid w:val="00857521"/>
    <w:rsid w:val="008575D4"/>
    <w:rsid w:val="00857606"/>
    <w:rsid w:val="00857632"/>
    <w:rsid w:val="008576DA"/>
    <w:rsid w:val="00857717"/>
    <w:rsid w:val="008577D2"/>
    <w:rsid w:val="0085781A"/>
    <w:rsid w:val="00857839"/>
    <w:rsid w:val="00857945"/>
    <w:rsid w:val="00857967"/>
    <w:rsid w:val="00857A25"/>
    <w:rsid w:val="00857AB2"/>
    <w:rsid w:val="00857B7E"/>
    <w:rsid w:val="00857B89"/>
    <w:rsid w:val="00857C54"/>
    <w:rsid w:val="00857CEE"/>
    <w:rsid w:val="00857D67"/>
    <w:rsid w:val="00857DC1"/>
    <w:rsid w:val="00857DE7"/>
    <w:rsid w:val="00857DF2"/>
    <w:rsid w:val="00857E8C"/>
    <w:rsid w:val="00857F90"/>
    <w:rsid w:val="0086016C"/>
    <w:rsid w:val="00860207"/>
    <w:rsid w:val="00860208"/>
    <w:rsid w:val="00860261"/>
    <w:rsid w:val="008602AE"/>
    <w:rsid w:val="00860493"/>
    <w:rsid w:val="0086053D"/>
    <w:rsid w:val="00860624"/>
    <w:rsid w:val="008607B9"/>
    <w:rsid w:val="00860905"/>
    <w:rsid w:val="00860980"/>
    <w:rsid w:val="00860A0A"/>
    <w:rsid w:val="00860AE0"/>
    <w:rsid w:val="00860B0E"/>
    <w:rsid w:val="00860B29"/>
    <w:rsid w:val="00860B41"/>
    <w:rsid w:val="00860CD4"/>
    <w:rsid w:val="00860D17"/>
    <w:rsid w:val="00860EFF"/>
    <w:rsid w:val="00860F37"/>
    <w:rsid w:val="00860F61"/>
    <w:rsid w:val="00861025"/>
    <w:rsid w:val="008610B0"/>
    <w:rsid w:val="008611AA"/>
    <w:rsid w:val="008611C8"/>
    <w:rsid w:val="00861223"/>
    <w:rsid w:val="0086138C"/>
    <w:rsid w:val="008613D4"/>
    <w:rsid w:val="008614FC"/>
    <w:rsid w:val="00861570"/>
    <w:rsid w:val="00861595"/>
    <w:rsid w:val="008616CD"/>
    <w:rsid w:val="0086170A"/>
    <w:rsid w:val="008617FC"/>
    <w:rsid w:val="00861841"/>
    <w:rsid w:val="008618C7"/>
    <w:rsid w:val="0086196D"/>
    <w:rsid w:val="008619A2"/>
    <w:rsid w:val="008619F1"/>
    <w:rsid w:val="00861A32"/>
    <w:rsid w:val="00861BB4"/>
    <w:rsid w:val="00861E69"/>
    <w:rsid w:val="00861EC7"/>
    <w:rsid w:val="00861F9F"/>
    <w:rsid w:val="00862186"/>
    <w:rsid w:val="00862274"/>
    <w:rsid w:val="008623DA"/>
    <w:rsid w:val="008623EF"/>
    <w:rsid w:val="00862412"/>
    <w:rsid w:val="008625B2"/>
    <w:rsid w:val="008625BA"/>
    <w:rsid w:val="0086263F"/>
    <w:rsid w:val="0086269A"/>
    <w:rsid w:val="008626EA"/>
    <w:rsid w:val="00862799"/>
    <w:rsid w:val="008627F9"/>
    <w:rsid w:val="0086288C"/>
    <w:rsid w:val="0086292A"/>
    <w:rsid w:val="008629D4"/>
    <w:rsid w:val="00862A32"/>
    <w:rsid w:val="00862A36"/>
    <w:rsid w:val="00862AAA"/>
    <w:rsid w:val="00862B06"/>
    <w:rsid w:val="00862B53"/>
    <w:rsid w:val="00862CD0"/>
    <w:rsid w:val="00862CF8"/>
    <w:rsid w:val="00862D3E"/>
    <w:rsid w:val="00862D85"/>
    <w:rsid w:val="00862DA8"/>
    <w:rsid w:val="00862E5D"/>
    <w:rsid w:val="00862EE6"/>
    <w:rsid w:val="00862F41"/>
    <w:rsid w:val="00862FB6"/>
    <w:rsid w:val="00862FE9"/>
    <w:rsid w:val="00863075"/>
    <w:rsid w:val="008631E1"/>
    <w:rsid w:val="0086326D"/>
    <w:rsid w:val="008632DA"/>
    <w:rsid w:val="008634F4"/>
    <w:rsid w:val="00863609"/>
    <w:rsid w:val="00863770"/>
    <w:rsid w:val="00863862"/>
    <w:rsid w:val="0086395A"/>
    <w:rsid w:val="00863992"/>
    <w:rsid w:val="00863A72"/>
    <w:rsid w:val="00863A75"/>
    <w:rsid w:val="00863A84"/>
    <w:rsid w:val="00863B05"/>
    <w:rsid w:val="00863B79"/>
    <w:rsid w:val="00863BFD"/>
    <w:rsid w:val="00863E0A"/>
    <w:rsid w:val="00863EA9"/>
    <w:rsid w:val="0086402D"/>
    <w:rsid w:val="0086419A"/>
    <w:rsid w:val="00864386"/>
    <w:rsid w:val="008643C5"/>
    <w:rsid w:val="00864522"/>
    <w:rsid w:val="0086458C"/>
    <w:rsid w:val="008646A6"/>
    <w:rsid w:val="008646DF"/>
    <w:rsid w:val="0086472C"/>
    <w:rsid w:val="008647B8"/>
    <w:rsid w:val="0086489F"/>
    <w:rsid w:val="00864968"/>
    <w:rsid w:val="008649D7"/>
    <w:rsid w:val="00864A36"/>
    <w:rsid w:val="00864A72"/>
    <w:rsid w:val="00864A83"/>
    <w:rsid w:val="00864AFF"/>
    <w:rsid w:val="00864B1C"/>
    <w:rsid w:val="00864B39"/>
    <w:rsid w:val="00864B83"/>
    <w:rsid w:val="00864C64"/>
    <w:rsid w:val="00864C8C"/>
    <w:rsid w:val="00864F9A"/>
    <w:rsid w:val="00864FA2"/>
    <w:rsid w:val="00864FDC"/>
    <w:rsid w:val="0086505E"/>
    <w:rsid w:val="00865108"/>
    <w:rsid w:val="0086512C"/>
    <w:rsid w:val="008652C5"/>
    <w:rsid w:val="00865341"/>
    <w:rsid w:val="00865460"/>
    <w:rsid w:val="00865473"/>
    <w:rsid w:val="0086549F"/>
    <w:rsid w:val="00865611"/>
    <w:rsid w:val="00865621"/>
    <w:rsid w:val="00865657"/>
    <w:rsid w:val="00865673"/>
    <w:rsid w:val="0086569C"/>
    <w:rsid w:val="008656E1"/>
    <w:rsid w:val="0086570C"/>
    <w:rsid w:val="0086588F"/>
    <w:rsid w:val="008658A1"/>
    <w:rsid w:val="008658CA"/>
    <w:rsid w:val="008658D2"/>
    <w:rsid w:val="00865958"/>
    <w:rsid w:val="00865B22"/>
    <w:rsid w:val="00865D5D"/>
    <w:rsid w:val="00865E36"/>
    <w:rsid w:val="00865FFA"/>
    <w:rsid w:val="00866032"/>
    <w:rsid w:val="0086618B"/>
    <w:rsid w:val="008661FB"/>
    <w:rsid w:val="0086620F"/>
    <w:rsid w:val="00866225"/>
    <w:rsid w:val="0086629F"/>
    <w:rsid w:val="008662B2"/>
    <w:rsid w:val="008662E6"/>
    <w:rsid w:val="00866350"/>
    <w:rsid w:val="00866601"/>
    <w:rsid w:val="0086669D"/>
    <w:rsid w:val="008668E3"/>
    <w:rsid w:val="00866990"/>
    <w:rsid w:val="00866BFC"/>
    <w:rsid w:val="00866D2C"/>
    <w:rsid w:val="00866D5A"/>
    <w:rsid w:val="00866E94"/>
    <w:rsid w:val="00866F99"/>
    <w:rsid w:val="00867033"/>
    <w:rsid w:val="008670F6"/>
    <w:rsid w:val="0086712C"/>
    <w:rsid w:val="00867174"/>
    <w:rsid w:val="008672BE"/>
    <w:rsid w:val="008672F2"/>
    <w:rsid w:val="00867339"/>
    <w:rsid w:val="0086742C"/>
    <w:rsid w:val="00867790"/>
    <w:rsid w:val="00867823"/>
    <w:rsid w:val="00867950"/>
    <w:rsid w:val="008679CC"/>
    <w:rsid w:val="00867A6A"/>
    <w:rsid w:val="00867AC3"/>
    <w:rsid w:val="00867B5B"/>
    <w:rsid w:val="00867BE8"/>
    <w:rsid w:val="00867D19"/>
    <w:rsid w:val="00867E1B"/>
    <w:rsid w:val="00867E3C"/>
    <w:rsid w:val="00867E7C"/>
    <w:rsid w:val="00867F21"/>
    <w:rsid w:val="00867F4D"/>
    <w:rsid w:val="00867F94"/>
    <w:rsid w:val="00867FDF"/>
    <w:rsid w:val="00870129"/>
    <w:rsid w:val="008701A7"/>
    <w:rsid w:val="008701F5"/>
    <w:rsid w:val="0087024E"/>
    <w:rsid w:val="008702BA"/>
    <w:rsid w:val="0087048A"/>
    <w:rsid w:val="0087048B"/>
    <w:rsid w:val="008704FF"/>
    <w:rsid w:val="0087051A"/>
    <w:rsid w:val="00870544"/>
    <w:rsid w:val="00870630"/>
    <w:rsid w:val="00870733"/>
    <w:rsid w:val="00870790"/>
    <w:rsid w:val="00870798"/>
    <w:rsid w:val="00870A0B"/>
    <w:rsid w:val="00870B35"/>
    <w:rsid w:val="00870B55"/>
    <w:rsid w:val="00870C41"/>
    <w:rsid w:val="00870DAA"/>
    <w:rsid w:val="00870E0A"/>
    <w:rsid w:val="00870E92"/>
    <w:rsid w:val="00870EA5"/>
    <w:rsid w:val="00870EE4"/>
    <w:rsid w:val="00870FF0"/>
    <w:rsid w:val="00871064"/>
    <w:rsid w:val="00871226"/>
    <w:rsid w:val="00871248"/>
    <w:rsid w:val="008712A4"/>
    <w:rsid w:val="0087148D"/>
    <w:rsid w:val="008714AE"/>
    <w:rsid w:val="00871527"/>
    <w:rsid w:val="00871624"/>
    <w:rsid w:val="00871887"/>
    <w:rsid w:val="008718EB"/>
    <w:rsid w:val="00871A99"/>
    <w:rsid w:val="00871B9F"/>
    <w:rsid w:val="00871BE8"/>
    <w:rsid w:val="00871CDC"/>
    <w:rsid w:val="00871DC1"/>
    <w:rsid w:val="00871DCF"/>
    <w:rsid w:val="00871DE6"/>
    <w:rsid w:val="00871E1F"/>
    <w:rsid w:val="00871E6B"/>
    <w:rsid w:val="00871EBA"/>
    <w:rsid w:val="00872166"/>
    <w:rsid w:val="00872172"/>
    <w:rsid w:val="00872190"/>
    <w:rsid w:val="008721B8"/>
    <w:rsid w:val="008721FC"/>
    <w:rsid w:val="00872210"/>
    <w:rsid w:val="00872228"/>
    <w:rsid w:val="00872304"/>
    <w:rsid w:val="0087247A"/>
    <w:rsid w:val="008724F7"/>
    <w:rsid w:val="008725B3"/>
    <w:rsid w:val="008725BF"/>
    <w:rsid w:val="008725C0"/>
    <w:rsid w:val="008726E2"/>
    <w:rsid w:val="00872768"/>
    <w:rsid w:val="008727DF"/>
    <w:rsid w:val="008727E5"/>
    <w:rsid w:val="008728A5"/>
    <w:rsid w:val="00872A96"/>
    <w:rsid w:val="00872A9A"/>
    <w:rsid w:val="00872ABB"/>
    <w:rsid w:val="00872AE1"/>
    <w:rsid w:val="00872BC0"/>
    <w:rsid w:val="00872C1B"/>
    <w:rsid w:val="00872C30"/>
    <w:rsid w:val="00872D53"/>
    <w:rsid w:val="00872D54"/>
    <w:rsid w:val="00872E64"/>
    <w:rsid w:val="00872E78"/>
    <w:rsid w:val="00872E94"/>
    <w:rsid w:val="00872FD0"/>
    <w:rsid w:val="0087305F"/>
    <w:rsid w:val="008730F9"/>
    <w:rsid w:val="00873179"/>
    <w:rsid w:val="008731F0"/>
    <w:rsid w:val="00873347"/>
    <w:rsid w:val="00873456"/>
    <w:rsid w:val="008734C7"/>
    <w:rsid w:val="00873616"/>
    <w:rsid w:val="0087361E"/>
    <w:rsid w:val="00873658"/>
    <w:rsid w:val="00873699"/>
    <w:rsid w:val="0087372D"/>
    <w:rsid w:val="00873786"/>
    <w:rsid w:val="008737CB"/>
    <w:rsid w:val="00873825"/>
    <w:rsid w:val="0087383A"/>
    <w:rsid w:val="00873902"/>
    <w:rsid w:val="008739B5"/>
    <w:rsid w:val="00873AB0"/>
    <w:rsid w:val="00873B51"/>
    <w:rsid w:val="00873B56"/>
    <w:rsid w:val="00873C09"/>
    <w:rsid w:val="00873C10"/>
    <w:rsid w:val="00873C78"/>
    <w:rsid w:val="00874091"/>
    <w:rsid w:val="008740F7"/>
    <w:rsid w:val="00874131"/>
    <w:rsid w:val="00874141"/>
    <w:rsid w:val="00874147"/>
    <w:rsid w:val="00874177"/>
    <w:rsid w:val="00874206"/>
    <w:rsid w:val="0087421C"/>
    <w:rsid w:val="00874312"/>
    <w:rsid w:val="0087435D"/>
    <w:rsid w:val="008743F2"/>
    <w:rsid w:val="008743F5"/>
    <w:rsid w:val="00874450"/>
    <w:rsid w:val="00874525"/>
    <w:rsid w:val="00874686"/>
    <w:rsid w:val="008746A6"/>
    <w:rsid w:val="008747C4"/>
    <w:rsid w:val="008747CB"/>
    <w:rsid w:val="00874811"/>
    <w:rsid w:val="00874995"/>
    <w:rsid w:val="00874B69"/>
    <w:rsid w:val="00874C2B"/>
    <w:rsid w:val="00874C6F"/>
    <w:rsid w:val="00874CDC"/>
    <w:rsid w:val="00874D5E"/>
    <w:rsid w:val="00874DC0"/>
    <w:rsid w:val="00874EF2"/>
    <w:rsid w:val="00874F00"/>
    <w:rsid w:val="00874F09"/>
    <w:rsid w:val="00874F49"/>
    <w:rsid w:val="0087504E"/>
    <w:rsid w:val="0087505B"/>
    <w:rsid w:val="008750EE"/>
    <w:rsid w:val="008750FA"/>
    <w:rsid w:val="00875183"/>
    <w:rsid w:val="008753AE"/>
    <w:rsid w:val="008753EE"/>
    <w:rsid w:val="00875409"/>
    <w:rsid w:val="008754AA"/>
    <w:rsid w:val="008754BC"/>
    <w:rsid w:val="008754E2"/>
    <w:rsid w:val="008754EB"/>
    <w:rsid w:val="00875636"/>
    <w:rsid w:val="00875712"/>
    <w:rsid w:val="0087573A"/>
    <w:rsid w:val="00875868"/>
    <w:rsid w:val="00875893"/>
    <w:rsid w:val="0087594E"/>
    <w:rsid w:val="00875A6D"/>
    <w:rsid w:val="00875CBB"/>
    <w:rsid w:val="00875D52"/>
    <w:rsid w:val="00875DAA"/>
    <w:rsid w:val="00875E91"/>
    <w:rsid w:val="00875EF9"/>
    <w:rsid w:val="00875F21"/>
    <w:rsid w:val="00875F38"/>
    <w:rsid w:val="00875F90"/>
    <w:rsid w:val="0087605B"/>
    <w:rsid w:val="008760DD"/>
    <w:rsid w:val="008761F6"/>
    <w:rsid w:val="00876390"/>
    <w:rsid w:val="0087669B"/>
    <w:rsid w:val="008766DF"/>
    <w:rsid w:val="0087679D"/>
    <w:rsid w:val="008767DB"/>
    <w:rsid w:val="008767F3"/>
    <w:rsid w:val="00876837"/>
    <w:rsid w:val="008768D7"/>
    <w:rsid w:val="008768DF"/>
    <w:rsid w:val="00876945"/>
    <w:rsid w:val="0087696D"/>
    <w:rsid w:val="00876A36"/>
    <w:rsid w:val="00876BD6"/>
    <w:rsid w:val="00876CAB"/>
    <w:rsid w:val="00876E5A"/>
    <w:rsid w:val="00876EF9"/>
    <w:rsid w:val="00876F21"/>
    <w:rsid w:val="00876F54"/>
    <w:rsid w:val="00876F92"/>
    <w:rsid w:val="00876FAC"/>
    <w:rsid w:val="00877070"/>
    <w:rsid w:val="0087709D"/>
    <w:rsid w:val="00877161"/>
    <w:rsid w:val="00877226"/>
    <w:rsid w:val="00877272"/>
    <w:rsid w:val="00877275"/>
    <w:rsid w:val="0087731A"/>
    <w:rsid w:val="008773FA"/>
    <w:rsid w:val="008773FF"/>
    <w:rsid w:val="00877499"/>
    <w:rsid w:val="008774FE"/>
    <w:rsid w:val="00877779"/>
    <w:rsid w:val="00877789"/>
    <w:rsid w:val="00877866"/>
    <w:rsid w:val="008778D9"/>
    <w:rsid w:val="008778FF"/>
    <w:rsid w:val="00877962"/>
    <w:rsid w:val="0087799B"/>
    <w:rsid w:val="00877A48"/>
    <w:rsid w:val="00877A55"/>
    <w:rsid w:val="00877AA4"/>
    <w:rsid w:val="00877D14"/>
    <w:rsid w:val="00877DB1"/>
    <w:rsid w:val="00877EC5"/>
    <w:rsid w:val="00877ED2"/>
    <w:rsid w:val="0088003D"/>
    <w:rsid w:val="008800C9"/>
    <w:rsid w:val="00880266"/>
    <w:rsid w:val="008802A5"/>
    <w:rsid w:val="008803C3"/>
    <w:rsid w:val="0088049B"/>
    <w:rsid w:val="008804B1"/>
    <w:rsid w:val="008804D7"/>
    <w:rsid w:val="00880594"/>
    <w:rsid w:val="00880611"/>
    <w:rsid w:val="00880725"/>
    <w:rsid w:val="0088077D"/>
    <w:rsid w:val="0088078F"/>
    <w:rsid w:val="0088083C"/>
    <w:rsid w:val="00880844"/>
    <w:rsid w:val="00880884"/>
    <w:rsid w:val="008808B2"/>
    <w:rsid w:val="008808B5"/>
    <w:rsid w:val="00880905"/>
    <w:rsid w:val="008809CD"/>
    <w:rsid w:val="00880B83"/>
    <w:rsid w:val="00880C6B"/>
    <w:rsid w:val="00880CDE"/>
    <w:rsid w:val="00880CE6"/>
    <w:rsid w:val="00880DB3"/>
    <w:rsid w:val="00880E28"/>
    <w:rsid w:val="00880E66"/>
    <w:rsid w:val="00880E6E"/>
    <w:rsid w:val="00880E82"/>
    <w:rsid w:val="00880EBB"/>
    <w:rsid w:val="00881046"/>
    <w:rsid w:val="00881133"/>
    <w:rsid w:val="0088119D"/>
    <w:rsid w:val="008811A4"/>
    <w:rsid w:val="008811B1"/>
    <w:rsid w:val="008811B3"/>
    <w:rsid w:val="008811DF"/>
    <w:rsid w:val="008812D1"/>
    <w:rsid w:val="008812F5"/>
    <w:rsid w:val="008812F9"/>
    <w:rsid w:val="008812FE"/>
    <w:rsid w:val="0088131A"/>
    <w:rsid w:val="008813EB"/>
    <w:rsid w:val="0088144E"/>
    <w:rsid w:val="00881639"/>
    <w:rsid w:val="0088163E"/>
    <w:rsid w:val="008816E2"/>
    <w:rsid w:val="008816FE"/>
    <w:rsid w:val="00881736"/>
    <w:rsid w:val="00881748"/>
    <w:rsid w:val="0088176A"/>
    <w:rsid w:val="00881877"/>
    <w:rsid w:val="008819E6"/>
    <w:rsid w:val="00881AB5"/>
    <w:rsid w:val="00881B01"/>
    <w:rsid w:val="00881C3E"/>
    <w:rsid w:val="00881D3B"/>
    <w:rsid w:val="00881E09"/>
    <w:rsid w:val="00881E0E"/>
    <w:rsid w:val="00881E7A"/>
    <w:rsid w:val="00882026"/>
    <w:rsid w:val="0088203F"/>
    <w:rsid w:val="00882175"/>
    <w:rsid w:val="0088219E"/>
    <w:rsid w:val="008821DC"/>
    <w:rsid w:val="0088244F"/>
    <w:rsid w:val="008824EC"/>
    <w:rsid w:val="00882520"/>
    <w:rsid w:val="00882660"/>
    <w:rsid w:val="0088274D"/>
    <w:rsid w:val="008827FC"/>
    <w:rsid w:val="0088288D"/>
    <w:rsid w:val="008828B7"/>
    <w:rsid w:val="008828FC"/>
    <w:rsid w:val="00882961"/>
    <w:rsid w:val="0088299B"/>
    <w:rsid w:val="00882BB1"/>
    <w:rsid w:val="00882D50"/>
    <w:rsid w:val="00882E15"/>
    <w:rsid w:val="00882E54"/>
    <w:rsid w:val="0088325C"/>
    <w:rsid w:val="0088325F"/>
    <w:rsid w:val="00883913"/>
    <w:rsid w:val="0088396A"/>
    <w:rsid w:val="00883A37"/>
    <w:rsid w:val="00883B1C"/>
    <w:rsid w:val="00883B74"/>
    <w:rsid w:val="00883BDF"/>
    <w:rsid w:val="00883D42"/>
    <w:rsid w:val="00883E7D"/>
    <w:rsid w:val="00883E8B"/>
    <w:rsid w:val="00883EBD"/>
    <w:rsid w:val="00883F6D"/>
    <w:rsid w:val="00883FC6"/>
    <w:rsid w:val="00884028"/>
    <w:rsid w:val="00884053"/>
    <w:rsid w:val="008840A5"/>
    <w:rsid w:val="0088421F"/>
    <w:rsid w:val="00884324"/>
    <w:rsid w:val="00884391"/>
    <w:rsid w:val="008843E5"/>
    <w:rsid w:val="00884499"/>
    <w:rsid w:val="0088450E"/>
    <w:rsid w:val="00884660"/>
    <w:rsid w:val="0088471A"/>
    <w:rsid w:val="008847F6"/>
    <w:rsid w:val="00884854"/>
    <w:rsid w:val="00884924"/>
    <w:rsid w:val="0088494A"/>
    <w:rsid w:val="008849B8"/>
    <w:rsid w:val="00884A27"/>
    <w:rsid w:val="00884D1E"/>
    <w:rsid w:val="00884DBE"/>
    <w:rsid w:val="00884F64"/>
    <w:rsid w:val="00884F88"/>
    <w:rsid w:val="00884FAA"/>
    <w:rsid w:val="00885212"/>
    <w:rsid w:val="00885294"/>
    <w:rsid w:val="00885354"/>
    <w:rsid w:val="00885390"/>
    <w:rsid w:val="00885446"/>
    <w:rsid w:val="008854D3"/>
    <w:rsid w:val="00885519"/>
    <w:rsid w:val="00885628"/>
    <w:rsid w:val="00885632"/>
    <w:rsid w:val="008856BC"/>
    <w:rsid w:val="008857D0"/>
    <w:rsid w:val="0088582D"/>
    <w:rsid w:val="0088584F"/>
    <w:rsid w:val="00885924"/>
    <w:rsid w:val="00885974"/>
    <w:rsid w:val="008859C2"/>
    <w:rsid w:val="00885A5F"/>
    <w:rsid w:val="00885A68"/>
    <w:rsid w:val="00885BED"/>
    <w:rsid w:val="00885C71"/>
    <w:rsid w:val="00886054"/>
    <w:rsid w:val="0088612B"/>
    <w:rsid w:val="00886142"/>
    <w:rsid w:val="008861DC"/>
    <w:rsid w:val="00886238"/>
    <w:rsid w:val="008862C5"/>
    <w:rsid w:val="008863F5"/>
    <w:rsid w:val="00886408"/>
    <w:rsid w:val="0088640C"/>
    <w:rsid w:val="008864CD"/>
    <w:rsid w:val="00886635"/>
    <w:rsid w:val="0088665B"/>
    <w:rsid w:val="00886779"/>
    <w:rsid w:val="008868DF"/>
    <w:rsid w:val="008869A6"/>
    <w:rsid w:val="00886A8F"/>
    <w:rsid w:val="00886AB3"/>
    <w:rsid w:val="00886ABB"/>
    <w:rsid w:val="00886C24"/>
    <w:rsid w:val="00886C35"/>
    <w:rsid w:val="00886E21"/>
    <w:rsid w:val="00886EBD"/>
    <w:rsid w:val="00886EDF"/>
    <w:rsid w:val="00887191"/>
    <w:rsid w:val="0088719A"/>
    <w:rsid w:val="008871B7"/>
    <w:rsid w:val="008871CB"/>
    <w:rsid w:val="008871EC"/>
    <w:rsid w:val="00887248"/>
    <w:rsid w:val="00887265"/>
    <w:rsid w:val="00887299"/>
    <w:rsid w:val="0088735C"/>
    <w:rsid w:val="008875F3"/>
    <w:rsid w:val="0088765B"/>
    <w:rsid w:val="0088777E"/>
    <w:rsid w:val="0088781E"/>
    <w:rsid w:val="0088782B"/>
    <w:rsid w:val="008878B4"/>
    <w:rsid w:val="008878B7"/>
    <w:rsid w:val="0088796F"/>
    <w:rsid w:val="008879F2"/>
    <w:rsid w:val="008879FF"/>
    <w:rsid w:val="00887ABE"/>
    <w:rsid w:val="00887AF6"/>
    <w:rsid w:val="00887AFC"/>
    <w:rsid w:val="00887B4D"/>
    <w:rsid w:val="00887B6D"/>
    <w:rsid w:val="00887C28"/>
    <w:rsid w:val="00887C67"/>
    <w:rsid w:val="00887CA3"/>
    <w:rsid w:val="00887D58"/>
    <w:rsid w:val="00887DB1"/>
    <w:rsid w:val="00887FED"/>
    <w:rsid w:val="00890071"/>
    <w:rsid w:val="00890125"/>
    <w:rsid w:val="0089018D"/>
    <w:rsid w:val="008901B6"/>
    <w:rsid w:val="00890283"/>
    <w:rsid w:val="008902CA"/>
    <w:rsid w:val="00890317"/>
    <w:rsid w:val="00890440"/>
    <w:rsid w:val="0089044E"/>
    <w:rsid w:val="008904A5"/>
    <w:rsid w:val="00890570"/>
    <w:rsid w:val="0089058E"/>
    <w:rsid w:val="008905AF"/>
    <w:rsid w:val="00890623"/>
    <w:rsid w:val="008906AF"/>
    <w:rsid w:val="00890774"/>
    <w:rsid w:val="00890820"/>
    <w:rsid w:val="0089082D"/>
    <w:rsid w:val="008909F6"/>
    <w:rsid w:val="00890B30"/>
    <w:rsid w:val="00890B5E"/>
    <w:rsid w:val="00890B7A"/>
    <w:rsid w:val="00890BB0"/>
    <w:rsid w:val="00890CCC"/>
    <w:rsid w:val="00890D2B"/>
    <w:rsid w:val="00890D8A"/>
    <w:rsid w:val="00890EDB"/>
    <w:rsid w:val="00890EF3"/>
    <w:rsid w:val="00890FBE"/>
    <w:rsid w:val="00890FE1"/>
    <w:rsid w:val="00891046"/>
    <w:rsid w:val="00891387"/>
    <w:rsid w:val="0089139A"/>
    <w:rsid w:val="008913C4"/>
    <w:rsid w:val="00891440"/>
    <w:rsid w:val="00891490"/>
    <w:rsid w:val="00891514"/>
    <w:rsid w:val="00891566"/>
    <w:rsid w:val="008915B3"/>
    <w:rsid w:val="00891625"/>
    <w:rsid w:val="008916A3"/>
    <w:rsid w:val="00891847"/>
    <w:rsid w:val="00891896"/>
    <w:rsid w:val="00891A2A"/>
    <w:rsid w:val="00891A4B"/>
    <w:rsid w:val="00891A7C"/>
    <w:rsid w:val="00891B1E"/>
    <w:rsid w:val="00891B9D"/>
    <w:rsid w:val="00891C67"/>
    <w:rsid w:val="00891D87"/>
    <w:rsid w:val="00891E75"/>
    <w:rsid w:val="00891F43"/>
    <w:rsid w:val="00891F9B"/>
    <w:rsid w:val="00891FB9"/>
    <w:rsid w:val="00891FC4"/>
    <w:rsid w:val="00891FE2"/>
    <w:rsid w:val="0089201C"/>
    <w:rsid w:val="0089209E"/>
    <w:rsid w:val="008921B2"/>
    <w:rsid w:val="00892372"/>
    <w:rsid w:val="00892381"/>
    <w:rsid w:val="008925C3"/>
    <w:rsid w:val="0089278F"/>
    <w:rsid w:val="008927FD"/>
    <w:rsid w:val="0089282F"/>
    <w:rsid w:val="00892869"/>
    <w:rsid w:val="008928DD"/>
    <w:rsid w:val="00892914"/>
    <w:rsid w:val="00892946"/>
    <w:rsid w:val="00892A12"/>
    <w:rsid w:val="00892B46"/>
    <w:rsid w:val="00892B4E"/>
    <w:rsid w:val="00892B6C"/>
    <w:rsid w:val="00892B87"/>
    <w:rsid w:val="00892BB1"/>
    <w:rsid w:val="00892BB5"/>
    <w:rsid w:val="00892BBB"/>
    <w:rsid w:val="00892BCD"/>
    <w:rsid w:val="00892CD3"/>
    <w:rsid w:val="00892CE0"/>
    <w:rsid w:val="00892D4F"/>
    <w:rsid w:val="00892E0C"/>
    <w:rsid w:val="00892E59"/>
    <w:rsid w:val="00892E96"/>
    <w:rsid w:val="00892EEF"/>
    <w:rsid w:val="00892F78"/>
    <w:rsid w:val="00893084"/>
    <w:rsid w:val="008930E1"/>
    <w:rsid w:val="008931D4"/>
    <w:rsid w:val="008931E2"/>
    <w:rsid w:val="00893266"/>
    <w:rsid w:val="00893292"/>
    <w:rsid w:val="008933AA"/>
    <w:rsid w:val="008933AE"/>
    <w:rsid w:val="0089340F"/>
    <w:rsid w:val="00893490"/>
    <w:rsid w:val="008934B6"/>
    <w:rsid w:val="008935AF"/>
    <w:rsid w:val="008935EA"/>
    <w:rsid w:val="00893647"/>
    <w:rsid w:val="008936C7"/>
    <w:rsid w:val="00893729"/>
    <w:rsid w:val="0089372B"/>
    <w:rsid w:val="008937CB"/>
    <w:rsid w:val="00893867"/>
    <w:rsid w:val="008938B3"/>
    <w:rsid w:val="00893903"/>
    <w:rsid w:val="0089397B"/>
    <w:rsid w:val="008939ED"/>
    <w:rsid w:val="00893AA4"/>
    <w:rsid w:val="00893B5B"/>
    <w:rsid w:val="00893CE7"/>
    <w:rsid w:val="00893D44"/>
    <w:rsid w:val="00893D70"/>
    <w:rsid w:val="00893DEA"/>
    <w:rsid w:val="00893E88"/>
    <w:rsid w:val="00893F03"/>
    <w:rsid w:val="00893F68"/>
    <w:rsid w:val="00893F73"/>
    <w:rsid w:val="008941DC"/>
    <w:rsid w:val="008944A8"/>
    <w:rsid w:val="008944AD"/>
    <w:rsid w:val="00894578"/>
    <w:rsid w:val="00894620"/>
    <w:rsid w:val="00894945"/>
    <w:rsid w:val="0089495E"/>
    <w:rsid w:val="0089497E"/>
    <w:rsid w:val="0089498C"/>
    <w:rsid w:val="008949AE"/>
    <w:rsid w:val="00894A5B"/>
    <w:rsid w:val="00894AE5"/>
    <w:rsid w:val="00894C04"/>
    <w:rsid w:val="00894C42"/>
    <w:rsid w:val="00894CC7"/>
    <w:rsid w:val="00894D68"/>
    <w:rsid w:val="00894D8E"/>
    <w:rsid w:val="00894EC4"/>
    <w:rsid w:val="00894F2A"/>
    <w:rsid w:val="00895093"/>
    <w:rsid w:val="008950FF"/>
    <w:rsid w:val="008951ED"/>
    <w:rsid w:val="00895383"/>
    <w:rsid w:val="00895392"/>
    <w:rsid w:val="0089541B"/>
    <w:rsid w:val="008954E6"/>
    <w:rsid w:val="0089556D"/>
    <w:rsid w:val="008955B0"/>
    <w:rsid w:val="008956B9"/>
    <w:rsid w:val="008956D0"/>
    <w:rsid w:val="008957AF"/>
    <w:rsid w:val="008957B3"/>
    <w:rsid w:val="0089582B"/>
    <w:rsid w:val="00895A85"/>
    <w:rsid w:val="00895A92"/>
    <w:rsid w:val="00895C65"/>
    <w:rsid w:val="00895CFA"/>
    <w:rsid w:val="00895D98"/>
    <w:rsid w:val="00895EDA"/>
    <w:rsid w:val="00895EEF"/>
    <w:rsid w:val="00895FA1"/>
    <w:rsid w:val="008960C8"/>
    <w:rsid w:val="008961A6"/>
    <w:rsid w:val="008961FF"/>
    <w:rsid w:val="008962A4"/>
    <w:rsid w:val="0089656D"/>
    <w:rsid w:val="00896630"/>
    <w:rsid w:val="0089667D"/>
    <w:rsid w:val="008966C1"/>
    <w:rsid w:val="0089680E"/>
    <w:rsid w:val="0089697D"/>
    <w:rsid w:val="008969AC"/>
    <w:rsid w:val="00896A8A"/>
    <w:rsid w:val="00896CAA"/>
    <w:rsid w:val="00896E7E"/>
    <w:rsid w:val="00896F7D"/>
    <w:rsid w:val="008970EC"/>
    <w:rsid w:val="00897118"/>
    <w:rsid w:val="00897135"/>
    <w:rsid w:val="008972EC"/>
    <w:rsid w:val="008972F4"/>
    <w:rsid w:val="00897326"/>
    <w:rsid w:val="00897337"/>
    <w:rsid w:val="008973BF"/>
    <w:rsid w:val="00897415"/>
    <w:rsid w:val="00897430"/>
    <w:rsid w:val="008977C2"/>
    <w:rsid w:val="008977FC"/>
    <w:rsid w:val="0089786C"/>
    <w:rsid w:val="008978E8"/>
    <w:rsid w:val="008979FD"/>
    <w:rsid w:val="00897A82"/>
    <w:rsid w:val="00897AEA"/>
    <w:rsid w:val="00897B84"/>
    <w:rsid w:val="00897BCB"/>
    <w:rsid w:val="00897C98"/>
    <w:rsid w:val="00897D20"/>
    <w:rsid w:val="00897D5E"/>
    <w:rsid w:val="00897DE7"/>
    <w:rsid w:val="00897DEB"/>
    <w:rsid w:val="00897E0A"/>
    <w:rsid w:val="00897E43"/>
    <w:rsid w:val="00897E88"/>
    <w:rsid w:val="00897F4D"/>
    <w:rsid w:val="00897F7E"/>
    <w:rsid w:val="008A0022"/>
    <w:rsid w:val="008A0109"/>
    <w:rsid w:val="008A0131"/>
    <w:rsid w:val="008A0179"/>
    <w:rsid w:val="008A01BB"/>
    <w:rsid w:val="008A020D"/>
    <w:rsid w:val="008A0390"/>
    <w:rsid w:val="008A041A"/>
    <w:rsid w:val="008A0769"/>
    <w:rsid w:val="008A07A6"/>
    <w:rsid w:val="008A0866"/>
    <w:rsid w:val="008A091F"/>
    <w:rsid w:val="008A098C"/>
    <w:rsid w:val="008A098D"/>
    <w:rsid w:val="008A09A2"/>
    <w:rsid w:val="008A0AC1"/>
    <w:rsid w:val="008A0B85"/>
    <w:rsid w:val="008A0BE9"/>
    <w:rsid w:val="008A0CB0"/>
    <w:rsid w:val="008A0DEA"/>
    <w:rsid w:val="008A10B1"/>
    <w:rsid w:val="008A116C"/>
    <w:rsid w:val="008A1352"/>
    <w:rsid w:val="008A1362"/>
    <w:rsid w:val="008A150D"/>
    <w:rsid w:val="008A157F"/>
    <w:rsid w:val="008A15A7"/>
    <w:rsid w:val="008A15E9"/>
    <w:rsid w:val="008A1663"/>
    <w:rsid w:val="008A17B6"/>
    <w:rsid w:val="008A1A2C"/>
    <w:rsid w:val="008A1A6D"/>
    <w:rsid w:val="008A1C9C"/>
    <w:rsid w:val="008A1CA1"/>
    <w:rsid w:val="008A1CF0"/>
    <w:rsid w:val="008A1D8D"/>
    <w:rsid w:val="008A1E42"/>
    <w:rsid w:val="008A1ED5"/>
    <w:rsid w:val="008A1F3C"/>
    <w:rsid w:val="008A1FA8"/>
    <w:rsid w:val="008A1FDA"/>
    <w:rsid w:val="008A2001"/>
    <w:rsid w:val="008A2011"/>
    <w:rsid w:val="008A2042"/>
    <w:rsid w:val="008A213E"/>
    <w:rsid w:val="008A2179"/>
    <w:rsid w:val="008A21C2"/>
    <w:rsid w:val="008A22CD"/>
    <w:rsid w:val="008A22D4"/>
    <w:rsid w:val="008A2374"/>
    <w:rsid w:val="008A23C2"/>
    <w:rsid w:val="008A2434"/>
    <w:rsid w:val="008A2602"/>
    <w:rsid w:val="008A2633"/>
    <w:rsid w:val="008A2635"/>
    <w:rsid w:val="008A26DE"/>
    <w:rsid w:val="008A26F2"/>
    <w:rsid w:val="008A276E"/>
    <w:rsid w:val="008A279A"/>
    <w:rsid w:val="008A283E"/>
    <w:rsid w:val="008A28F7"/>
    <w:rsid w:val="008A2928"/>
    <w:rsid w:val="008A2967"/>
    <w:rsid w:val="008A2B3C"/>
    <w:rsid w:val="008A2BE4"/>
    <w:rsid w:val="008A2BF3"/>
    <w:rsid w:val="008A2F0D"/>
    <w:rsid w:val="008A2F79"/>
    <w:rsid w:val="008A3026"/>
    <w:rsid w:val="008A318F"/>
    <w:rsid w:val="008A3231"/>
    <w:rsid w:val="008A326E"/>
    <w:rsid w:val="008A3295"/>
    <w:rsid w:val="008A32AD"/>
    <w:rsid w:val="008A3357"/>
    <w:rsid w:val="008A33E0"/>
    <w:rsid w:val="008A346F"/>
    <w:rsid w:val="008A3488"/>
    <w:rsid w:val="008A34B8"/>
    <w:rsid w:val="008A34DB"/>
    <w:rsid w:val="008A36F0"/>
    <w:rsid w:val="008A3714"/>
    <w:rsid w:val="008A37B0"/>
    <w:rsid w:val="008A38EB"/>
    <w:rsid w:val="008A3B17"/>
    <w:rsid w:val="008A3BDB"/>
    <w:rsid w:val="008A3BE4"/>
    <w:rsid w:val="008A3CE8"/>
    <w:rsid w:val="008A3D9F"/>
    <w:rsid w:val="008A4061"/>
    <w:rsid w:val="008A4065"/>
    <w:rsid w:val="008A4139"/>
    <w:rsid w:val="008A4185"/>
    <w:rsid w:val="008A4240"/>
    <w:rsid w:val="008A424C"/>
    <w:rsid w:val="008A430A"/>
    <w:rsid w:val="008A4326"/>
    <w:rsid w:val="008A437C"/>
    <w:rsid w:val="008A4397"/>
    <w:rsid w:val="008A441C"/>
    <w:rsid w:val="008A4513"/>
    <w:rsid w:val="008A4622"/>
    <w:rsid w:val="008A469A"/>
    <w:rsid w:val="008A488B"/>
    <w:rsid w:val="008A4AC4"/>
    <w:rsid w:val="008A4AD3"/>
    <w:rsid w:val="008A4E5F"/>
    <w:rsid w:val="008A4EBA"/>
    <w:rsid w:val="008A4F60"/>
    <w:rsid w:val="008A4F6C"/>
    <w:rsid w:val="008A4FA3"/>
    <w:rsid w:val="008A4FD0"/>
    <w:rsid w:val="008A5078"/>
    <w:rsid w:val="008A50AD"/>
    <w:rsid w:val="008A52FC"/>
    <w:rsid w:val="008A5369"/>
    <w:rsid w:val="008A536E"/>
    <w:rsid w:val="008A53C5"/>
    <w:rsid w:val="008A53D3"/>
    <w:rsid w:val="008A54DB"/>
    <w:rsid w:val="008A552C"/>
    <w:rsid w:val="008A5584"/>
    <w:rsid w:val="008A5599"/>
    <w:rsid w:val="008A5733"/>
    <w:rsid w:val="008A5876"/>
    <w:rsid w:val="008A5A14"/>
    <w:rsid w:val="008A5A61"/>
    <w:rsid w:val="008A5AED"/>
    <w:rsid w:val="008A5B7B"/>
    <w:rsid w:val="008A5BCD"/>
    <w:rsid w:val="008A5BD1"/>
    <w:rsid w:val="008A5C00"/>
    <w:rsid w:val="008A5C79"/>
    <w:rsid w:val="008A5D55"/>
    <w:rsid w:val="008A5DDF"/>
    <w:rsid w:val="008A5DF4"/>
    <w:rsid w:val="008A5F5A"/>
    <w:rsid w:val="008A5FA8"/>
    <w:rsid w:val="008A6023"/>
    <w:rsid w:val="008A6058"/>
    <w:rsid w:val="008A609B"/>
    <w:rsid w:val="008A627D"/>
    <w:rsid w:val="008A64DF"/>
    <w:rsid w:val="008A6676"/>
    <w:rsid w:val="008A66FC"/>
    <w:rsid w:val="008A674C"/>
    <w:rsid w:val="008A680C"/>
    <w:rsid w:val="008A6935"/>
    <w:rsid w:val="008A6940"/>
    <w:rsid w:val="008A6A68"/>
    <w:rsid w:val="008A6B38"/>
    <w:rsid w:val="008A6B88"/>
    <w:rsid w:val="008A6BFA"/>
    <w:rsid w:val="008A6E79"/>
    <w:rsid w:val="008A6F36"/>
    <w:rsid w:val="008A7161"/>
    <w:rsid w:val="008A71CC"/>
    <w:rsid w:val="008A72B2"/>
    <w:rsid w:val="008A72DF"/>
    <w:rsid w:val="008A7406"/>
    <w:rsid w:val="008A7562"/>
    <w:rsid w:val="008A7616"/>
    <w:rsid w:val="008A77E4"/>
    <w:rsid w:val="008A7813"/>
    <w:rsid w:val="008A7844"/>
    <w:rsid w:val="008A78C0"/>
    <w:rsid w:val="008A78D4"/>
    <w:rsid w:val="008A790F"/>
    <w:rsid w:val="008A7912"/>
    <w:rsid w:val="008A7AE4"/>
    <w:rsid w:val="008A7C09"/>
    <w:rsid w:val="008A7C34"/>
    <w:rsid w:val="008A7C64"/>
    <w:rsid w:val="008A7CC7"/>
    <w:rsid w:val="008A7D03"/>
    <w:rsid w:val="008A7D72"/>
    <w:rsid w:val="008A7D8B"/>
    <w:rsid w:val="008A7E1B"/>
    <w:rsid w:val="008A7E6F"/>
    <w:rsid w:val="008A7F27"/>
    <w:rsid w:val="008A7FBD"/>
    <w:rsid w:val="008B009D"/>
    <w:rsid w:val="008B00B3"/>
    <w:rsid w:val="008B01F4"/>
    <w:rsid w:val="008B0218"/>
    <w:rsid w:val="008B021E"/>
    <w:rsid w:val="008B0231"/>
    <w:rsid w:val="008B02E0"/>
    <w:rsid w:val="008B0499"/>
    <w:rsid w:val="008B06CF"/>
    <w:rsid w:val="008B08BA"/>
    <w:rsid w:val="008B08CC"/>
    <w:rsid w:val="008B0900"/>
    <w:rsid w:val="008B097A"/>
    <w:rsid w:val="008B09E6"/>
    <w:rsid w:val="008B09F8"/>
    <w:rsid w:val="008B0A28"/>
    <w:rsid w:val="008B0A6C"/>
    <w:rsid w:val="008B0B36"/>
    <w:rsid w:val="008B0BF8"/>
    <w:rsid w:val="008B0BF9"/>
    <w:rsid w:val="008B0C18"/>
    <w:rsid w:val="008B0C1E"/>
    <w:rsid w:val="008B0DF0"/>
    <w:rsid w:val="008B0E17"/>
    <w:rsid w:val="008B0FED"/>
    <w:rsid w:val="008B1086"/>
    <w:rsid w:val="008B1091"/>
    <w:rsid w:val="008B10BE"/>
    <w:rsid w:val="008B13BB"/>
    <w:rsid w:val="008B13FF"/>
    <w:rsid w:val="008B14C3"/>
    <w:rsid w:val="008B14EC"/>
    <w:rsid w:val="008B15D7"/>
    <w:rsid w:val="008B15F6"/>
    <w:rsid w:val="008B1644"/>
    <w:rsid w:val="008B17B5"/>
    <w:rsid w:val="008B18DC"/>
    <w:rsid w:val="008B19B2"/>
    <w:rsid w:val="008B1A1C"/>
    <w:rsid w:val="008B1CA5"/>
    <w:rsid w:val="008B1D18"/>
    <w:rsid w:val="008B1D93"/>
    <w:rsid w:val="008B1DC0"/>
    <w:rsid w:val="008B1EB9"/>
    <w:rsid w:val="008B1F13"/>
    <w:rsid w:val="008B200E"/>
    <w:rsid w:val="008B2151"/>
    <w:rsid w:val="008B2258"/>
    <w:rsid w:val="008B237F"/>
    <w:rsid w:val="008B24E7"/>
    <w:rsid w:val="008B27A0"/>
    <w:rsid w:val="008B27F1"/>
    <w:rsid w:val="008B285B"/>
    <w:rsid w:val="008B2A6A"/>
    <w:rsid w:val="008B2CAE"/>
    <w:rsid w:val="008B2E79"/>
    <w:rsid w:val="008B2E9C"/>
    <w:rsid w:val="008B2EBA"/>
    <w:rsid w:val="008B2EF3"/>
    <w:rsid w:val="008B2F2F"/>
    <w:rsid w:val="008B30C5"/>
    <w:rsid w:val="008B30C9"/>
    <w:rsid w:val="008B31B9"/>
    <w:rsid w:val="008B31C5"/>
    <w:rsid w:val="008B31CB"/>
    <w:rsid w:val="008B3329"/>
    <w:rsid w:val="008B3581"/>
    <w:rsid w:val="008B3675"/>
    <w:rsid w:val="008B372F"/>
    <w:rsid w:val="008B3782"/>
    <w:rsid w:val="008B37B1"/>
    <w:rsid w:val="008B3AE2"/>
    <w:rsid w:val="008B3B4A"/>
    <w:rsid w:val="008B3B76"/>
    <w:rsid w:val="008B3BC3"/>
    <w:rsid w:val="008B3D82"/>
    <w:rsid w:val="008B3E5A"/>
    <w:rsid w:val="008B3FE3"/>
    <w:rsid w:val="008B401E"/>
    <w:rsid w:val="008B41E4"/>
    <w:rsid w:val="008B4202"/>
    <w:rsid w:val="008B423E"/>
    <w:rsid w:val="008B4251"/>
    <w:rsid w:val="008B431C"/>
    <w:rsid w:val="008B4364"/>
    <w:rsid w:val="008B4451"/>
    <w:rsid w:val="008B446C"/>
    <w:rsid w:val="008B4472"/>
    <w:rsid w:val="008B453C"/>
    <w:rsid w:val="008B45FF"/>
    <w:rsid w:val="008B47CC"/>
    <w:rsid w:val="008B47FE"/>
    <w:rsid w:val="008B4816"/>
    <w:rsid w:val="008B488E"/>
    <w:rsid w:val="008B48A3"/>
    <w:rsid w:val="008B48D9"/>
    <w:rsid w:val="008B49AC"/>
    <w:rsid w:val="008B4A41"/>
    <w:rsid w:val="008B4A5D"/>
    <w:rsid w:val="008B4AA5"/>
    <w:rsid w:val="008B4AB1"/>
    <w:rsid w:val="008B4B19"/>
    <w:rsid w:val="008B4B42"/>
    <w:rsid w:val="008B4D69"/>
    <w:rsid w:val="008B4E65"/>
    <w:rsid w:val="008B4EB3"/>
    <w:rsid w:val="008B4FCD"/>
    <w:rsid w:val="008B500B"/>
    <w:rsid w:val="008B506D"/>
    <w:rsid w:val="008B508A"/>
    <w:rsid w:val="008B516E"/>
    <w:rsid w:val="008B526F"/>
    <w:rsid w:val="008B528E"/>
    <w:rsid w:val="008B52B1"/>
    <w:rsid w:val="008B561B"/>
    <w:rsid w:val="008B5688"/>
    <w:rsid w:val="008B56A1"/>
    <w:rsid w:val="008B57AA"/>
    <w:rsid w:val="008B57E6"/>
    <w:rsid w:val="008B5945"/>
    <w:rsid w:val="008B5A49"/>
    <w:rsid w:val="008B5AA1"/>
    <w:rsid w:val="008B5ACF"/>
    <w:rsid w:val="008B5B8B"/>
    <w:rsid w:val="008B5F00"/>
    <w:rsid w:val="008B601E"/>
    <w:rsid w:val="008B6020"/>
    <w:rsid w:val="008B6048"/>
    <w:rsid w:val="008B611F"/>
    <w:rsid w:val="008B6163"/>
    <w:rsid w:val="008B6352"/>
    <w:rsid w:val="008B63D5"/>
    <w:rsid w:val="008B6473"/>
    <w:rsid w:val="008B6491"/>
    <w:rsid w:val="008B65F9"/>
    <w:rsid w:val="008B668B"/>
    <w:rsid w:val="008B66E3"/>
    <w:rsid w:val="008B67E1"/>
    <w:rsid w:val="008B682C"/>
    <w:rsid w:val="008B68D9"/>
    <w:rsid w:val="008B69EB"/>
    <w:rsid w:val="008B6F04"/>
    <w:rsid w:val="008B6F1A"/>
    <w:rsid w:val="008B6F98"/>
    <w:rsid w:val="008B6FF5"/>
    <w:rsid w:val="008B717D"/>
    <w:rsid w:val="008B7325"/>
    <w:rsid w:val="008B7374"/>
    <w:rsid w:val="008B7487"/>
    <w:rsid w:val="008B7552"/>
    <w:rsid w:val="008B75DC"/>
    <w:rsid w:val="008B7640"/>
    <w:rsid w:val="008B78C8"/>
    <w:rsid w:val="008B7921"/>
    <w:rsid w:val="008B7997"/>
    <w:rsid w:val="008B7A13"/>
    <w:rsid w:val="008B7A2D"/>
    <w:rsid w:val="008B7BDB"/>
    <w:rsid w:val="008B7CE5"/>
    <w:rsid w:val="008B7CF2"/>
    <w:rsid w:val="008B7D0A"/>
    <w:rsid w:val="008B7E8F"/>
    <w:rsid w:val="008B7EC5"/>
    <w:rsid w:val="008C00EE"/>
    <w:rsid w:val="008C019B"/>
    <w:rsid w:val="008C04DF"/>
    <w:rsid w:val="008C0527"/>
    <w:rsid w:val="008C061C"/>
    <w:rsid w:val="008C0681"/>
    <w:rsid w:val="008C06F9"/>
    <w:rsid w:val="008C0763"/>
    <w:rsid w:val="008C0804"/>
    <w:rsid w:val="008C0A31"/>
    <w:rsid w:val="008C0AE4"/>
    <w:rsid w:val="008C0B12"/>
    <w:rsid w:val="008C0BE0"/>
    <w:rsid w:val="008C0BE4"/>
    <w:rsid w:val="008C0C03"/>
    <w:rsid w:val="008C0CAA"/>
    <w:rsid w:val="008C0E43"/>
    <w:rsid w:val="008C0FD2"/>
    <w:rsid w:val="008C0FEA"/>
    <w:rsid w:val="008C1107"/>
    <w:rsid w:val="008C113F"/>
    <w:rsid w:val="008C1172"/>
    <w:rsid w:val="008C119B"/>
    <w:rsid w:val="008C11F9"/>
    <w:rsid w:val="008C1307"/>
    <w:rsid w:val="008C1397"/>
    <w:rsid w:val="008C1415"/>
    <w:rsid w:val="008C14FE"/>
    <w:rsid w:val="008C15D1"/>
    <w:rsid w:val="008C15F5"/>
    <w:rsid w:val="008C15F9"/>
    <w:rsid w:val="008C1665"/>
    <w:rsid w:val="008C16B3"/>
    <w:rsid w:val="008C17EA"/>
    <w:rsid w:val="008C18B6"/>
    <w:rsid w:val="008C19BA"/>
    <w:rsid w:val="008C1A67"/>
    <w:rsid w:val="008C1ADD"/>
    <w:rsid w:val="008C1BAB"/>
    <w:rsid w:val="008C1C0B"/>
    <w:rsid w:val="008C1E05"/>
    <w:rsid w:val="008C1E82"/>
    <w:rsid w:val="008C1EB0"/>
    <w:rsid w:val="008C2037"/>
    <w:rsid w:val="008C20AA"/>
    <w:rsid w:val="008C20C1"/>
    <w:rsid w:val="008C246B"/>
    <w:rsid w:val="008C24DE"/>
    <w:rsid w:val="008C24E8"/>
    <w:rsid w:val="008C2577"/>
    <w:rsid w:val="008C2658"/>
    <w:rsid w:val="008C269B"/>
    <w:rsid w:val="008C26FD"/>
    <w:rsid w:val="008C2733"/>
    <w:rsid w:val="008C2A88"/>
    <w:rsid w:val="008C2B66"/>
    <w:rsid w:val="008C2BCA"/>
    <w:rsid w:val="008C2BFB"/>
    <w:rsid w:val="008C2C94"/>
    <w:rsid w:val="008C2D60"/>
    <w:rsid w:val="008C2EA7"/>
    <w:rsid w:val="008C2ED5"/>
    <w:rsid w:val="008C2F18"/>
    <w:rsid w:val="008C308E"/>
    <w:rsid w:val="008C30D6"/>
    <w:rsid w:val="008C3141"/>
    <w:rsid w:val="008C319F"/>
    <w:rsid w:val="008C31AF"/>
    <w:rsid w:val="008C31B8"/>
    <w:rsid w:val="008C32D1"/>
    <w:rsid w:val="008C341C"/>
    <w:rsid w:val="008C36B0"/>
    <w:rsid w:val="008C3731"/>
    <w:rsid w:val="008C387C"/>
    <w:rsid w:val="008C39A7"/>
    <w:rsid w:val="008C39E0"/>
    <w:rsid w:val="008C39EB"/>
    <w:rsid w:val="008C3A3B"/>
    <w:rsid w:val="008C3AC1"/>
    <w:rsid w:val="008C3BC9"/>
    <w:rsid w:val="008C3CD4"/>
    <w:rsid w:val="008C3CF2"/>
    <w:rsid w:val="008C3D2B"/>
    <w:rsid w:val="008C3D4D"/>
    <w:rsid w:val="008C3D8C"/>
    <w:rsid w:val="008C3E31"/>
    <w:rsid w:val="008C3E8B"/>
    <w:rsid w:val="008C3E9C"/>
    <w:rsid w:val="008C3F30"/>
    <w:rsid w:val="008C3F77"/>
    <w:rsid w:val="008C4062"/>
    <w:rsid w:val="008C4290"/>
    <w:rsid w:val="008C438E"/>
    <w:rsid w:val="008C439E"/>
    <w:rsid w:val="008C43AB"/>
    <w:rsid w:val="008C4408"/>
    <w:rsid w:val="008C4493"/>
    <w:rsid w:val="008C4584"/>
    <w:rsid w:val="008C4696"/>
    <w:rsid w:val="008C47F3"/>
    <w:rsid w:val="008C4811"/>
    <w:rsid w:val="008C48D8"/>
    <w:rsid w:val="008C4AE9"/>
    <w:rsid w:val="008C4B05"/>
    <w:rsid w:val="008C4B97"/>
    <w:rsid w:val="008C4BB2"/>
    <w:rsid w:val="008C4C7A"/>
    <w:rsid w:val="008C4D31"/>
    <w:rsid w:val="008C4D4D"/>
    <w:rsid w:val="008C4DB4"/>
    <w:rsid w:val="008C500D"/>
    <w:rsid w:val="008C516C"/>
    <w:rsid w:val="008C51B8"/>
    <w:rsid w:val="008C51C9"/>
    <w:rsid w:val="008C520E"/>
    <w:rsid w:val="008C5231"/>
    <w:rsid w:val="008C5250"/>
    <w:rsid w:val="008C535F"/>
    <w:rsid w:val="008C53A8"/>
    <w:rsid w:val="008C53FC"/>
    <w:rsid w:val="008C556C"/>
    <w:rsid w:val="008C5638"/>
    <w:rsid w:val="008C56E5"/>
    <w:rsid w:val="008C58A9"/>
    <w:rsid w:val="008C58C0"/>
    <w:rsid w:val="008C5A6B"/>
    <w:rsid w:val="008C5AF1"/>
    <w:rsid w:val="008C5C2A"/>
    <w:rsid w:val="008C5D11"/>
    <w:rsid w:val="008C5D3C"/>
    <w:rsid w:val="008C5DD8"/>
    <w:rsid w:val="008C5EBA"/>
    <w:rsid w:val="008C5FEB"/>
    <w:rsid w:val="008C600B"/>
    <w:rsid w:val="008C600D"/>
    <w:rsid w:val="008C62CC"/>
    <w:rsid w:val="008C642E"/>
    <w:rsid w:val="008C648A"/>
    <w:rsid w:val="008C64D8"/>
    <w:rsid w:val="008C65A9"/>
    <w:rsid w:val="008C6609"/>
    <w:rsid w:val="008C6635"/>
    <w:rsid w:val="008C67F5"/>
    <w:rsid w:val="008C6805"/>
    <w:rsid w:val="008C684E"/>
    <w:rsid w:val="008C6966"/>
    <w:rsid w:val="008C696F"/>
    <w:rsid w:val="008C6A6C"/>
    <w:rsid w:val="008C6AA9"/>
    <w:rsid w:val="008C6CD1"/>
    <w:rsid w:val="008C6DD5"/>
    <w:rsid w:val="008C6E21"/>
    <w:rsid w:val="008C6E44"/>
    <w:rsid w:val="008C6F1B"/>
    <w:rsid w:val="008C7068"/>
    <w:rsid w:val="008C706B"/>
    <w:rsid w:val="008C707B"/>
    <w:rsid w:val="008C718A"/>
    <w:rsid w:val="008C7283"/>
    <w:rsid w:val="008C7285"/>
    <w:rsid w:val="008C728A"/>
    <w:rsid w:val="008C7339"/>
    <w:rsid w:val="008C742C"/>
    <w:rsid w:val="008C747B"/>
    <w:rsid w:val="008C74BF"/>
    <w:rsid w:val="008C74E3"/>
    <w:rsid w:val="008C7501"/>
    <w:rsid w:val="008C7544"/>
    <w:rsid w:val="008C75CE"/>
    <w:rsid w:val="008C761B"/>
    <w:rsid w:val="008C7677"/>
    <w:rsid w:val="008C76F2"/>
    <w:rsid w:val="008C779E"/>
    <w:rsid w:val="008C7821"/>
    <w:rsid w:val="008C7A0B"/>
    <w:rsid w:val="008C7A55"/>
    <w:rsid w:val="008C7AC5"/>
    <w:rsid w:val="008C7BD7"/>
    <w:rsid w:val="008C7C81"/>
    <w:rsid w:val="008C7D41"/>
    <w:rsid w:val="008C7D90"/>
    <w:rsid w:val="008C7D92"/>
    <w:rsid w:val="008C7ED4"/>
    <w:rsid w:val="008D0042"/>
    <w:rsid w:val="008D0093"/>
    <w:rsid w:val="008D00A2"/>
    <w:rsid w:val="008D023D"/>
    <w:rsid w:val="008D0259"/>
    <w:rsid w:val="008D030C"/>
    <w:rsid w:val="008D0451"/>
    <w:rsid w:val="008D0494"/>
    <w:rsid w:val="008D04AF"/>
    <w:rsid w:val="008D04B9"/>
    <w:rsid w:val="008D04E1"/>
    <w:rsid w:val="008D0576"/>
    <w:rsid w:val="008D0644"/>
    <w:rsid w:val="008D0676"/>
    <w:rsid w:val="008D0692"/>
    <w:rsid w:val="008D07E4"/>
    <w:rsid w:val="008D07FF"/>
    <w:rsid w:val="008D08BA"/>
    <w:rsid w:val="008D08EB"/>
    <w:rsid w:val="008D0A90"/>
    <w:rsid w:val="008D0B44"/>
    <w:rsid w:val="008D0C87"/>
    <w:rsid w:val="008D0E54"/>
    <w:rsid w:val="008D0E71"/>
    <w:rsid w:val="008D1053"/>
    <w:rsid w:val="008D123D"/>
    <w:rsid w:val="008D125B"/>
    <w:rsid w:val="008D1272"/>
    <w:rsid w:val="008D127D"/>
    <w:rsid w:val="008D13B6"/>
    <w:rsid w:val="008D14D2"/>
    <w:rsid w:val="008D150F"/>
    <w:rsid w:val="008D1537"/>
    <w:rsid w:val="008D16A2"/>
    <w:rsid w:val="008D16B2"/>
    <w:rsid w:val="008D1918"/>
    <w:rsid w:val="008D196B"/>
    <w:rsid w:val="008D1A5B"/>
    <w:rsid w:val="008D1ABB"/>
    <w:rsid w:val="008D1DE0"/>
    <w:rsid w:val="008D1E29"/>
    <w:rsid w:val="008D1EF7"/>
    <w:rsid w:val="008D1FD8"/>
    <w:rsid w:val="008D206F"/>
    <w:rsid w:val="008D2191"/>
    <w:rsid w:val="008D23CC"/>
    <w:rsid w:val="008D255F"/>
    <w:rsid w:val="008D25F3"/>
    <w:rsid w:val="008D283D"/>
    <w:rsid w:val="008D28EE"/>
    <w:rsid w:val="008D2961"/>
    <w:rsid w:val="008D29D9"/>
    <w:rsid w:val="008D2ADD"/>
    <w:rsid w:val="008D2BCB"/>
    <w:rsid w:val="008D2C2F"/>
    <w:rsid w:val="008D2C97"/>
    <w:rsid w:val="008D2CA1"/>
    <w:rsid w:val="008D2D13"/>
    <w:rsid w:val="008D2DA1"/>
    <w:rsid w:val="008D2DFB"/>
    <w:rsid w:val="008D2E14"/>
    <w:rsid w:val="008D2ED8"/>
    <w:rsid w:val="008D2FA2"/>
    <w:rsid w:val="008D31B3"/>
    <w:rsid w:val="008D327B"/>
    <w:rsid w:val="008D32B3"/>
    <w:rsid w:val="008D34AC"/>
    <w:rsid w:val="008D354E"/>
    <w:rsid w:val="008D3591"/>
    <w:rsid w:val="008D35FB"/>
    <w:rsid w:val="008D35FE"/>
    <w:rsid w:val="008D39A8"/>
    <w:rsid w:val="008D3A47"/>
    <w:rsid w:val="008D3BC5"/>
    <w:rsid w:val="008D3C28"/>
    <w:rsid w:val="008D3C41"/>
    <w:rsid w:val="008D3C4F"/>
    <w:rsid w:val="008D3DAE"/>
    <w:rsid w:val="008D3DDF"/>
    <w:rsid w:val="008D3FD2"/>
    <w:rsid w:val="008D4005"/>
    <w:rsid w:val="008D401A"/>
    <w:rsid w:val="008D4095"/>
    <w:rsid w:val="008D40D9"/>
    <w:rsid w:val="008D414C"/>
    <w:rsid w:val="008D4150"/>
    <w:rsid w:val="008D425B"/>
    <w:rsid w:val="008D432C"/>
    <w:rsid w:val="008D4406"/>
    <w:rsid w:val="008D4600"/>
    <w:rsid w:val="008D46D0"/>
    <w:rsid w:val="008D47E6"/>
    <w:rsid w:val="008D4842"/>
    <w:rsid w:val="008D4848"/>
    <w:rsid w:val="008D4861"/>
    <w:rsid w:val="008D491D"/>
    <w:rsid w:val="008D4925"/>
    <w:rsid w:val="008D4962"/>
    <w:rsid w:val="008D49E9"/>
    <w:rsid w:val="008D4A7A"/>
    <w:rsid w:val="008D4B92"/>
    <w:rsid w:val="008D4E1D"/>
    <w:rsid w:val="008D4E66"/>
    <w:rsid w:val="008D4F36"/>
    <w:rsid w:val="008D4F42"/>
    <w:rsid w:val="008D4F7A"/>
    <w:rsid w:val="008D506A"/>
    <w:rsid w:val="008D50D0"/>
    <w:rsid w:val="008D50F7"/>
    <w:rsid w:val="008D5179"/>
    <w:rsid w:val="008D5201"/>
    <w:rsid w:val="008D5292"/>
    <w:rsid w:val="008D52EA"/>
    <w:rsid w:val="008D53C5"/>
    <w:rsid w:val="008D53E3"/>
    <w:rsid w:val="008D5708"/>
    <w:rsid w:val="008D570F"/>
    <w:rsid w:val="008D5743"/>
    <w:rsid w:val="008D574A"/>
    <w:rsid w:val="008D57B3"/>
    <w:rsid w:val="008D58A4"/>
    <w:rsid w:val="008D5929"/>
    <w:rsid w:val="008D596D"/>
    <w:rsid w:val="008D5A0E"/>
    <w:rsid w:val="008D5A80"/>
    <w:rsid w:val="008D5B02"/>
    <w:rsid w:val="008D5CBB"/>
    <w:rsid w:val="008D5DB3"/>
    <w:rsid w:val="008D5E86"/>
    <w:rsid w:val="008D5EF1"/>
    <w:rsid w:val="008D5F11"/>
    <w:rsid w:val="008D5F8B"/>
    <w:rsid w:val="008D6011"/>
    <w:rsid w:val="008D61B9"/>
    <w:rsid w:val="008D61BB"/>
    <w:rsid w:val="008D61D0"/>
    <w:rsid w:val="008D622A"/>
    <w:rsid w:val="008D623C"/>
    <w:rsid w:val="008D6240"/>
    <w:rsid w:val="008D641C"/>
    <w:rsid w:val="008D644E"/>
    <w:rsid w:val="008D6807"/>
    <w:rsid w:val="008D686D"/>
    <w:rsid w:val="008D687F"/>
    <w:rsid w:val="008D6926"/>
    <w:rsid w:val="008D6A64"/>
    <w:rsid w:val="008D6B64"/>
    <w:rsid w:val="008D6B66"/>
    <w:rsid w:val="008D6B87"/>
    <w:rsid w:val="008D6BA5"/>
    <w:rsid w:val="008D6BDA"/>
    <w:rsid w:val="008D6E23"/>
    <w:rsid w:val="008D6E8A"/>
    <w:rsid w:val="008D6EC3"/>
    <w:rsid w:val="008D6F5E"/>
    <w:rsid w:val="008D6FB6"/>
    <w:rsid w:val="008D71CD"/>
    <w:rsid w:val="008D720A"/>
    <w:rsid w:val="008D7291"/>
    <w:rsid w:val="008D72C5"/>
    <w:rsid w:val="008D72C7"/>
    <w:rsid w:val="008D72CA"/>
    <w:rsid w:val="008D73DC"/>
    <w:rsid w:val="008D7716"/>
    <w:rsid w:val="008D785E"/>
    <w:rsid w:val="008D7898"/>
    <w:rsid w:val="008D78DA"/>
    <w:rsid w:val="008D791D"/>
    <w:rsid w:val="008D7B04"/>
    <w:rsid w:val="008D7B3C"/>
    <w:rsid w:val="008D7C19"/>
    <w:rsid w:val="008D7CA5"/>
    <w:rsid w:val="008D7D4E"/>
    <w:rsid w:val="008D7E09"/>
    <w:rsid w:val="008D7F4C"/>
    <w:rsid w:val="008D7F8E"/>
    <w:rsid w:val="008E0009"/>
    <w:rsid w:val="008E0210"/>
    <w:rsid w:val="008E0246"/>
    <w:rsid w:val="008E0272"/>
    <w:rsid w:val="008E03C1"/>
    <w:rsid w:val="008E04E4"/>
    <w:rsid w:val="008E0557"/>
    <w:rsid w:val="008E0562"/>
    <w:rsid w:val="008E057B"/>
    <w:rsid w:val="008E0651"/>
    <w:rsid w:val="008E07A4"/>
    <w:rsid w:val="008E08FF"/>
    <w:rsid w:val="008E0910"/>
    <w:rsid w:val="008E0993"/>
    <w:rsid w:val="008E0ABB"/>
    <w:rsid w:val="008E0AD9"/>
    <w:rsid w:val="008E0BBB"/>
    <w:rsid w:val="008E0C41"/>
    <w:rsid w:val="008E0C44"/>
    <w:rsid w:val="008E0D2F"/>
    <w:rsid w:val="008E0D8A"/>
    <w:rsid w:val="008E0DD0"/>
    <w:rsid w:val="008E0F32"/>
    <w:rsid w:val="008E0F4E"/>
    <w:rsid w:val="008E0F86"/>
    <w:rsid w:val="008E0FBB"/>
    <w:rsid w:val="008E1019"/>
    <w:rsid w:val="008E1143"/>
    <w:rsid w:val="008E11A5"/>
    <w:rsid w:val="008E11E6"/>
    <w:rsid w:val="008E124F"/>
    <w:rsid w:val="008E13CA"/>
    <w:rsid w:val="008E13F2"/>
    <w:rsid w:val="008E1423"/>
    <w:rsid w:val="008E1431"/>
    <w:rsid w:val="008E153F"/>
    <w:rsid w:val="008E1564"/>
    <w:rsid w:val="008E1569"/>
    <w:rsid w:val="008E15C0"/>
    <w:rsid w:val="008E15E2"/>
    <w:rsid w:val="008E1692"/>
    <w:rsid w:val="008E16BB"/>
    <w:rsid w:val="008E16C6"/>
    <w:rsid w:val="008E16ED"/>
    <w:rsid w:val="008E176A"/>
    <w:rsid w:val="008E19B0"/>
    <w:rsid w:val="008E1A5E"/>
    <w:rsid w:val="008E1A87"/>
    <w:rsid w:val="008E1C04"/>
    <w:rsid w:val="008E1D24"/>
    <w:rsid w:val="008E1D35"/>
    <w:rsid w:val="008E1ECC"/>
    <w:rsid w:val="008E1FCA"/>
    <w:rsid w:val="008E2025"/>
    <w:rsid w:val="008E232B"/>
    <w:rsid w:val="008E246C"/>
    <w:rsid w:val="008E2493"/>
    <w:rsid w:val="008E2525"/>
    <w:rsid w:val="008E2641"/>
    <w:rsid w:val="008E27C2"/>
    <w:rsid w:val="008E284C"/>
    <w:rsid w:val="008E2910"/>
    <w:rsid w:val="008E2A26"/>
    <w:rsid w:val="008E2A29"/>
    <w:rsid w:val="008E2A50"/>
    <w:rsid w:val="008E2B0D"/>
    <w:rsid w:val="008E2BDC"/>
    <w:rsid w:val="008E2CB3"/>
    <w:rsid w:val="008E2D0F"/>
    <w:rsid w:val="008E2D3D"/>
    <w:rsid w:val="008E2F82"/>
    <w:rsid w:val="008E3047"/>
    <w:rsid w:val="008E310C"/>
    <w:rsid w:val="008E3202"/>
    <w:rsid w:val="008E3210"/>
    <w:rsid w:val="008E3219"/>
    <w:rsid w:val="008E3231"/>
    <w:rsid w:val="008E3257"/>
    <w:rsid w:val="008E32D9"/>
    <w:rsid w:val="008E348C"/>
    <w:rsid w:val="008E359D"/>
    <w:rsid w:val="008E35FC"/>
    <w:rsid w:val="008E3663"/>
    <w:rsid w:val="008E36ED"/>
    <w:rsid w:val="008E3736"/>
    <w:rsid w:val="008E3875"/>
    <w:rsid w:val="008E38E1"/>
    <w:rsid w:val="008E38E9"/>
    <w:rsid w:val="008E397D"/>
    <w:rsid w:val="008E39AD"/>
    <w:rsid w:val="008E39E6"/>
    <w:rsid w:val="008E3A6E"/>
    <w:rsid w:val="008E3BDD"/>
    <w:rsid w:val="008E407A"/>
    <w:rsid w:val="008E41B0"/>
    <w:rsid w:val="008E41F5"/>
    <w:rsid w:val="008E4445"/>
    <w:rsid w:val="008E44C6"/>
    <w:rsid w:val="008E4577"/>
    <w:rsid w:val="008E46EC"/>
    <w:rsid w:val="008E495F"/>
    <w:rsid w:val="008E4A5D"/>
    <w:rsid w:val="008E4BC6"/>
    <w:rsid w:val="008E4FBE"/>
    <w:rsid w:val="008E5295"/>
    <w:rsid w:val="008E5306"/>
    <w:rsid w:val="008E54D1"/>
    <w:rsid w:val="008E554F"/>
    <w:rsid w:val="008E555F"/>
    <w:rsid w:val="008E566C"/>
    <w:rsid w:val="008E56FA"/>
    <w:rsid w:val="008E5735"/>
    <w:rsid w:val="008E5742"/>
    <w:rsid w:val="008E5759"/>
    <w:rsid w:val="008E57E4"/>
    <w:rsid w:val="008E5C04"/>
    <w:rsid w:val="008E5C11"/>
    <w:rsid w:val="008E5C46"/>
    <w:rsid w:val="008E5CF5"/>
    <w:rsid w:val="008E5D8D"/>
    <w:rsid w:val="008E5DA0"/>
    <w:rsid w:val="008E6013"/>
    <w:rsid w:val="008E608F"/>
    <w:rsid w:val="008E60FC"/>
    <w:rsid w:val="008E6146"/>
    <w:rsid w:val="008E6261"/>
    <w:rsid w:val="008E62DD"/>
    <w:rsid w:val="008E63E7"/>
    <w:rsid w:val="008E6435"/>
    <w:rsid w:val="008E6440"/>
    <w:rsid w:val="008E64EE"/>
    <w:rsid w:val="008E64F9"/>
    <w:rsid w:val="008E653E"/>
    <w:rsid w:val="008E657B"/>
    <w:rsid w:val="008E65C6"/>
    <w:rsid w:val="008E65C9"/>
    <w:rsid w:val="008E65CF"/>
    <w:rsid w:val="008E6616"/>
    <w:rsid w:val="008E6617"/>
    <w:rsid w:val="008E6619"/>
    <w:rsid w:val="008E66B6"/>
    <w:rsid w:val="008E6731"/>
    <w:rsid w:val="008E674B"/>
    <w:rsid w:val="008E67DF"/>
    <w:rsid w:val="008E69BA"/>
    <w:rsid w:val="008E6AB3"/>
    <w:rsid w:val="008E6B0D"/>
    <w:rsid w:val="008E6BEE"/>
    <w:rsid w:val="008E6DCD"/>
    <w:rsid w:val="008E6E4E"/>
    <w:rsid w:val="008E6E53"/>
    <w:rsid w:val="008E6E73"/>
    <w:rsid w:val="008E6FEE"/>
    <w:rsid w:val="008E6FF5"/>
    <w:rsid w:val="008E705B"/>
    <w:rsid w:val="008E714E"/>
    <w:rsid w:val="008E71CD"/>
    <w:rsid w:val="008E7368"/>
    <w:rsid w:val="008E7412"/>
    <w:rsid w:val="008E741D"/>
    <w:rsid w:val="008E743F"/>
    <w:rsid w:val="008E74CE"/>
    <w:rsid w:val="008E7572"/>
    <w:rsid w:val="008E7584"/>
    <w:rsid w:val="008E7688"/>
    <w:rsid w:val="008E76DC"/>
    <w:rsid w:val="008E7772"/>
    <w:rsid w:val="008E77DF"/>
    <w:rsid w:val="008E77EB"/>
    <w:rsid w:val="008E78AD"/>
    <w:rsid w:val="008E78C0"/>
    <w:rsid w:val="008E7927"/>
    <w:rsid w:val="008E79A5"/>
    <w:rsid w:val="008E7B19"/>
    <w:rsid w:val="008E7B71"/>
    <w:rsid w:val="008E7B9A"/>
    <w:rsid w:val="008E7B9D"/>
    <w:rsid w:val="008F0033"/>
    <w:rsid w:val="008F00D0"/>
    <w:rsid w:val="008F01EF"/>
    <w:rsid w:val="008F026C"/>
    <w:rsid w:val="008F026F"/>
    <w:rsid w:val="008F02A6"/>
    <w:rsid w:val="008F0396"/>
    <w:rsid w:val="008F0642"/>
    <w:rsid w:val="008F065A"/>
    <w:rsid w:val="008F0698"/>
    <w:rsid w:val="008F088E"/>
    <w:rsid w:val="008F08A2"/>
    <w:rsid w:val="008F090F"/>
    <w:rsid w:val="008F0951"/>
    <w:rsid w:val="008F09AB"/>
    <w:rsid w:val="008F0ADB"/>
    <w:rsid w:val="008F0BAB"/>
    <w:rsid w:val="008F0BBA"/>
    <w:rsid w:val="008F0BF4"/>
    <w:rsid w:val="008F0D36"/>
    <w:rsid w:val="008F0D49"/>
    <w:rsid w:val="008F0DC6"/>
    <w:rsid w:val="008F0E8F"/>
    <w:rsid w:val="008F10B6"/>
    <w:rsid w:val="008F12BD"/>
    <w:rsid w:val="008F14C7"/>
    <w:rsid w:val="008F1525"/>
    <w:rsid w:val="008F153C"/>
    <w:rsid w:val="008F160A"/>
    <w:rsid w:val="008F1656"/>
    <w:rsid w:val="008F17C0"/>
    <w:rsid w:val="008F17CA"/>
    <w:rsid w:val="008F1815"/>
    <w:rsid w:val="008F18E4"/>
    <w:rsid w:val="008F1A44"/>
    <w:rsid w:val="008F1C95"/>
    <w:rsid w:val="008F1D42"/>
    <w:rsid w:val="008F1E9F"/>
    <w:rsid w:val="008F1EBA"/>
    <w:rsid w:val="008F1EBC"/>
    <w:rsid w:val="008F1F72"/>
    <w:rsid w:val="008F1FFD"/>
    <w:rsid w:val="008F20AE"/>
    <w:rsid w:val="008F212C"/>
    <w:rsid w:val="008F21B6"/>
    <w:rsid w:val="008F2201"/>
    <w:rsid w:val="008F229F"/>
    <w:rsid w:val="008F2352"/>
    <w:rsid w:val="008F238C"/>
    <w:rsid w:val="008F2468"/>
    <w:rsid w:val="008F24C0"/>
    <w:rsid w:val="008F2584"/>
    <w:rsid w:val="008F2597"/>
    <w:rsid w:val="008F25F9"/>
    <w:rsid w:val="008F278E"/>
    <w:rsid w:val="008F287B"/>
    <w:rsid w:val="008F293C"/>
    <w:rsid w:val="008F2A0A"/>
    <w:rsid w:val="008F2BA8"/>
    <w:rsid w:val="008F2C1C"/>
    <w:rsid w:val="008F2C80"/>
    <w:rsid w:val="008F2C81"/>
    <w:rsid w:val="008F2E7A"/>
    <w:rsid w:val="008F3028"/>
    <w:rsid w:val="008F3078"/>
    <w:rsid w:val="008F3130"/>
    <w:rsid w:val="008F32FB"/>
    <w:rsid w:val="008F3308"/>
    <w:rsid w:val="008F3376"/>
    <w:rsid w:val="008F33D4"/>
    <w:rsid w:val="008F3456"/>
    <w:rsid w:val="008F347A"/>
    <w:rsid w:val="008F34C2"/>
    <w:rsid w:val="008F3705"/>
    <w:rsid w:val="008F3805"/>
    <w:rsid w:val="008F383D"/>
    <w:rsid w:val="008F3B08"/>
    <w:rsid w:val="008F3B42"/>
    <w:rsid w:val="008F3C27"/>
    <w:rsid w:val="008F3C9F"/>
    <w:rsid w:val="008F3D6C"/>
    <w:rsid w:val="008F3DE1"/>
    <w:rsid w:val="008F3E26"/>
    <w:rsid w:val="008F3E29"/>
    <w:rsid w:val="008F4079"/>
    <w:rsid w:val="008F40C0"/>
    <w:rsid w:val="008F40E5"/>
    <w:rsid w:val="008F41C8"/>
    <w:rsid w:val="008F41F6"/>
    <w:rsid w:val="008F4229"/>
    <w:rsid w:val="008F436E"/>
    <w:rsid w:val="008F43F4"/>
    <w:rsid w:val="008F4580"/>
    <w:rsid w:val="008F465D"/>
    <w:rsid w:val="008F46F9"/>
    <w:rsid w:val="008F4767"/>
    <w:rsid w:val="008F4875"/>
    <w:rsid w:val="008F48FC"/>
    <w:rsid w:val="008F4952"/>
    <w:rsid w:val="008F4A2E"/>
    <w:rsid w:val="008F4A82"/>
    <w:rsid w:val="008F4C04"/>
    <w:rsid w:val="008F4C3A"/>
    <w:rsid w:val="008F4C54"/>
    <w:rsid w:val="008F4D01"/>
    <w:rsid w:val="008F4D14"/>
    <w:rsid w:val="008F4D81"/>
    <w:rsid w:val="008F4DA2"/>
    <w:rsid w:val="008F4DBD"/>
    <w:rsid w:val="008F4E93"/>
    <w:rsid w:val="008F4FDA"/>
    <w:rsid w:val="008F50BB"/>
    <w:rsid w:val="008F51FC"/>
    <w:rsid w:val="008F5221"/>
    <w:rsid w:val="008F5232"/>
    <w:rsid w:val="008F5443"/>
    <w:rsid w:val="008F5490"/>
    <w:rsid w:val="008F54B6"/>
    <w:rsid w:val="008F555F"/>
    <w:rsid w:val="008F55C0"/>
    <w:rsid w:val="008F5613"/>
    <w:rsid w:val="008F56DA"/>
    <w:rsid w:val="008F5737"/>
    <w:rsid w:val="008F5757"/>
    <w:rsid w:val="008F59EA"/>
    <w:rsid w:val="008F5A7C"/>
    <w:rsid w:val="008F5BD0"/>
    <w:rsid w:val="008F5C57"/>
    <w:rsid w:val="008F5CDF"/>
    <w:rsid w:val="008F5D73"/>
    <w:rsid w:val="008F6097"/>
    <w:rsid w:val="008F60EA"/>
    <w:rsid w:val="008F60F9"/>
    <w:rsid w:val="008F617E"/>
    <w:rsid w:val="008F6224"/>
    <w:rsid w:val="008F63CE"/>
    <w:rsid w:val="008F6542"/>
    <w:rsid w:val="008F65BC"/>
    <w:rsid w:val="008F65D4"/>
    <w:rsid w:val="008F6609"/>
    <w:rsid w:val="008F6655"/>
    <w:rsid w:val="008F6739"/>
    <w:rsid w:val="008F67AF"/>
    <w:rsid w:val="008F67B8"/>
    <w:rsid w:val="008F69AE"/>
    <w:rsid w:val="008F69D6"/>
    <w:rsid w:val="008F69FA"/>
    <w:rsid w:val="008F6B34"/>
    <w:rsid w:val="008F6C51"/>
    <w:rsid w:val="008F6C53"/>
    <w:rsid w:val="008F6CA0"/>
    <w:rsid w:val="008F6D01"/>
    <w:rsid w:val="008F6E92"/>
    <w:rsid w:val="008F6F14"/>
    <w:rsid w:val="008F6F60"/>
    <w:rsid w:val="008F6F65"/>
    <w:rsid w:val="008F6FA8"/>
    <w:rsid w:val="008F6FD1"/>
    <w:rsid w:val="008F71D3"/>
    <w:rsid w:val="008F7269"/>
    <w:rsid w:val="008F727E"/>
    <w:rsid w:val="008F737F"/>
    <w:rsid w:val="008F7392"/>
    <w:rsid w:val="008F73AA"/>
    <w:rsid w:val="008F757C"/>
    <w:rsid w:val="008F7683"/>
    <w:rsid w:val="008F76B1"/>
    <w:rsid w:val="008F76D5"/>
    <w:rsid w:val="008F76E7"/>
    <w:rsid w:val="008F7731"/>
    <w:rsid w:val="008F7906"/>
    <w:rsid w:val="008F7998"/>
    <w:rsid w:val="008F79EC"/>
    <w:rsid w:val="008F7ADA"/>
    <w:rsid w:val="008F7B43"/>
    <w:rsid w:val="008F7C19"/>
    <w:rsid w:val="008F7C99"/>
    <w:rsid w:val="008F7EAD"/>
    <w:rsid w:val="008F7EB6"/>
    <w:rsid w:val="008F7F4C"/>
    <w:rsid w:val="009000A8"/>
    <w:rsid w:val="009000F7"/>
    <w:rsid w:val="00900131"/>
    <w:rsid w:val="00900173"/>
    <w:rsid w:val="00900237"/>
    <w:rsid w:val="00900333"/>
    <w:rsid w:val="00900410"/>
    <w:rsid w:val="0090043C"/>
    <w:rsid w:val="009004AF"/>
    <w:rsid w:val="00900560"/>
    <w:rsid w:val="00900626"/>
    <w:rsid w:val="009006EA"/>
    <w:rsid w:val="0090071C"/>
    <w:rsid w:val="00900721"/>
    <w:rsid w:val="009007CE"/>
    <w:rsid w:val="0090085F"/>
    <w:rsid w:val="009009BB"/>
    <w:rsid w:val="009009FD"/>
    <w:rsid w:val="00900ADF"/>
    <w:rsid w:val="00900BE2"/>
    <w:rsid w:val="00900C40"/>
    <w:rsid w:val="00900C55"/>
    <w:rsid w:val="00900C67"/>
    <w:rsid w:val="00900CD1"/>
    <w:rsid w:val="00900E2D"/>
    <w:rsid w:val="00900E37"/>
    <w:rsid w:val="00900E6D"/>
    <w:rsid w:val="00900E7E"/>
    <w:rsid w:val="00900E83"/>
    <w:rsid w:val="00900EC2"/>
    <w:rsid w:val="00900EC7"/>
    <w:rsid w:val="00900F8A"/>
    <w:rsid w:val="00900F99"/>
    <w:rsid w:val="00900FC1"/>
    <w:rsid w:val="00900FDC"/>
    <w:rsid w:val="0090103C"/>
    <w:rsid w:val="009010B1"/>
    <w:rsid w:val="009010DB"/>
    <w:rsid w:val="00901166"/>
    <w:rsid w:val="009011F8"/>
    <w:rsid w:val="009012FE"/>
    <w:rsid w:val="0090133F"/>
    <w:rsid w:val="00901353"/>
    <w:rsid w:val="0090141D"/>
    <w:rsid w:val="00901427"/>
    <w:rsid w:val="00901480"/>
    <w:rsid w:val="00901564"/>
    <w:rsid w:val="0090156E"/>
    <w:rsid w:val="009017B0"/>
    <w:rsid w:val="0090194E"/>
    <w:rsid w:val="0090196D"/>
    <w:rsid w:val="009019CD"/>
    <w:rsid w:val="00901A0A"/>
    <w:rsid w:val="00901AFD"/>
    <w:rsid w:val="00901D10"/>
    <w:rsid w:val="00901E89"/>
    <w:rsid w:val="00901FAD"/>
    <w:rsid w:val="0090216C"/>
    <w:rsid w:val="00902208"/>
    <w:rsid w:val="0090229C"/>
    <w:rsid w:val="0090229E"/>
    <w:rsid w:val="009023AE"/>
    <w:rsid w:val="009024CF"/>
    <w:rsid w:val="009024D2"/>
    <w:rsid w:val="009024FC"/>
    <w:rsid w:val="0090259F"/>
    <w:rsid w:val="009025EB"/>
    <w:rsid w:val="0090268C"/>
    <w:rsid w:val="009026D4"/>
    <w:rsid w:val="0090277E"/>
    <w:rsid w:val="0090282C"/>
    <w:rsid w:val="009028EE"/>
    <w:rsid w:val="009029A5"/>
    <w:rsid w:val="009029F6"/>
    <w:rsid w:val="00902A3C"/>
    <w:rsid w:val="00902BCF"/>
    <w:rsid w:val="00902BE9"/>
    <w:rsid w:val="00902C5E"/>
    <w:rsid w:val="00902CB7"/>
    <w:rsid w:val="00902D82"/>
    <w:rsid w:val="00902EF9"/>
    <w:rsid w:val="00902F1B"/>
    <w:rsid w:val="00902FF5"/>
    <w:rsid w:val="0090309D"/>
    <w:rsid w:val="009030D5"/>
    <w:rsid w:val="0090318F"/>
    <w:rsid w:val="00903226"/>
    <w:rsid w:val="00903258"/>
    <w:rsid w:val="0090325D"/>
    <w:rsid w:val="009032D1"/>
    <w:rsid w:val="009034B9"/>
    <w:rsid w:val="00903668"/>
    <w:rsid w:val="00903834"/>
    <w:rsid w:val="009038EF"/>
    <w:rsid w:val="0090393B"/>
    <w:rsid w:val="009039F5"/>
    <w:rsid w:val="00903A5C"/>
    <w:rsid w:val="00903A9C"/>
    <w:rsid w:val="00903B21"/>
    <w:rsid w:val="00903B4E"/>
    <w:rsid w:val="00903D62"/>
    <w:rsid w:val="00903D68"/>
    <w:rsid w:val="00903DBC"/>
    <w:rsid w:val="00903EE6"/>
    <w:rsid w:val="00903F7F"/>
    <w:rsid w:val="00904041"/>
    <w:rsid w:val="0090424D"/>
    <w:rsid w:val="00904256"/>
    <w:rsid w:val="0090433C"/>
    <w:rsid w:val="0090447D"/>
    <w:rsid w:val="00904493"/>
    <w:rsid w:val="009045E8"/>
    <w:rsid w:val="009046A3"/>
    <w:rsid w:val="00904776"/>
    <w:rsid w:val="0090480D"/>
    <w:rsid w:val="009048B4"/>
    <w:rsid w:val="009048CA"/>
    <w:rsid w:val="00904A42"/>
    <w:rsid w:val="00904A7B"/>
    <w:rsid w:val="00904A7C"/>
    <w:rsid w:val="00904B46"/>
    <w:rsid w:val="00904DE1"/>
    <w:rsid w:val="00904DED"/>
    <w:rsid w:val="00904E0D"/>
    <w:rsid w:val="00904E16"/>
    <w:rsid w:val="00904E5A"/>
    <w:rsid w:val="00904F59"/>
    <w:rsid w:val="0090505D"/>
    <w:rsid w:val="009050C9"/>
    <w:rsid w:val="009050DF"/>
    <w:rsid w:val="00905209"/>
    <w:rsid w:val="009052C5"/>
    <w:rsid w:val="009052F0"/>
    <w:rsid w:val="0090533B"/>
    <w:rsid w:val="009054A6"/>
    <w:rsid w:val="00905501"/>
    <w:rsid w:val="00905555"/>
    <w:rsid w:val="0090555E"/>
    <w:rsid w:val="0090565C"/>
    <w:rsid w:val="00905663"/>
    <w:rsid w:val="00905845"/>
    <w:rsid w:val="0090598E"/>
    <w:rsid w:val="00905A78"/>
    <w:rsid w:val="00905C35"/>
    <w:rsid w:val="00905DB4"/>
    <w:rsid w:val="00905EA5"/>
    <w:rsid w:val="009061E6"/>
    <w:rsid w:val="00906258"/>
    <w:rsid w:val="0090628E"/>
    <w:rsid w:val="0090646D"/>
    <w:rsid w:val="00906491"/>
    <w:rsid w:val="0090659E"/>
    <w:rsid w:val="00906625"/>
    <w:rsid w:val="0090675D"/>
    <w:rsid w:val="009067DC"/>
    <w:rsid w:val="00906960"/>
    <w:rsid w:val="00906A2C"/>
    <w:rsid w:val="00906A58"/>
    <w:rsid w:val="00906B46"/>
    <w:rsid w:val="00906C32"/>
    <w:rsid w:val="00906CBB"/>
    <w:rsid w:val="00906D19"/>
    <w:rsid w:val="00906D94"/>
    <w:rsid w:val="00906E05"/>
    <w:rsid w:val="00906E1A"/>
    <w:rsid w:val="00906EA5"/>
    <w:rsid w:val="00906F44"/>
    <w:rsid w:val="00906FD9"/>
    <w:rsid w:val="00907133"/>
    <w:rsid w:val="009071A0"/>
    <w:rsid w:val="00907418"/>
    <w:rsid w:val="00907533"/>
    <w:rsid w:val="00907651"/>
    <w:rsid w:val="009076AA"/>
    <w:rsid w:val="00907713"/>
    <w:rsid w:val="009078D3"/>
    <w:rsid w:val="00907A17"/>
    <w:rsid w:val="00907A99"/>
    <w:rsid w:val="00907AD8"/>
    <w:rsid w:val="00907BCD"/>
    <w:rsid w:val="00907BE9"/>
    <w:rsid w:val="00907CE9"/>
    <w:rsid w:val="00907D6F"/>
    <w:rsid w:val="00907E30"/>
    <w:rsid w:val="00907E83"/>
    <w:rsid w:val="00907E9C"/>
    <w:rsid w:val="00907EBA"/>
    <w:rsid w:val="00907F71"/>
    <w:rsid w:val="00907FB7"/>
    <w:rsid w:val="00910052"/>
    <w:rsid w:val="009101DA"/>
    <w:rsid w:val="0091024C"/>
    <w:rsid w:val="009102CF"/>
    <w:rsid w:val="0091033C"/>
    <w:rsid w:val="0091038A"/>
    <w:rsid w:val="0091047D"/>
    <w:rsid w:val="00910580"/>
    <w:rsid w:val="009105C5"/>
    <w:rsid w:val="009105CF"/>
    <w:rsid w:val="00910602"/>
    <w:rsid w:val="0091060C"/>
    <w:rsid w:val="0091060F"/>
    <w:rsid w:val="0091068F"/>
    <w:rsid w:val="00910704"/>
    <w:rsid w:val="00910710"/>
    <w:rsid w:val="00910711"/>
    <w:rsid w:val="009108F4"/>
    <w:rsid w:val="0091091C"/>
    <w:rsid w:val="0091099D"/>
    <w:rsid w:val="009109C9"/>
    <w:rsid w:val="00910A4D"/>
    <w:rsid w:val="00910AAC"/>
    <w:rsid w:val="00910B18"/>
    <w:rsid w:val="00910B3F"/>
    <w:rsid w:val="00910B46"/>
    <w:rsid w:val="00910BA8"/>
    <w:rsid w:val="00910C03"/>
    <w:rsid w:val="00910C2A"/>
    <w:rsid w:val="00910C46"/>
    <w:rsid w:val="00910CEB"/>
    <w:rsid w:val="00910F83"/>
    <w:rsid w:val="00910FCF"/>
    <w:rsid w:val="00910FF7"/>
    <w:rsid w:val="00911258"/>
    <w:rsid w:val="0091126A"/>
    <w:rsid w:val="009112CE"/>
    <w:rsid w:val="00911305"/>
    <w:rsid w:val="00911372"/>
    <w:rsid w:val="009114E2"/>
    <w:rsid w:val="00911624"/>
    <w:rsid w:val="0091164F"/>
    <w:rsid w:val="0091178D"/>
    <w:rsid w:val="00911813"/>
    <w:rsid w:val="00911831"/>
    <w:rsid w:val="00911865"/>
    <w:rsid w:val="00911884"/>
    <w:rsid w:val="009118A5"/>
    <w:rsid w:val="0091190C"/>
    <w:rsid w:val="009119D0"/>
    <w:rsid w:val="00911E8B"/>
    <w:rsid w:val="00911F51"/>
    <w:rsid w:val="009120B8"/>
    <w:rsid w:val="009121DB"/>
    <w:rsid w:val="00912269"/>
    <w:rsid w:val="0091231B"/>
    <w:rsid w:val="00912348"/>
    <w:rsid w:val="00912361"/>
    <w:rsid w:val="009123AA"/>
    <w:rsid w:val="009123B1"/>
    <w:rsid w:val="00912440"/>
    <w:rsid w:val="00912468"/>
    <w:rsid w:val="009125AA"/>
    <w:rsid w:val="009125D0"/>
    <w:rsid w:val="00912614"/>
    <w:rsid w:val="0091264A"/>
    <w:rsid w:val="00912772"/>
    <w:rsid w:val="009127F1"/>
    <w:rsid w:val="00912A6A"/>
    <w:rsid w:val="00912A9B"/>
    <w:rsid w:val="00912BB7"/>
    <w:rsid w:val="00912BF9"/>
    <w:rsid w:val="00912C95"/>
    <w:rsid w:val="00912CFA"/>
    <w:rsid w:val="00912D95"/>
    <w:rsid w:val="00912EC0"/>
    <w:rsid w:val="00912ECE"/>
    <w:rsid w:val="00913147"/>
    <w:rsid w:val="009131AA"/>
    <w:rsid w:val="009131C5"/>
    <w:rsid w:val="00913265"/>
    <w:rsid w:val="0091337C"/>
    <w:rsid w:val="00913466"/>
    <w:rsid w:val="009134C9"/>
    <w:rsid w:val="009135E2"/>
    <w:rsid w:val="009136ED"/>
    <w:rsid w:val="009136F6"/>
    <w:rsid w:val="00913829"/>
    <w:rsid w:val="00913992"/>
    <w:rsid w:val="00913A6F"/>
    <w:rsid w:val="00913CA9"/>
    <w:rsid w:val="00913D0D"/>
    <w:rsid w:val="00913D91"/>
    <w:rsid w:val="00913DC9"/>
    <w:rsid w:val="00913DE9"/>
    <w:rsid w:val="00913E21"/>
    <w:rsid w:val="00913EDF"/>
    <w:rsid w:val="00913F25"/>
    <w:rsid w:val="00913F2D"/>
    <w:rsid w:val="00913F68"/>
    <w:rsid w:val="00913F97"/>
    <w:rsid w:val="009140D7"/>
    <w:rsid w:val="00914102"/>
    <w:rsid w:val="00914132"/>
    <w:rsid w:val="0091435F"/>
    <w:rsid w:val="00914413"/>
    <w:rsid w:val="00914429"/>
    <w:rsid w:val="009144AA"/>
    <w:rsid w:val="00914520"/>
    <w:rsid w:val="00914590"/>
    <w:rsid w:val="0091462D"/>
    <w:rsid w:val="009147D9"/>
    <w:rsid w:val="00914821"/>
    <w:rsid w:val="00914A58"/>
    <w:rsid w:val="00914B60"/>
    <w:rsid w:val="00914BD2"/>
    <w:rsid w:val="00914D6E"/>
    <w:rsid w:val="00914E3E"/>
    <w:rsid w:val="00914EEF"/>
    <w:rsid w:val="0091525A"/>
    <w:rsid w:val="0091530E"/>
    <w:rsid w:val="009153E7"/>
    <w:rsid w:val="00915413"/>
    <w:rsid w:val="00915431"/>
    <w:rsid w:val="0091545F"/>
    <w:rsid w:val="009154EC"/>
    <w:rsid w:val="0091566B"/>
    <w:rsid w:val="009156E1"/>
    <w:rsid w:val="0091586D"/>
    <w:rsid w:val="00915893"/>
    <w:rsid w:val="0091593E"/>
    <w:rsid w:val="00915970"/>
    <w:rsid w:val="00915A31"/>
    <w:rsid w:val="00915A94"/>
    <w:rsid w:val="00915B25"/>
    <w:rsid w:val="00915B77"/>
    <w:rsid w:val="00915C87"/>
    <w:rsid w:val="00915D17"/>
    <w:rsid w:val="00915D20"/>
    <w:rsid w:val="00915D35"/>
    <w:rsid w:val="00915EAD"/>
    <w:rsid w:val="00915F1C"/>
    <w:rsid w:val="00915FFC"/>
    <w:rsid w:val="0091603D"/>
    <w:rsid w:val="009160A9"/>
    <w:rsid w:val="009160BD"/>
    <w:rsid w:val="009161AF"/>
    <w:rsid w:val="00916213"/>
    <w:rsid w:val="00916374"/>
    <w:rsid w:val="009164A4"/>
    <w:rsid w:val="00916633"/>
    <w:rsid w:val="00916693"/>
    <w:rsid w:val="00916702"/>
    <w:rsid w:val="00916820"/>
    <w:rsid w:val="00916940"/>
    <w:rsid w:val="00916AAB"/>
    <w:rsid w:val="00916B70"/>
    <w:rsid w:val="00916B7F"/>
    <w:rsid w:val="00916C07"/>
    <w:rsid w:val="00916C3B"/>
    <w:rsid w:val="00916CC9"/>
    <w:rsid w:val="00916D4F"/>
    <w:rsid w:val="00916E67"/>
    <w:rsid w:val="00916EC8"/>
    <w:rsid w:val="00916F23"/>
    <w:rsid w:val="00916FAA"/>
    <w:rsid w:val="00916FC6"/>
    <w:rsid w:val="00917015"/>
    <w:rsid w:val="00917075"/>
    <w:rsid w:val="0091707A"/>
    <w:rsid w:val="009170C1"/>
    <w:rsid w:val="00917198"/>
    <w:rsid w:val="009173A2"/>
    <w:rsid w:val="0091757D"/>
    <w:rsid w:val="0091766A"/>
    <w:rsid w:val="00917788"/>
    <w:rsid w:val="009177CB"/>
    <w:rsid w:val="00917847"/>
    <w:rsid w:val="0091790A"/>
    <w:rsid w:val="0091791D"/>
    <w:rsid w:val="00917950"/>
    <w:rsid w:val="00917A4F"/>
    <w:rsid w:val="00917A8B"/>
    <w:rsid w:val="00917AAA"/>
    <w:rsid w:val="00917B4C"/>
    <w:rsid w:val="00917B77"/>
    <w:rsid w:val="00917BA8"/>
    <w:rsid w:val="00917C51"/>
    <w:rsid w:val="00917C78"/>
    <w:rsid w:val="00917CE9"/>
    <w:rsid w:val="00917D3F"/>
    <w:rsid w:val="00917E3A"/>
    <w:rsid w:val="009192ED"/>
    <w:rsid w:val="00920208"/>
    <w:rsid w:val="00920276"/>
    <w:rsid w:val="009203A2"/>
    <w:rsid w:val="009203DF"/>
    <w:rsid w:val="00920457"/>
    <w:rsid w:val="0092047D"/>
    <w:rsid w:val="009204D9"/>
    <w:rsid w:val="0092059B"/>
    <w:rsid w:val="009205D6"/>
    <w:rsid w:val="0092061F"/>
    <w:rsid w:val="00920637"/>
    <w:rsid w:val="009206AD"/>
    <w:rsid w:val="009207A2"/>
    <w:rsid w:val="00920953"/>
    <w:rsid w:val="009209B9"/>
    <w:rsid w:val="00920A13"/>
    <w:rsid w:val="00920AB5"/>
    <w:rsid w:val="00920B7B"/>
    <w:rsid w:val="00920B80"/>
    <w:rsid w:val="00920BA8"/>
    <w:rsid w:val="00920C36"/>
    <w:rsid w:val="00920C96"/>
    <w:rsid w:val="00920CC8"/>
    <w:rsid w:val="00920D89"/>
    <w:rsid w:val="00921002"/>
    <w:rsid w:val="0092104C"/>
    <w:rsid w:val="0092111A"/>
    <w:rsid w:val="00921140"/>
    <w:rsid w:val="00921169"/>
    <w:rsid w:val="0092128C"/>
    <w:rsid w:val="009212E6"/>
    <w:rsid w:val="0092135F"/>
    <w:rsid w:val="009213A1"/>
    <w:rsid w:val="009213F5"/>
    <w:rsid w:val="00921473"/>
    <w:rsid w:val="0092148E"/>
    <w:rsid w:val="009214A2"/>
    <w:rsid w:val="00921526"/>
    <w:rsid w:val="009215E8"/>
    <w:rsid w:val="009216F9"/>
    <w:rsid w:val="00921771"/>
    <w:rsid w:val="009218E7"/>
    <w:rsid w:val="00921971"/>
    <w:rsid w:val="00921A49"/>
    <w:rsid w:val="00921C22"/>
    <w:rsid w:val="00921C97"/>
    <w:rsid w:val="00921C9A"/>
    <w:rsid w:val="00921CE1"/>
    <w:rsid w:val="00921D5C"/>
    <w:rsid w:val="00922097"/>
    <w:rsid w:val="0092235F"/>
    <w:rsid w:val="00922360"/>
    <w:rsid w:val="0092246A"/>
    <w:rsid w:val="00922530"/>
    <w:rsid w:val="00922652"/>
    <w:rsid w:val="009226BA"/>
    <w:rsid w:val="00922761"/>
    <w:rsid w:val="00922ADC"/>
    <w:rsid w:val="00922B4E"/>
    <w:rsid w:val="00922B8D"/>
    <w:rsid w:val="00922C2B"/>
    <w:rsid w:val="00922CC8"/>
    <w:rsid w:val="00922D3C"/>
    <w:rsid w:val="00922E6C"/>
    <w:rsid w:val="00922EE1"/>
    <w:rsid w:val="00923041"/>
    <w:rsid w:val="00923072"/>
    <w:rsid w:val="00923122"/>
    <w:rsid w:val="00923137"/>
    <w:rsid w:val="00923183"/>
    <w:rsid w:val="009231CE"/>
    <w:rsid w:val="00923242"/>
    <w:rsid w:val="0092327B"/>
    <w:rsid w:val="0092330B"/>
    <w:rsid w:val="00923483"/>
    <w:rsid w:val="009234B9"/>
    <w:rsid w:val="009234D5"/>
    <w:rsid w:val="009236B9"/>
    <w:rsid w:val="00923709"/>
    <w:rsid w:val="009237B4"/>
    <w:rsid w:val="009237FD"/>
    <w:rsid w:val="00923955"/>
    <w:rsid w:val="0092398A"/>
    <w:rsid w:val="00923A5A"/>
    <w:rsid w:val="00923BB1"/>
    <w:rsid w:val="00923BEA"/>
    <w:rsid w:val="00923D2C"/>
    <w:rsid w:val="00923D53"/>
    <w:rsid w:val="00923D62"/>
    <w:rsid w:val="00923E0D"/>
    <w:rsid w:val="00923E7B"/>
    <w:rsid w:val="00923F9E"/>
    <w:rsid w:val="00923FCF"/>
    <w:rsid w:val="009240D5"/>
    <w:rsid w:val="009241BC"/>
    <w:rsid w:val="00924271"/>
    <w:rsid w:val="009242A6"/>
    <w:rsid w:val="009242EE"/>
    <w:rsid w:val="00924362"/>
    <w:rsid w:val="00924397"/>
    <w:rsid w:val="0092446C"/>
    <w:rsid w:val="009244C4"/>
    <w:rsid w:val="00924518"/>
    <w:rsid w:val="0092466C"/>
    <w:rsid w:val="00924708"/>
    <w:rsid w:val="009247AF"/>
    <w:rsid w:val="009247E8"/>
    <w:rsid w:val="00924833"/>
    <w:rsid w:val="009248A4"/>
    <w:rsid w:val="0092494C"/>
    <w:rsid w:val="00924954"/>
    <w:rsid w:val="009249DD"/>
    <w:rsid w:val="00924A03"/>
    <w:rsid w:val="00924ACF"/>
    <w:rsid w:val="00924AF9"/>
    <w:rsid w:val="00924B0E"/>
    <w:rsid w:val="00924B8C"/>
    <w:rsid w:val="00924BAF"/>
    <w:rsid w:val="00924C12"/>
    <w:rsid w:val="00924C5E"/>
    <w:rsid w:val="00924D33"/>
    <w:rsid w:val="00924EC8"/>
    <w:rsid w:val="00925135"/>
    <w:rsid w:val="009251C7"/>
    <w:rsid w:val="009251E9"/>
    <w:rsid w:val="00925217"/>
    <w:rsid w:val="00925373"/>
    <w:rsid w:val="0092540E"/>
    <w:rsid w:val="00925417"/>
    <w:rsid w:val="00925474"/>
    <w:rsid w:val="0092555E"/>
    <w:rsid w:val="009255FF"/>
    <w:rsid w:val="00925652"/>
    <w:rsid w:val="00925663"/>
    <w:rsid w:val="00925698"/>
    <w:rsid w:val="0092579D"/>
    <w:rsid w:val="009258CD"/>
    <w:rsid w:val="009258D9"/>
    <w:rsid w:val="009258E1"/>
    <w:rsid w:val="00925905"/>
    <w:rsid w:val="00925937"/>
    <w:rsid w:val="00925996"/>
    <w:rsid w:val="0092599A"/>
    <w:rsid w:val="00925A1D"/>
    <w:rsid w:val="00925AA9"/>
    <w:rsid w:val="00925ACB"/>
    <w:rsid w:val="00925BED"/>
    <w:rsid w:val="00925C9A"/>
    <w:rsid w:val="00925CAE"/>
    <w:rsid w:val="00925D00"/>
    <w:rsid w:val="00925D7D"/>
    <w:rsid w:val="00925E05"/>
    <w:rsid w:val="00925E0D"/>
    <w:rsid w:val="00925E3B"/>
    <w:rsid w:val="00925E8C"/>
    <w:rsid w:val="00925EA7"/>
    <w:rsid w:val="00925EDD"/>
    <w:rsid w:val="00925F14"/>
    <w:rsid w:val="009260B1"/>
    <w:rsid w:val="009260D6"/>
    <w:rsid w:val="0092617D"/>
    <w:rsid w:val="00926208"/>
    <w:rsid w:val="0092620C"/>
    <w:rsid w:val="00926296"/>
    <w:rsid w:val="009262F8"/>
    <w:rsid w:val="00926352"/>
    <w:rsid w:val="009263AA"/>
    <w:rsid w:val="00926413"/>
    <w:rsid w:val="009264D4"/>
    <w:rsid w:val="009264FD"/>
    <w:rsid w:val="00926634"/>
    <w:rsid w:val="00926729"/>
    <w:rsid w:val="00926858"/>
    <w:rsid w:val="00926925"/>
    <w:rsid w:val="00926B25"/>
    <w:rsid w:val="00926B7A"/>
    <w:rsid w:val="00926BF4"/>
    <w:rsid w:val="00926D30"/>
    <w:rsid w:val="00926D35"/>
    <w:rsid w:val="00926DB2"/>
    <w:rsid w:val="00926EAE"/>
    <w:rsid w:val="009270D6"/>
    <w:rsid w:val="00927120"/>
    <w:rsid w:val="009271C8"/>
    <w:rsid w:val="00927242"/>
    <w:rsid w:val="00927330"/>
    <w:rsid w:val="00927356"/>
    <w:rsid w:val="009273D9"/>
    <w:rsid w:val="00927448"/>
    <w:rsid w:val="00927460"/>
    <w:rsid w:val="009274FB"/>
    <w:rsid w:val="0092755E"/>
    <w:rsid w:val="009275CB"/>
    <w:rsid w:val="0092760E"/>
    <w:rsid w:val="0092764C"/>
    <w:rsid w:val="009276AD"/>
    <w:rsid w:val="0092786A"/>
    <w:rsid w:val="00927902"/>
    <w:rsid w:val="00927988"/>
    <w:rsid w:val="009279AD"/>
    <w:rsid w:val="009279C6"/>
    <w:rsid w:val="009279EC"/>
    <w:rsid w:val="009279FE"/>
    <w:rsid w:val="00927A36"/>
    <w:rsid w:val="00927AD4"/>
    <w:rsid w:val="00927B7C"/>
    <w:rsid w:val="00927C2D"/>
    <w:rsid w:val="00927CB4"/>
    <w:rsid w:val="00927DAB"/>
    <w:rsid w:val="00927E36"/>
    <w:rsid w:val="00927EA3"/>
    <w:rsid w:val="00930011"/>
    <w:rsid w:val="009301B2"/>
    <w:rsid w:val="009301CD"/>
    <w:rsid w:val="009302E2"/>
    <w:rsid w:val="009302EC"/>
    <w:rsid w:val="009302F5"/>
    <w:rsid w:val="00930337"/>
    <w:rsid w:val="009303C5"/>
    <w:rsid w:val="009303C9"/>
    <w:rsid w:val="009304A5"/>
    <w:rsid w:val="00930512"/>
    <w:rsid w:val="009306A1"/>
    <w:rsid w:val="0093075E"/>
    <w:rsid w:val="00930818"/>
    <w:rsid w:val="00930823"/>
    <w:rsid w:val="00930917"/>
    <w:rsid w:val="009309B3"/>
    <w:rsid w:val="00930A60"/>
    <w:rsid w:val="00930B08"/>
    <w:rsid w:val="00930B47"/>
    <w:rsid w:val="00930BB8"/>
    <w:rsid w:val="00930BE0"/>
    <w:rsid w:val="00930C80"/>
    <w:rsid w:val="00930CB5"/>
    <w:rsid w:val="00930E97"/>
    <w:rsid w:val="0093105C"/>
    <w:rsid w:val="00931119"/>
    <w:rsid w:val="00931121"/>
    <w:rsid w:val="00931204"/>
    <w:rsid w:val="009313CB"/>
    <w:rsid w:val="0093145E"/>
    <w:rsid w:val="00931470"/>
    <w:rsid w:val="009315CF"/>
    <w:rsid w:val="009317BA"/>
    <w:rsid w:val="0093182B"/>
    <w:rsid w:val="00931838"/>
    <w:rsid w:val="009319E5"/>
    <w:rsid w:val="00931B32"/>
    <w:rsid w:val="00931C51"/>
    <w:rsid w:val="00931CDE"/>
    <w:rsid w:val="00931DE6"/>
    <w:rsid w:val="00931EFD"/>
    <w:rsid w:val="00931F0A"/>
    <w:rsid w:val="00932038"/>
    <w:rsid w:val="00932202"/>
    <w:rsid w:val="00932387"/>
    <w:rsid w:val="0093247B"/>
    <w:rsid w:val="00932538"/>
    <w:rsid w:val="00932626"/>
    <w:rsid w:val="00932717"/>
    <w:rsid w:val="0093281F"/>
    <w:rsid w:val="00932866"/>
    <w:rsid w:val="009328A3"/>
    <w:rsid w:val="0093293F"/>
    <w:rsid w:val="00932BA6"/>
    <w:rsid w:val="00932BCA"/>
    <w:rsid w:val="00932C1E"/>
    <w:rsid w:val="00932FED"/>
    <w:rsid w:val="00933044"/>
    <w:rsid w:val="009330C9"/>
    <w:rsid w:val="009330F7"/>
    <w:rsid w:val="0093313C"/>
    <w:rsid w:val="009332A3"/>
    <w:rsid w:val="0093332C"/>
    <w:rsid w:val="00933394"/>
    <w:rsid w:val="009333A3"/>
    <w:rsid w:val="009333D0"/>
    <w:rsid w:val="00933414"/>
    <w:rsid w:val="00933579"/>
    <w:rsid w:val="009335EA"/>
    <w:rsid w:val="009336FD"/>
    <w:rsid w:val="0093380C"/>
    <w:rsid w:val="009338E1"/>
    <w:rsid w:val="00933994"/>
    <w:rsid w:val="00933A19"/>
    <w:rsid w:val="00933A75"/>
    <w:rsid w:val="00933A9A"/>
    <w:rsid w:val="00933ADF"/>
    <w:rsid w:val="00933AF5"/>
    <w:rsid w:val="00933B5D"/>
    <w:rsid w:val="00933C22"/>
    <w:rsid w:val="00933C63"/>
    <w:rsid w:val="00933CC3"/>
    <w:rsid w:val="00933D7B"/>
    <w:rsid w:val="00933E4D"/>
    <w:rsid w:val="00933E8A"/>
    <w:rsid w:val="00933EBB"/>
    <w:rsid w:val="00933F23"/>
    <w:rsid w:val="00933FEC"/>
    <w:rsid w:val="00934103"/>
    <w:rsid w:val="009341AA"/>
    <w:rsid w:val="009341C8"/>
    <w:rsid w:val="00934218"/>
    <w:rsid w:val="00934234"/>
    <w:rsid w:val="0093436F"/>
    <w:rsid w:val="009343BA"/>
    <w:rsid w:val="00934443"/>
    <w:rsid w:val="009345FF"/>
    <w:rsid w:val="00934AA7"/>
    <w:rsid w:val="00934BC0"/>
    <w:rsid w:val="00934C29"/>
    <w:rsid w:val="00934C38"/>
    <w:rsid w:val="00934C69"/>
    <w:rsid w:val="00934DFC"/>
    <w:rsid w:val="00934EB4"/>
    <w:rsid w:val="00934F09"/>
    <w:rsid w:val="00934F76"/>
    <w:rsid w:val="0093505C"/>
    <w:rsid w:val="00935140"/>
    <w:rsid w:val="00935198"/>
    <w:rsid w:val="00935207"/>
    <w:rsid w:val="0093521A"/>
    <w:rsid w:val="009352E6"/>
    <w:rsid w:val="00935583"/>
    <w:rsid w:val="009355A6"/>
    <w:rsid w:val="00935606"/>
    <w:rsid w:val="00935649"/>
    <w:rsid w:val="009357D2"/>
    <w:rsid w:val="009357FC"/>
    <w:rsid w:val="00935822"/>
    <w:rsid w:val="00935892"/>
    <w:rsid w:val="009359E8"/>
    <w:rsid w:val="009359F6"/>
    <w:rsid w:val="00935B0B"/>
    <w:rsid w:val="00935B49"/>
    <w:rsid w:val="00935B82"/>
    <w:rsid w:val="00935BB6"/>
    <w:rsid w:val="00935D1F"/>
    <w:rsid w:val="00935E77"/>
    <w:rsid w:val="00935EDD"/>
    <w:rsid w:val="00935F37"/>
    <w:rsid w:val="00935FB1"/>
    <w:rsid w:val="0093607A"/>
    <w:rsid w:val="00936147"/>
    <w:rsid w:val="00936256"/>
    <w:rsid w:val="009362BE"/>
    <w:rsid w:val="00936382"/>
    <w:rsid w:val="0093645C"/>
    <w:rsid w:val="00936499"/>
    <w:rsid w:val="00936635"/>
    <w:rsid w:val="0093669B"/>
    <w:rsid w:val="009367E5"/>
    <w:rsid w:val="009368E4"/>
    <w:rsid w:val="0093698F"/>
    <w:rsid w:val="009369C7"/>
    <w:rsid w:val="00936AC1"/>
    <w:rsid w:val="00936B21"/>
    <w:rsid w:val="00936BB9"/>
    <w:rsid w:val="00936C15"/>
    <w:rsid w:val="00936CE7"/>
    <w:rsid w:val="00936D8F"/>
    <w:rsid w:val="00936DC8"/>
    <w:rsid w:val="00936DD4"/>
    <w:rsid w:val="00936ED8"/>
    <w:rsid w:val="00936EE3"/>
    <w:rsid w:val="00936EE4"/>
    <w:rsid w:val="00936FA0"/>
    <w:rsid w:val="00937034"/>
    <w:rsid w:val="0093720B"/>
    <w:rsid w:val="00937315"/>
    <w:rsid w:val="00937416"/>
    <w:rsid w:val="009374C1"/>
    <w:rsid w:val="00937598"/>
    <w:rsid w:val="009376BC"/>
    <w:rsid w:val="009377CA"/>
    <w:rsid w:val="009377FD"/>
    <w:rsid w:val="00937929"/>
    <w:rsid w:val="00937991"/>
    <w:rsid w:val="00937A09"/>
    <w:rsid w:val="00937A19"/>
    <w:rsid w:val="00937ADA"/>
    <w:rsid w:val="00937BE2"/>
    <w:rsid w:val="00937CD3"/>
    <w:rsid w:val="00937D07"/>
    <w:rsid w:val="00937D3B"/>
    <w:rsid w:val="00937F34"/>
    <w:rsid w:val="00937F50"/>
    <w:rsid w:val="00937FC3"/>
    <w:rsid w:val="009400FE"/>
    <w:rsid w:val="009401C7"/>
    <w:rsid w:val="009403D0"/>
    <w:rsid w:val="009403F0"/>
    <w:rsid w:val="0094047D"/>
    <w:rsid w:val="0094049B"/>
    <w:rsid w:val="0094056D"/>
    <w:rsid w:val="00940613"/>
    <w:rsid w:val="0094066C"/>
    <w:rsid w:val="00940799"/>
    <w:rsid w:val="0094091A"/>
    <w:rsid w:val="00940930"/>
    <w:rsid w:val="00940989"/>
    <w:rsid w:val="00940994"/>
    <w:rsid w:val="00940A44"/>
    <w:rsid w:val="00940A49"/>
    <w:rsid w:val="00940A58"/>
    <w:rsid w:val="00940A83"/>
    <w:rsid w:val="00940AA9"/>
    <w:rsid w:val="00940B4C"/>
    <w:rsid w:val="00940B4F"/>
    <w:rsid w:val="00940DD8"/>
    <w:rsid w:val="00940E09"/>
    <w:rsid w:val="00940E33"/>
    <w:rsid w:val="00940E78"/>
    <w:rsid w:val="00940FA8"/>
    <w:rsid w:val="009410A8"/>
    <w:rsid w:val="00941179"/>
    <w:rsid w:val="0094117F"/>
    <w:rsid w:val="009411D7"/>
    <w:rsid w:val="009411F9"/>
    <w:rsid w:val="009413A3"/>
    <w:rsid w:val="00941407"/>
    <w:rsid w:val="0094141D"/>
    <w:rsid w:val="0094146E"/>
    <w:rsid w:val="009416AB"/>
    <w:rsid w:val="0094177A"/>
    <w:rsid w:val="00941954"/>
    <w:rsid w:val="00941A2D"/>
    <w:rsid w:val="00941A8A"/>
    <w:rsid w:val="00941B8B"/>
    <w:rsid w:val="00941C8B"/>
    <w:rsid w:val="00941E5C"/>
    <w:rsid w:val="00941EEE"/>
    <w:rsid w:val="00941F47"/>
    <w:rsid w:val="0094203E"/>
    <w:rsid w:val="00942231"/>
    <w:rsid w:val="009422CD"/>
    <w:rsid w:val="009423C9"/>
    <w:rsid w:val="00942473"/>
    <w:rsid w:val="009425F6"/>
    <w:rsid w:val="00942681"/>
    <w:rsid w:val="00942745"/>
    <w:rsid w:val="00942749"/>
    <w:rsid w:val="00942890"/>
    <w:rsid w:val="009428AA"/>
    <w:rsid w:val="00942B09"/>
    <w:rsid w:val="00942BCE"/>
    <w:rsid w:val="00942BEC"/>
    <w:rsid w:val="00942C72"/>
    <w:rsid w:val="00942CB2"/>
    <w:rsid w:val="00942CB7"/>
    <w:rsid w:val="00942D05"/>
    <w:rsid w:val="00942DE3"/>
    <w:rsid w:val="00942E17"/>
    <w:rsid w:val="00942EBD"/>
    <w:rsid w:val="00943139"/>
    <w:rsid w:val="0094328D"/>
    <w:rsid w:val="009432D0"/>
    <w:rsid w:val="00943333"/>
    <w:rsid w:val="0094333B"/>
    <w:rsid w:val="00943346"/>
    <w:rsid w:val="009433CF"/>
    <w:rsid w:val="0094340B"/>
    <w:rsid w:val="00943413"/>
    <w:rsid w:val="00943719"/>
    <w:rsid w:val="0094376D"/>
    <w:rsid w:val="009437A9"/>
    <w:rsid w:val="009437DB"/>
    <w:rsid w:val="00943805"/>
    <w:rsid w:val="00943822"/>
    <w:rsid w:val="00943865"/>
    <w:rsid w:val="0094389F"/>
    <w:rsid w:val="0094392D"/>
    <w:rsid w:val="009439F9"/>
    <w:rsid w:val="009439FC"/>
    <w:rsid w:val="00943B74"/>
    <w:rsid w:val="00943BD9"/>
    <w:rsid w:val="00943BEA"/>
    <w:rsid w:val="00943C01"/>
    <w:rsid w:val="00943C1C"/>
    <w:rsid w:val="00943CD9"/>
    <w:rsid w:val="00943D55"/>
    <w:rsid w:val="00943E00"/>
    <w:rsid w:val="00943EF3"/>
    <w:rsid w:val="009440A7"/>
    <w:rsid w:val="009440CD"/>
    <w:rsid w:val="009441C5"/>
    <w:rsid w:val="00944200"/>
    <w:rsid w:val="009442DD"/>
    <w:rsid w:val="00944369"/>
    <w:rsid w:val="0094439A"/>
    <w:rsid w:val="009443E0"/>
    <w:rsid w:val="00944480"/>
    <w:rsid w:val="009444CB"/>
    <w:rsid w:val="009444D6"/>
    <w:rsid w:val="009445A8"/>
    <w:rsid w:val="00944625"/>
    <w:rsid w:val="00944700"/>
    <w:rsid w:val="009447D1"/>
    <w:rsid w:val="00944979"/>
    <w:rsid w:val="009449D5"/>
    <w:rsid w:val="00944B5E"/>
    <w:rsid w:val="00944B71"/>
    <w:rsid w:val="00944BA6"/>
    <w:rsid w:val="00944BD7"/>
    <w:rsid w:val="00944BEC"/>
    <w:rsid w:val="00944C1C"/>
    <w:rsid w:val="00944C28"/>
    <w:rsid w:val="00944C44"/>
    <w:rsid w:val="00944CC2"/>
    <w:rsid w:val="00944CD3"/>
    <w:rsid w:val="00944D2B"/>
    <w:rsid w:val="00944DD3"/>
    <w:rsid w:val="00944E3C"/>
    <w:rsid w:val="00944E3F"/>
    <w:rsid w:val="00944E60"/>
    <w:rsid w:val="00944E9A"/>
    <w:rsid w:val="00944FB0"/>
    <w:rsid w:val="00945059"/>
    <w:rsid w:val="0094530C"/>
    <w:rsid w:val="00945350"/>
    <w:rsid w:val="0094535B"/>
    <w:rsid w:val="0094547B"/>
    <w:rsid w:val="009454A5"/>
    <w:rsid w:val="009455F1"/>
    <w:rsid w:val="0094560C"/>
    <w:rsid w:val="00945788"/>
    <w:rsid w:val="009457EC"/>
    <w:rsid w:val="00945808"/>
    <w:rsid w:val="0094595C"/>
    <w:rsid w:val="00945A34"/>
    <w:rsid w:val="00945A8F"/>
    <w:rsid w:val="00945AEC"/>
    <w:rsid w:val="00945BAA"/>
    <w:rsid w:val="00945CD4"/>
    <w:rsid w:val="00945E75"/>
    <w:rsid w:val="00945F18"/>
    <w:rsid w:val="00945F4B"/>
    <w:rsid w:val="00945F9F"/>
    <w:rsid w:val="00945FA1"/>
    <w:rsid w:val="00945FFA"/>
    <w:rsid w:val="0094606B"/>
    <w:rsid w:val="009460A3"/>
    <w:rsid w:val="009460D9"/>
    <w:rsid w:val="00946202"/>
    <w:rsid w:val="00946204"/>
    <w:rsid w:val="00946287"/>
    <w:rsid w:val="0094628F"/>
    <w:rsid w:val="0094644C"/>
    <w:rsid w:val="0094645C"/>
    <w:rsid w:val="009464A3"/>
    <w:rsid w:val="00946521"/>
    <w:rsid w:val="0094658A"/>
    <w:rsid w:val="00946685"/>
    <w:rsid w:val="0094668B"/>
    <w:rsid w:val="00946792"/>
    <w:rsid w:val="00946844"/>
    <w:rsid w:val="00946859"/>
    <w:rsid w:val="009468CE"/>
    <w:rsid w:val="00946999"/>
    <w:rsid w:val="00946AB3"/>
    <w:rsid w:val="00946AFC"/>
    <w:rsid w:val="00946C7C"/>
    <w:rsid w:val="00946CEA"/>
    <w:rsid w:val="00946D5B"/>
    <w:rsid w:val="00946D5C"/>
    <w:rsid w:val="00946D83"/>
    <w:rsid w:val="00946D95"/>
    <w:rsid w:val="00946E0C"/>
    <w:rsid w:val="00946E64"/>
    <w:rsid w:val="00946E88"/>
    <w:rsid w:val="00946EF0"/>
    <w:rsid w:val="00946F21"/>
    <w:rsid w:val="0094712A"/>
    <w:rsid w:val="00947250"/>
    <w:rsid w:val="00947266"/>
    <w:rsid w:val="009472D2"/>
    <w:rsid w:val="00947324"/>
    <w:rsid w:val="00947394"/>
    <w:rsid w:val="009474E0"/>
    <w:rsid w:val="00947529"/>
    <w:rsid w:val="009476F8"/>
    <w:rsid w:val="009478A6"/>
    <w:rsid w:val="009478B7"/>
    <w:rsid w:val="009478F4"/>
    <w:rsid w:val="00947997"/>
    <w:rsid w:val="00947A0D"/>
    <w:rsid w:val="00947A47"/>
    <w:rsid w:val="00947AC1"/>
    <w:rsid w:val="00947B9D"/>
    <w:rsid w:val="00947C4E"/>
    <w:rsid w:val="00947C93"/>
    <w:rsid w:val="00947CF8"/>
    <w:rsid w:val="00947CF9"/>
    <w:rsid w:val="00947D97"/>
    <w:rsid w:val="00947F13"/>
    <w:rsid w:val="00947F1B"/>
    <w:rsid w:val="00950013"/>
    <w:rsid w:val="009500FC"/>
    <w:rsid w:val="0095032A"/>
    <w:rsid w:val="009503A9"/>
    <w:rsid w:val="00950450"/>
    <w:rsid w:val="00950485"/>
    <w:rsid w:val="0095060D"/>
    <w:rsid w:val="00950878"/>
    <w:rsid w:val="00950964"/>
    <w:rsid w:val="0095098F"/>
    <w:rsid w:val="00950A0C"/>
    <w:rsid w:val="00950A3A"/>
    <w:rsid w:val="00950A5E"/>
    <w:rsid w:val="00950AD2"/>
    <w:rsid w:val="00950AE2"/>
    <w:rsid w:val="00950B08"/>
    <w:rsid w:val="00950B2B"/>
    <w:rsid w:val="00950BB8"/>
    <w:rsid w:val="00950C13"/>
    <w:rsid w:val="00950CF3"/>
    <w:rsid w:val="00950E12"/>
    <w:rsid w:val="00950EE6"/>
    <w:rsid w:val="00950EE9"/>
    <w:rsid w:val="00951074"/>
    <w:rsid w:val="009510E7"/>
    <w:rsid w:val="00951168"/>
    <w:rsid w:val="0095117B"/>
    <w:rsid w:val="00951195"/>
    <w:rsid w:val="009511AD"/>
    <w:rsid w:val="009511DA"/>
    <w:rsid w:val="009511ED"/>
    <w:rsid w:val="00951214"/>
    <w:rsid w:val="0095121B"/>
    <w:rsid w:val="0095137C"/>
    <w:rsid w:val="009513D1"/>
    <w:rsid w:val="00951480"/>
    <w:rsid w:val="0095148C"/>
    <w:rsid w:val="00951496"/>
    <w:rsid w:val="00951643"/>
    <w:rsid w:val="0095174A"/>
    <w:rsid w:val="00951832"/>
    <w:rsid w:val="0095183B"/>
    <w:rsid w:val="00951840"/>
    <w:rsid w:val="00951877"/>
    <w:rsid w:val="009518BA"/>
    <w:rsid w:val="0095192D"/>
    <w:rsid w:val="009519F2"/>
    <w:rsid w:val="00951AAE"/>
    <w:rsid w:val="00951B1D"/>
    <w:rsid w:val="00951B62"/>
    <w:rsid w:val="00951B82"/>
    <w:rsid w:val="00951CD0"/>
    <w:rsid w:val="00951CF8"/>
    <w:rsid w:val="00951CFD"/>
    <w:rsid w:val="00951D92"/>
    <w:rsid w:val="00951E3B"/>
    <w:rsid w:val="00951E95"/>
    <w:rsid w:val="00951F6A"/>
    <w:rsid w:val="00951F7E"/>
    <w:rsid w:val="00951FCB"/>
    <w:rsid w:val="0095201E"/>
    <w:rsid w:val="00952022"/>
    <w:rsid w:val="0095215D"/>
    <w:rsid w:val="009521A4"/>
    <w:rsid w:val="00952342"/>
    <w:rsid w:val="009523BE"/>
    <w:rsid w:val="009523DE"/>
    <w:rsid w:val="0095253C"/>
    <w:rsid w:val="00952662"/>
    <w:rsid w:val="0095277C"/>
    <w:rsid w:val="00952842"/>
    <w:rsid w:val="0095293F"/>
    <w:rsid w:val="0095296B"/>
    <w:rsid w:val="00952989"/>
    <w:rsid w:val="00952B3C"/>
    <w:rsid w:val="00952BC6"/>
    <w:rsid w:val="00952BDB"/>
    <w:rsid w:val="00952C58"/>
    <w:rsid w:val="00952E1C"/>
    <w:rsid w:val="00952EE1"/>
    <w:rsid w:val="00952FFA"/>
    <w:rsid w:val="0095302F"/>
    <w:rsid w:val="009532DE"/>
    <w:rsid w:val="00953359"/>
    <w:rsid w:val="009533FD"/>
    <w:rsid w:val="009534DC"/>
    <w:rsid w:val="0095355B"/>
    <w:rsid w:val="009536CE"/>
    <w:rsid w:val="0095376B"/>
    <w:rsid w:val="00953788"/>
    <w:rsid w:val="00953907"/>
    <w:rsid w:val="00953AD6"/>
    <w:rsid w:val="00953B7D"/>
    <w:rsid w:val="00953BD4"/>
    <w:rsid w:val="00953C31"/>
    <w:rsid w:val="00953D98"/>
    <w:rsid w:val="00953DF2"/>
    <w:rsid w:val="00953DFA"/>
    <w:rsid w:val="009541B8"/>
    <w:rsid w:val="00954203"/>
    <w:rsid w:val="009542F4"/>
    <w:rsid w:val="00954329"/>
    <w:rsid w:val="00954342"/>
    <w:rsid w:val="009543F1"/>
    <w:rsid w:val="009544C8"/>
    <w:rsid w:val="0095451F"/>
    <w:rsid w:val="00954546"/>
    <w:rsid w:val="00954683"/>
    <w:rsid w:val="00954748"/>
    <w:rsid w:val="0095483A"/>
    <w:rsid w:val="0095499A"/>
    <w:rsid w:val="00954A91"/>
    <w:rsid w:val="00954BB4"/>
    <w:rsid w:val="00954C34"/>
    <w:rsid w:val="00954D1C"/>
    <w:rsid w:val="00954DFA"/>
    <w:rsid w:val="00954FF5"/>
    <w:rsid w:val="0095501A"/>
    <w:rsid w:val="00955081"/>
    <w:rsid w:val="009551B6"/>
    <w:rsid w:val="00955254"/>
    <w:rsid w:val="0095528D"/>
    <w:rsid w:val="009552D1"/>
    <w:rsid w:val="009553EF"/>
    <w:rsid w:val="00955450"/>
    <w:rsid w:val="0095551A"/>
    <w:rsid w:val="00955523"/>
    <w:rsid w:val="009555E4"/>
    <w:rsid w:val="00955652"/>
    <w:rsid w:val="00955701"/>
    <w:rsid w:val="00955713"/>
    <w:rsid w:val="00955778"/>
    <w:rsid w:val="0095584C"/>
    <w:rsid w:val="009558DD"/>
    <w:rsid w:val="0095591F"/>
    <w:rsid w:val="009559A7"/>
    <w:rsid w:val="009559EB"/>
    <w:rsid w:val="00955A7F"/>
    <w:rsid w:val="00955A8A"/>
    <w:rsid w:val="00955AAD"/>
    <w:rsid w:val="00955B1D"/>
    <w:rsid w:val="00955B83"/>
    <w:rsid w:val="00955BB0"/>
    <w:rsid w:val="00955BBA"/>
    <w:rsid w:val="00955C20"/>
    <w:rsid w:val="00955CF8"/>
    <w:rsid w:val="00955D7F"/>
    <w:rsid w:val="00955DE0"/>
    <w:rsid w:val="00955E45"/>
    <w:rsid w:val="00955EAF"/>
    <w:rsid w:val="00955F22"/>
    <w:rsid w:val="00955FAC"/>
    <w:rsid w:val="00956011"/>
    <w:rsid w:val="00956036"/>
    <w:rsid w:val="0095607A"/>
    <w:rsid w:val="009560BA"/>
    <w:rsid w:val="009560DD"/>
    <w:rsid w:val="009562F4"/>
    <w:rsid w:val="00956304"/>
    <w:rsid w:val="00956407"/>
    <w:rsid w:val="009564F0"/>
    <w:rsid w:val="00956554"/>
    <w:rsid w:val="00956575"/>
    <w:rsid w:val="00956704"/>
    <w:rsid w:val="009567AB"/>
    <w:rsid w:val="00956AC6"/>
    <w:rsid w:val="00956C6B"/>
    <w:rsid w:val="00956E9A"/>
    <w:rsid w:val="00956FCE"/>
    <w:rsid w:val="009570FE"/>
    <w:rsid w:val="00957113"/>
    <w:rsid w:val="00957128"/>
    <w:rsid w:val="009571A3"/>
    <w:rsid w:val="00957227"/>
    <w:rsid w:val="00957282"/>
    <w:rsid w:val="009572C1"/>
    <w:rsid w:val="009572D3"/>
    <w:rsid w:val="009572E3"/>
    <w:rsid w:val="00957357"/>
    <w:rsid w:val="00957415"/>
    <w:rsid w:val="009574DC"/>
    <w:rsid w:val="00957665"/>
    <w:rsid w:val="009576D0"/>
    <w:rsid w:val="009576DD"/>
    <w:rsid w:val="00957876"/>
    <w:rsid w:val="00957895"/>
    <w:rsid w:val="009578C4"/>
    <w:rsid w:val="009578D4"/>
    <w:rsid w:val="009578EF"/>
    <w:rsid w:val="00957905"/>
    <w:rsid w:val="0095797C"/>
    <w:rsid w:val="00957A9C"/>
    <w:rsid w:val="00957AB9"/>
    <w:rsid w:val="00957C49"/>
    <w:rsid w:val="00957C72"/>
    <w:rsid w:val="00957DA1"/>
    <w:rsid w:val="00957DF5"/>
    <w:rsid w:val="00957EE6"/>
    <w:rsid w:val="00957F1D"/>
    <w:rsid w:val="009601A7"/>
    <w:rsid w:val="009602D0"/>
    <w:rsid w:val="0096033A"/>
    <w:rsid w:val="00960494"/>
    <w:rsid w:val="00960569"/>
    <w:rsid w:val="0096075A"/>
    <w:rsid w:val="00960769"/>
    <w:rsid w:val="009608F2"/>
    <w:rsid w:val="0096095D"/>
    <w:rsid w:val="009609CA"/>
    <w:rsid w:val="00960A16"/>
    <w:rsid w:val="00960AF9"/>
    <w:rsid w:val="00960BB3"/>
    <w:rsid w:val="00960E23"/>
    <w:rsid w:val="009610B9"/>
    <w:rsid w:val="00961346"/>
    <w:rsid w:val="00961349"/>
    <w:rsid w:val="0096155E"/>
    <w:rsid w:val="00961562"/>
    <w:rsid w:val="009615B1"/>
    <w:rsid w:val="009615CF"/>
    <w:rsid w:val="009615E7"/>
    <w:rsid w:val="009617D0"/>
    <w:rsid w:val="009617D8"/>
    <w:rsid w:val="00961A4B"/>
    <w:rsid w:val="00961AA0"/>
    <w:rsid w:val="00961BFE"/>
    <w:rsid w:val="00961CFF"/>
    <w:rsid w:val="00961DFA"/>
    <w:rsid w:val="00961DFD"/>
    <w:rsid w:val="00961E1D"/>
    <w:rsid w:val="00961E81"/>
    <w:rsid w:val="00961EB6"/>
    <w:rsid w:val="0096220F"/>
    <w:rsid w:val="009623B0"/>
    <w:rsid w:val="009623C9"/>
    <w:rsid w:val="00962421"/>
    <w:rsid w:val="0096248B"/>
    <w:rsid w:val="009625A3"/>
    <w:rsid w:val="009625CF"/>
    <w:rsid w:val="00962674"/>
    <w:rsid w:val="009626C9"/>
    <w:rsid w:val="00962829"/>
    <w:rsid w:val="00962881"/>
    <w:rsid w:val="00962908"/>
    <w:rsid w:val="0096290D"/>
    <w:rsid w:val="00962912"/>
    <w:rsid w:val="0096299B"/>
    <w:rsid w:val="00962A9D"/>
    <w:rsid w:val="00962AC2"/>
    <w:rsid w:val="00962C4E"/>
    <w:rsid w:val="00962CCB"/>
    <w:rsid w:val="00962D04"/>
    <w:rsid w:val="00962D08"/>
    <w:rsid w:val="00962E81"/>
    <w:rsid w:val="00962EAE"/>
    <w:rsid w:val="00962F84"/>
    <w:rsid w:val="00962FDB"/>
    <w:rsid w:val="0096300C"/>
    <w:rsid w:val="00963063"/>
    <w:rsid w:val="0096309E"/>
    <w:rsid w:val="009631E0"/>
    <w:rsid w:val="0096324A"/>
    <w:rsid w:val="00963282"/>
    <w:rsid w:val="0096328E"/>
    <w:rsid w:val="009632DE"/>
    <w:rsid w:val="0096333D"/>
    <w:rsid w:val="0096334D"/>
    <w:rsid w:val="009633AE"/>
    <w:rsid w:val="00963425"/>
    <w:rsid w:val="009634BF"/>
    <w:rsid w:val="00963661"/>
    <w:rsid w:val="009636A2"/>
    <w:rsid w:val="00963720"/>
    <w:rsid w:val="00963755"/>
    <w:rsid w:val="00963757"/>
    <w:rsid w:val="009638E8"/>
    <w:rsid w:val="00963937"/>
    <w:rsid w:val="0096398A"/>
    <w:rsid w:val="00963B1B"/>
    <w:rsid w:val="00963C61"/>
    <w:rsid w:val="00963CD1"/>
    <w:rsid w:val="00963CFF"/>
    <w:rsid w:val="00963D1B"/>
    <w:rsid w:val="009640EF"/>
    <w:rsid w:val="0096415C"/>
    <w:rsid w:val="009641F2"/>
    <w:rsid w:val="00964340"/>
    <w:rsid w:val="0096443F"/>
    <w:rsid w:val="00964462"/>
    <w:rsid w:val="00964593"/>
    <w:rsid w:val="009647C0"/>
    <w:rsid w:val="009648B3"/>
    <w:rsid w:val="00964908"/>
    <w:rsid w:val="00964970"/>
    <w:rsid w:val="009649F1"/>
    <w:rsid w:val="00964A15"/>
    <w:rsid w:val="00964A72"/>
    <w:rsid w:val="00964A8B"/>
    <w:rsid w:val="00964A8D"/>
    <w:rsid w:val="00964AD9"/>
    <w:rsid w:val="00964AFA"/>
    <w:rsid w:val="00964B94"/>
    <w:rsid w:val="00964C5B"/>
    <w:rsid w:val="00964D5A"/>
    <w:rsid w:val="00964E5C"/>
    <w:rsid w:val="00964E72"/>
    <w:rsid w:val="00964F3E"/>
    <w:rsid w:val="00964FC1"/>
    <w:rsid w:val="00965014"/>
    <w:rsid w:val="0096504E"/>
    <w:rsid w:val="00965079"/>
    <w:rsid w:val="009650B6"/>
    <w:rsid w:val="009650D7"/>
    <w:rsid w:val="009650E2"/>
    <w:rsid w:val="009651C1"/>
    <w:rsid w:val="0096520A"/>
    <w:rsid w:val="00965460"/>
    <w:rsid w:val="009657EC"/>
    <w:rsid w:val="009658E0"/>
    <w:rsid w:val="00965935"/>
    <w:rsid w:val="00965957"/>
    <w:rsid w:val="009659F9"/>
    <w:rsid w:val="00965B05"/>
    <w:rsid w:val="00965BF6"/>
    <w:rsid w:val="00965CFE"/>
    <w:rsid w:val="00965E32"/>
    <w:rsid w:val="00965ED8"/>
    <w:rsid w:val="00965FFC"/>
    <w:rsid w:val="00966057"/>
    <w:rsid w:val="00966065"/>
    <w:rsid w:val="009660CD"/>
    <w:rsid w:val="009661F5"/>
    <w:rsid w:val="00966231"/>
    <w:rsid w:val="009662A0"/>
    <w:rsid w:val="0096647E"/>
    <w:rsid w:val="00966494"/>
    <w:rsid w:val="0096653A"/>
    <w:rsid w:val="009665B8"/>
    <w:rsid w:val="00966699"/>
    <w:rsid w:val="0096673B"/>
    <w:rsid w:val="0096673C"/>
    <w:rsid w:val="009667A1"/>
    <w:rsid w:val="0096688B"/>
    <w:rsid w:val="009668ED"/>
    <w:rsid w:val="00966AC9"/>
    <w:rsid w:val="00966B83"/>
    <w:rsid w:val="00966B8D"/>
    <w:rsid w:val="00966B9A"/>
    <w:rsid w:val="00966C44"/>
    <w:rsid w:val="00966EDD"/>
    <w:rsid w:val="00967029"/>
    <w:rsid w:val="00967066"/>
    <w:rsid w:val="0096708F"/>
    <w:rsid w:val="0096718C"/>
    <w:rsid w:val="009673EC"/>
    <w:rsid w:val="00967425"/>
    <w:rsid w:val="0096752B"/>
    <w:rsid w:val="00967576"/>
    <w:rsid w:val="009676B7"/>
    <w:rsid w:val="009676DE"/>
    <w:rsid w:val="009677C9"/>
    <w:rsid w:val="00967832"/>
    <w:rsid w:val="00967852"/>
    <w:rsid w:val="00967863"/>
    <w:rsid w:val="00967885"/>
    <w:rsid w:val="009679E3"/>
    <w:rsid w:val="00967A64"/>
    <w:rsid w:val="00967BD3"/>
    <w:rsid w:val="00967C96"/>
    <w:rsid w:val="00967CCB"/>
    <w:rsid w:val="00967F37"/>
    <w:rsid w:val="00967FEE"/>
    <w:rsid w:val="009701F0"/>
    <w:rsid w:val="00970319"/>
    <w:rsid w:val="00970331"/>
    <w:rsid w:val="00970387"/>
    <w:rsid w:val="00970423"/>
    <w:rsid w:val="0097043B"/>
    <w:rsid w:val="0097043F"/>
    <w:rsid w:val="00970489"/>
    <w:rsid w:val="0097053E"/>
    <w:rsid w:val="009705D8"/>
    <w:rsid w:val="0097062F"/>
    <w:rsid w:val="00970631"/>
    <w:rsid w:val="009707A7"/>
    <w:rsid w:val="00970811"/>
    <w:rsid w:val="00970818"/>
    <w:rsid w:val="009708D2"/>
    <w:rsid w:val="009709B6"/>
    <w:rsid w:val="009709BE"/>
    <w:rsid w:val="00970A18"/>
    <w:rsid w:val="00970C6B"/>
    <w:rsid w:val="00970DAE"/>
    <w:rsid w:val="00970EB2"/>
    <w:rsid w:val="00970EE1"/>
    <w:rsid w:val="00971018"/>
    <w:rsid w:val="00971092"/>
    <w:rsid w:val="009710D6"/>
    <w:rsid w:val="00971110"/>
    <w:rsid w:val="0097114F"/>
    <w:rsid w:val="009712A8"/>
    <w:rsid w:val="0097130E"/>
    <w:rsid w:val="00971376"/>
    <w:rsid w:val="00971460"/>
    <w:rsid w:val="009715DB"/>
    <w:rsid w:val="00971793"/>
    <w:rsid w:val="00971AB9"/>
    <w:rsid w:val="00971C56"/>
    <w:rsid w:val="00971CE0"/>
    <w:rsid w:val="00971DA9"/>
    <w:rsid w:val="00971E74"/>
    <w:rsid w:val="00971EED"/>
    <w:rsid w:val="00971F00"/>
    <w:rsid w:val="00971F01"/>
    <w:rsid w:val="00971F02"/>
    <w:rsid w:val="00971F2D"/>
    <w:rsid w:val="009722B0"/>
    <w:rsid w:val="00972304"/>
    <w:rsid w:val="00972313"/>
    <w:rsid w:val="0097231D"/>
    <w:rsid w:val="0097232C"/>
    <w:rsid w:val="00972357"/>
    <w:rsid w:val="009723DF"/>
    <w:rsid w:val="00972403"/>
    <w:rsid w:val="0097243F"/>
    <w:rsid w:val="009725AD"/>
    <w:rsid w:val="0097265C"/>
    <w:rsid w:val="00972684"/>
    <w:rsid w:val="009726B2"/>
    <w:rsid w:val="00972706"/>
    <w:rsid w:val="0097281D"/>
    <w:rsid w:val="00972A2A"/>
    <w:rsid w:val="00972C68"/>
    <w:rsid w:val="00972D4B"/>
    <w:rsid w:val="00972D79"/>
    <w:rsid w:val="00972D9D"/>
    <w:rsid w:val="00972DF6"/>
    <w:rsid w:val="00972E70"/>
    <w:rsid w:val="009730BA"/>
    <w:rsid w:val="009730C6"/>
    <w:rsid w:val="0097310A"/>
    <w:rsid w:val="00973241"/>
    <w:rsid w:val="009733DF"/>
    <w:rsid w:val="0097347B"/>
    <w:rsid w:val="009734A0"/>
    <w:rsid w:val="0097351B"/>
    <w:rsid w:val="00973563"/>
    <w:rsid w:val="009735E0"/>
    <w:rsid w:val="00973637"/>
    <w:rsid w:val="00973780"/>
    <w:rsid w:val="00973851"/>
    <w:rsid w:val="00973854"/>
    <w:rsid w:val="00973925"/>
    <w:rsid w:val="00973984"/>
    <w:rsid w:val="0097399F"/>
    <w:rsid w:val="009739CB"/>
    <w:rsid w:val="00973A01"/>
    <w:rsid w:val="00973BF0"/>
    <w:rsid w:val="00973BFD"/>
    <w:rsid w:val="00973CBB"/>
    <w:rsid w:val="00973D3E"/>
    <w:rsid w:val="00973D8B"/>
    <w:rsid w:val="00973DD5"/>
    <w:rsid w:val="00973E1A"/>
    <w:rsid w:val="00973EEB"/>
    <w:rsid w:val="00973F7B"/>
    <w:rsid w:val="00973FFE"/>
    <w:rsid w:val="0097405B"/>
    <w:rsid w:val="00974061"/>
    <w:rsid w:val="0097418D"/>
    <w:rsid w:val="0097423D"/>
    <w:rsid w:val="00974297"/>
    <w:rsid w:val="009743C6"/>
    <w:rsid w:val="00974484"/>
    <w:rsid w:val="009744A6"/>
    <w:rsid w:val="009744B5"/>
    <w:rsid w:val="009744DB"/>
    <w:rsid w:val="00974595"/>
    <w:rsid w:val="00974718"/>
    <w:rsid w:val="00974730"/>
    <w:rsid w:val="00974762"/>
    <w:rsid w:val="00974823"/>
    <w:rsid w:val="00974862"/>
    <w:rsid w:val="00974898"/>
    <w:rsid w:val="00974949"/>
    <w:rsid w:val="0097495D"/>
    <w:rsid w:val="00974981"/>
    <w:rsid w:val="00974A11"/>
    <w:rsid w:val="00974A47"/>
    <w:rsid w:val="00974A6A"/>
    <w:rsid w:val="00974B22"/>
    <w:rsid w:val="00974B5F"/>
    <w:rsid w:val="00974BF3"/>
    <w:rsid w:val="00974D21"/>
    <w:rsid w:val="00974D55"/>
    <w:rsid w:val="00974D6F"/>
    <w:rsid w:val="00974E10"/>
    <w:rsid w:val="00974E13"/>
    <w:rsid w:val="00974E28"/>
    <w:rsid w:val="00974EB9"/>
    <w:rsid w:val="00974EDA"/>
    <w:rsid w:val="00974F80"/>
    <w:rsid w:val="00974FBF"/>
    <w:rsid w:val="00975008"/>
    <w:rsid w:val="00975048"/>
    <w:rsid w:val="009750F7"/>
    <w:rsid w:val="00975132"/>
    <w:rsid w:val="00975241"/>
    <w:rsid w:val="009752FC"/>
    <w:rsid w:val="0097535D"/>
    <w:rsid w:val="00975426"/>
    <w:rsid w:val="009754E5"/>
    <w:rsid w:val="009754FD"/>
    <w:rsid w:val="00975744"/>
    <w:rsid w:val="00975954"/>
    <w:rsid w:val="00975A3B"/>
    <w:rsid w:val="00975AB6"/>
    <w:rsid w:val="00975B14"/>
    <w:rsid w:val="00975B1E"/>
    <w:rsid w:val="00975C29"/>
    <w:rsid w:val="00975CEF"/>
    <w:rsid w:val="00975DA6"/>
    <w:rsid w:val="00975E0C"/>
    <w:rsid w:val="00976189"/>
    <w:rsid w:val="009762BD"/>
    <w:rsid w:val="009762E9"/>
    <w:rsid w:val="00976354"/>
    <w:rsid w:val="009763C9"/>
    <w:rsid w:val="00976434"/>
    <w:rsid w:val="009764F5"/>
    <w:rsid w:val="00976561"/>
    <w:rsid w:val="00976721"/>
    <w:rsid w:val="009768CA"/>
    <w:rsid w:val="0097694B"/>
    <w:rsid w:val="00976963"/>
    <w:rsid w:val="00976BB2"/>
    <w:rsid w:val="00976BFA"/>
    <w:rsid w:val="00976DAF"/>
    <w:rsid w:val="00976DCD"/>
    <w:rsid w:val="00976EDD"/>
    <w:rsid w:val="00976F62"/>
    <w:rsid w:val="0097704A"/>
    <w:rsid w:val="0097708E"/>
    <w:rsid w:val="009770E2"/>
    <w:rsid w:val="009772EC"/>
    <w:rsid w:val="00977356"/>
    <w:rsid w:val="0097735E"/>
    <w:rsid w:val="00977487"/>
    <w:rsid w:val="00977732"/>
    <w:rsid w:val="009777B8"/>
    <w:rsid w:val="009777EA"/>
    <w:rsid w:val="009778E3"/>
    <w:rsid w:val="0097790D"/>
    <w:rsid w:val="00977B3F"/>
    <w:rsid w:val="00977CC9"/>
    <w:rsid w:val="00977E0D"/>
    <w:rsid w:val="00977EBC"/>
    <w:rsid w:val="00977FBF"/>
    <w:rsid w:val="0098013E"/>
    <w:rsid w:val="009801DA"/>
    <w:rsid w:val="0098034B"/>
    <w:rsid w:val="00980398"/>
    <w:rsid w:val="009803A9"/>
    <w:rsid w:val="009803AA"/>
    <w:rsid w:val="009803BD"/>
    <w:rsid w:val="0098046F"/>
    <w:rsid w:val="00980566"/>
    <w:rsid w:val="009805E9"/>
    <w:rsid w:val="0098063D"/>
    <w:rsid w:val="0098069A"/>
    <w:rsid w:val="009807D8"/>
    <w:rsid w:val="00980994"/>
    <w:rsid w:val="00980A7F"/>
    <w:rsid w:val="00980C5C"/>
    <w:rsid w:val="00980CB9"/>
    <w:rsid w:val="00980D92"/>
    <w:rsid w:val="00980DA7"/>
    <w:rsid w:val="00980E30"/>
    <w:rsid w:val="00980E90"/>
    <w:rsid w:val="00980ECD"/>
    <w:rsid w:val="00980F6F"/>
    <w:rsid w:val="00980F74"/>
    <w:rsid w:val="00980FEB"/>
    <w:rsid w:val="009812C0"/>
    <w:rsid w:val="0098134A"/>
    <w:rsid w:val="009813D1"/>
    <w:rsid w:val="00981467"/>
    <w:rsid w:val="00981528"/>
    <w:rsid w:val="009815FE"/>
    <w:rsid w:val="0098161E"/>
    <w:rsid w:val="00981643"/>
    <w:rsid w:val="00981707"/>
    <w:rsid w:val="009817DA"/>
    <w:rsid w:val="009817E2"/>
    <w:rsid w:val="009818C3"/>
    <w:rsid w:val="009818E5"/>
    <w:rsid w:val="00981907"/>
    <w:rsid w:val="00981B09"/>
    <w:rsid w:val="00981B0A"/>
    <w:rsid w:val="00981CAC"/>
    <w:rsid w:val="00981D38"/>
    <w:rsid w:val="00981D7C"/>
    <w:rsid w:val="0098217F"/>
    <w:rsid w:val="0098218F"/>
    <w:rsid w:val="009821B9"/>
    <w:rsid w:val="009821F2"/>
    <w:rsid w:val="0098224D"/>
    <w:rsid w:val="009823DD"/>
    <w:rsid w:val="00982563"/>
    <w:rsid w:val="009825B7"/>
    <w:rsid w:val="00982661"/>
    <w:rsid w:val="009826C5"/>
    <w:rsid w:val="00982848"/>
    <w:rsid w:val="00982870"/>
    <w:rsid w:val="0098294A"/>
    <w:rsid w:val="0098296C"/>
    <w:rsid w:val="009829A1"/>
    <w:rsid w:val="009829B2"/>
    <w:rsid w:val="00982A6C"/>
    <w:rsid w:val="00982B33"/>
    <w:rsid w:val="00982C0B"/>
    <w:rsid w:val="00982D2D"/>
    <w:rsid w:val="00982D97"/>
    <w:rsid w:val="00982DE1"/>
    <w:rsid w:val="00982E62"/>
    <w:rsid w:val="00982EA7"/>
    <w:rsid w:val="00982FE2"/>
    <w:rsid w:val="0098310D"/>
    <w:rsid w:val="00983147"/>
    <w:rsid w:val="00983167"/>
    <w:rsid w:val="009831BA"/>
    <w:rsid w:val="009832B8"/>
    <w:rsid w:val="00983373"/>
    <w:rsid w:val="009833AA"/>
    <w:rsid w:val="009833E9"/>
    <w:rsid w:val="00983454"/>
    <w:rsid w:val="009834F3"/>
    <w:rsid w:val="00983695"/>
    <w:rsid w:val="009836AA"/>
    <w:rsid w:val="0098379D"/>
    <w:rsid w:val="0098380F"/>
    <w:rsid w:val="0098382C"/>
    <w:rsid w:val="0098390C"/>
    <w:rsid w:val="00983A96"/>
    <w:rsid w:val="00983AE6"/>
    <w:rsid w:val="00983C05"/>
    <w:rsid w:val="00983D64"/>
    <w:rsid w:val="00984119"/>
    <w:rsid w:val="0098413F"/>
    <w:rsid w:val="00984165"/>
    <w:rsid w:val="009841CB"/>
    <w:rsid w:val="00984253"/>
    <w:rsid w:val="009842A9"/>
    <w:rsid w:val="00984326"/>
    <w:rsid w:val="00984333"/>
    <w:rsid w:val="009843B8"/>
    <w:rsid w:val="00984400"/>
    <w:rsid w:val="00984467"/>
    <w:rsid w:val="00984478"/>
    <w:rsid w:val="009845BB"/>
    <w:rsid w:val="00984652"/>
    <w:rsid w:val="009847FF"/>
    <w:rsid w:val="009848C6"/>
    <w:rsid w:val="009848FF"/>
    <w:rsid w:val="00984905"/>
    <w:rsid w:val="00984941"/>
    <w:rsid w:val="009849CC"/>
    <w:rsid w:val="00984A1B"/>
    <w:rsid w:val="00984ACE"/>
    <w:rsid w:val="00984AF7"/>
    <w:rsid w:val="00984BAB"/>
    <w:rsid w:val="00984D0E"/>
    <w:rsid w:val="00984D4C"/>
    <w:rsid w:val="00984D7F"/>
    <w:rsid w:val="00984EB0"/>
    <w:rsid w:val="00984F68"/>
    <w:rsid w:val="0098508F"/>
    <w:rsid w:val="00985092"/>
    <w:rsid w:val="009850CC"/>
    <w:rsid w:val="0098511B"/>
    <w:rsid w:val="0098513C"/>
    <w:rsid w:val="00985158"/>
    <w:rsid w:val="0098516E"/>
    <w:rsid w:val="009851C3"/>
    <w:rsid w:val="009852CA"/>
    <w:rsid w:val="00985479"/>
    <w:rsid w:val="0098547A"/>
    <w:rsid w:val="00985509"/>
    <w:rsid w:val="009855A0"/>
    <w:rsid w:val="00985696"/>
    <w:rsid w:val="009856ED"/>
    <w:rsid w:val="00985725"/>
    <w:rsid w:val="0098572E"/>
    <w:rsid w:val="009857F0"/>
    <w:rsid w:val="009858F0"/>
    <w:rsid w:val="00985964"/>
    <w:rsid w:val="00985AC8"/>
    <w:rsid w:val="00985B62"/>
    <w:rsid w:val="00985C49"/>
    <w:rsid w:val="00985C8A"/>
    <w:rsid w:val="00985CA5"/>
    <w:rsid w:val="00985D41"/>
    <w:rsid w:val="00985EB5"/>
    <w:rsid w:val="009860B9"/>
    <w:rsid w:val="0098619A"/>
    <w:rsid w:val="00986353"/>
    <w:rsid w:val="00986434"/>
    <w:rsid w:val="00986505"/>
    <w:rsid w:val="0098659B"/>
    <w:rsid w:val="009865B3"/>
    <w:rsid w:val="009867EC"/>
    <w:rsid w:val="009867FA"/>
    <w:rsid w:val="00986872"/>
    <w:rsid w:val="009868AD"/>
    <w:rsid w:val="00986900"/>
    <w:rsid w:val="0098698A"/>
    <w:rsid w:val="009869EE"/>
    <w:rsid w:val="00986A46"/>
    <w:rsid w:val="00986AC6"/>
    <w:rsid w:val="00986B2D"/>
    <w:rsid w:val="00986C68"/>
    <w:rsid w:val="00986CED"/>
    <w:rsid w:val="00986CEE"/>
    <w:rsid w:val="00986D65"/>
    <w:rsid w:val="00986E87"/>
    <w:rsid w:val="0098707D"/>
    <w:rsid w:val="009870C9"/>
    <w:rsid w:val="009871B3"/>
    <w:rsid w:val="009871BD"/>
    <w:rsid w:val="00987258"/>
    <w:rsid w:val="00987263"/>
    <w:rsid w:val="00987275"/>
    <w:rsid w:val="00987287"/>
    <w:rsid w:val="00987333"/>
    <w:rsid w:val="00987461"/>
    <w:rsid w:val="00987559"/>
    <w:rsid w:val="009875A7"/>
    <w:rsid w:val="009875BD"/>
    <w:rsid w:val="00987606"/>
    <w:rsid w:val="00987646"/>
    <w:rsid w:val="0098773D"/>
    <w:rsid w:val="00987786"/>
    <w:rsid w:val="00987934"/>
    <w:rsid w:val="00987A91"/>
    <w:rsid w:val="00987B55"/>
    <w:rsid w:val="00987B9D"/>
    <w:rsid w:val="00987CEA"/>
    <w:rsid w:val="00987D5F"/>
    <w:rsid w:val="00987D77"/>
    <w:rsid w:val="00987D95"/>
    <w:rsid w:val="00987DC6"/>
    <w:rsid w:val="00987DC7"/>
    <w:rsid w:val="00987E74"/>
    <w:rsid w:val="00987E79"/>
    <w:rsid w:val="009900B4"/>
    <w:rsid w:val="0099012A"/>
    <w:rsid w:val="009901A6"/>
    <w:rsid w:val="009901B1"/>
    <w:rsid w:val="009901F0"/>
    <w:rsid w:val="00990233"/>
    <w:rsid w:val="00990239"/>
    <w:rsid w:val="0099035F"/>
    <w:rsid w:val="009903D3"/>
    <w:rsid w:val="009905EB"/>
    <w:rsid w:val="009905EE"/>
    <w:rsid w:val="0099065F"/>
    <w:rsid w:val="009906DC"/>
    <w:rsid w:val="00990752"/>
    <w:rsid w:val="0099076A"/>
    <w:rsid w:val="0099081E"/>
    <w:rsid w:val="00990820"/>
    <w:rsid w:val="00990889"/>
    <w:rsid w:val="0099091B"/>
    <w:rsid w:val="00990A2E"/>
    <w:rsid w:val="00990A6B"/>
    <w:rsid w:val="00990A70"/>
    <w:rsid w:val="00990B71"/>
    <w:rsid w:val="00990B93"/>
    <w:rsid w:val="00990BB8"/>
    <w:rsid w:val="00990C00"/>
    <w:rsid w:val="00990CD0"/>
    <w:rsid w:val="00990D6C"/>
    <w:rsid w:val="00990E16"/>
    <w:rsid w:val="00990FC1"/>
    <w:rsid w:val="00991043"/>
    <w:rsid w:val="009910ED"/>
    <w:rsid w:val="009911E5"/>
    <w:rsid w:val="0099120C"/>
    <w:rsid w:val="0099122F"/>
    <w:rsid w:val="0099127B"/>
    <w:rsid w:val="009912D2"/>
    <w:rsid w:val="00991397"/>
    <w:rsid w:val="009913BE"/>
    <w:rsid w:val="00991446"/>
    <w:rsid w:val="009914B2"/>
    <w:rsid w:val="009914D0"/>
    <w:rsid w:val="0099151F"/>
    <w:rsid w:val="009915AF"/>
    <w:rsid w:val="0099184D"/>
    <w:rsid w:val="00991987"/>
    <w:rsid w:val="009919C2"/>
    <w:rsid w:val="00991A53"/>
    <w:rsid w:val="00991AAE"/>
    <w:rsid w:val="00991B57"/>
    <w:rsid w:val="00991BE3"/>
    <w:rsid w:val="00991C76"/>
    <w:rsid w:val="00991D1D"/>
    <w:rsid w:val="00991EB9"/>
    <w:rsid w:val="00991F63"/>
    <w:rsid w:val="00991F65"/>
    <w:rsid w:val="0099200F"/>
    <w:rsid w:val="00992195"/>
    <w:rsid w:val="00992276"/>
    <w:rsid w:val="0099227A"/>
    <w:rsid w:val="009923A4"/>
    <w:rsid w:val="009923A9"/>
    <w:rsid w:val="009923FC"/>
    <w:rsid w:val="00992403"/>
    <w:rsid w:val="00992686"/>
    <w:rsid w:val="0099273E"/>
    <w:rsid w:val="00992749"/>
    <w:rsid w:val="00992827"/>
    <w:rsid w:val="0099285F"/>
    <w:rsid w:val="00992906"/>
    <w:rsid w:val="00992958"/>
    <w:rsid w:val="009929C8"/>
    <w:rsid w:val="00992A24"/>
    <w:rsid w:val="00992A58"/>
    <w:rsid w:val="00992BFA"/>
    <w:rsid w:val="00992C93"/>
    <w:rsid w:val="00992D81"/>
    <w:rsid w:val="00992D93"/>
    <w:rsid w:val="00992DFB"/>
    <w:rsid w:val="00992E1B"/>
    <w:rsid w:val="00993032"/>
    <w:rsid w:val="00993073"/>
    <w:rsid w:val="009930BE"/>
    <w:rsid w:val="0099318D"/>
    <w:rsid w:val="00993216"/>
    <w:rsid w:val="0099322D"/>
    <w:rsid w:val="0099340E"/>
    <w:rsid w:val="0099345E"/>
    <w:rsid w:val="009934B6"/>
    <w:rsid w:val="00993569"/>
    <w:rsid w:val="0099376A"/>
    <w:rsid w:val="00993771"/>
    <w:rsid w:val="0099382D"/>
    <w:rsid w:val="009939A9"/>
    <w:rsid w:val="00993D7A"/>
    <w:rsid w:val="00993DD2"/>
    <w:rsid w:val="00993DFF"/>
    <w:rsid w:val="00994033"/>
    <w:rsid w:val="00994085"/>
    <w:rsid w:val="009940CD"/>
    <w:rsid w:val="009942B7"/>
    <w:rsid w:val="0099443E"/>
    <w:rsid w:val="0099451B"/>
    <w:rsid w:val="0099470B"/>
    <w:rsid w:val="00994756"/>
    <w:rsid w:val="00994810"/>
    <w:rsid w:val="0099489E"/>
    <w:rsid w:val="00994948"/>
    <w:rsid w:val="0099494F"/>
    <w:rsid w:val="00994A3D"/>
    <w:rsid w:val="00994C86"/>
    <w:rsid w:val="00994D7B"/>
    <w:rsid w:val="00994DFA"/>
    <w:rsid w:val="00994E6C"/>
    <w:rsid w:val="00994EC7"/>
    <w:rsid w:val="00994F0E"/>
    <w:rsid w:val="00994F56"/>
    <w:rsid w:val="009951D0"/>
    <w:rsid w:val="00995270"/>
    <w:rsid w:val="0099542F"/>
    <w:rsid w:val="0099552F"/>
    <w:rsid w:val="00995624"/>
    <w:rsid w:val="0099564F"/>
    <w:rsid w:val="009956C3"/>
    <w:rsid w:val="0099576F"/>
    <w:rsid w:val="009957F3"/>
    <w:rsid w:val="00995906"/>
    <w:rsid w:val="00995948"/>
    <w:rsid w:val="0099597A"/>
    <w:rsid w:val="00995AD9"/>
    <w:rsid w:val="00995B1F"/>
    <w:rsid w:val="00995B66"/>
    <w:rsid w:val="00995CB0"/>
    <w:rsid w:val="00995E18"/>
    <w:rsid w:val="00995E2D"/>
    <w:rsid w:val="00995ECB"/>
    <w:rsid w:val="00995F37"/>
    <w:rsid w:val="00995F7A"/>
    <w:rsid w:val="0099616A"/>
    <w:rsid w:val="00996191"/>
    <w:rsid w:val="009961FE"/>
    <w:rsid w:val="0099644F"/>
    <w:rsid w:val="00996472"/>
    <w:rsid w:val="0099647E"/>
    <w:rsid w:val="009965B0"/>
    <w:rsid w:val="00996632"/>
    <w:rsid w:val="009967F7"/>
    <w:rsid w:val="0099681F"/>
    <w:rsid w:val="009968EA"/>
    <w:rsid w:val="00996924"/>
    <w:rsid w:val="0099695E"/>
    <w:rsid w:val="00996AC3"/>
    <w:rsid w:val="00996E32"/>
    <w:rsid w:val="009970BB"/>
    <w:rsid w:val="009971AD"/>
    <w:rsid w:val="00997205"/>
    <w:rsid w:val="009972B4"/>
    <w:rsid w:val="009973A4"/>
    <w:rsid w:val="0099757D"/>
    <w:rsid w:val="009976BC"/>
    <w:rsid w:val="0099771C"/>
    <w:rsid w:val="00997829"/>
    <w:rsid w:val="009978BB"/>
    <w:rsid w:val="009978C5"/>
    <w:rsid w:val="009978D2"/>
    <w:rsid w:val="00997905"/>
    <w:rsid w:val="00997913"/>
    <w:rsid w:val="009979C4"/>
    <w:rsid w:val="009979CB"/>
    <w:rsid w:val="00997A84"/>
    <w:rsid w:val="00997CA3"/>
    <w:rsid w:val="00997D1E"/>
    <w:rsid w:val="00997DA5"/>
    <w:rsid w:val="00997DDE"/>
    <w:rsid w:val="00997E8A"/>
    <w:rsid w:val="00997F32"/>
    <w:rsid w:val="00997F54"/>
    <w:rsid w:val="009A0036"/>
    <w:rsid w:val="009A00B6"/>
    <w:rsid w:val="009A00FD"/>
    <w:rsid w:val="009A01BE"/>
    <w:rsid w:val="009A0212"/>
    <w:rsid w:val="009A0278"/>
    <w:rsid w:val="009A02F0"/>
    <w:rsid w:val="009A0384"/>
    <w:rsid w:val="009A040A"/>
    <w:rsid w:val="009A0595"/>
    <w:rsid w:val="009A05A3"/>
    <w:rsid w:val="009A05D1"/>
    <w:rsid w:val="009A068A"/>
    <w:rsid w:val="009A091B"/>
    <w:rsid w:val="009A0920"/>
    <w:rsid w:val="009A097E"/>
    <w:rsid w:val="009A0ABD"/>
    <w:rsid w:val="009A0AED"/>
    <w:rsid w:val="009A0AF6"/>
    <w:rsid w:val="009A0B2B"/>
    <w:rsid w:val="009A0B4F"/>
    <w:rsid w:val="009A0B6A"/>
    <w:rsid w:val="009A0B77"/>
    <w:rsid w:val="009A0BB8"/>
    <w:rsid w:val="009A0C71"/>
    <w:rsid w:val="009A0D8E"/>
    <w:rsid w:val="009A0DA8"/>
    <w:rsid w:val="009A0E0C"/>
    <w:rsid w:val="009A0F13"/>
    <w:rsid w:val="009A1005"/>
    <w:rsid w:val="009A10BD"/>
    <w:rsid w:val="009A1133"/>
    <w:rsid w:val="009A114C"/>
    <w:rsid w:val="009A1205"/>
    <w:rsid w:val="009A1325"/>
    <w:rsid w:val="009A1377"/>
    <w:rsid w:val="009A15BF"/>
    <w:rsid w:val="009A15D9"/>
    <w:rsid w:val="009A16E8"/>
    <w:rsid w:val="009A18E0"/>
    <w:rsid w:val="009A18ED"/>
    <w:rsid w:val="009A1934"/>
    <w:rsid w:val="009A1A02"/>
    <w:rsid w:val="009A1B27"/>
    <w:rsid w:val="009A1CC2"/>
    <w:rsid w:val="009A1CC8"/>
    <w:rsid w:val="009A1DDB"/>
    <w:rsid w:val="009A1EAF"/>
    <w:rsid w:val="009A1F7F"/>
    <w:rsid w:val="009A1FBB"/>
    <w:rsid w:val="009A1FFB"/>
    <w:rsid w:val="009A2008"/>
    <w:rsid w:val="009A2182"/>
    <w:rsid w:val="009A21B7"/>
    <w:rsid w:val="009A2207"/>
    <w:rsid w:val="009A222F"/>
    <w:rsid w:val="009A2314"/>
    <w:rsid w:val="009A237A"/>
    <w:rsid w:val="009A270C"/>
    <w:rsid w:val="009A2766"/>
    <w:rsid w:val="009A2837"/>
    <w:rsid w:val="009A283B"/>
    <w:rsid w:val="009A28B5"/>
    <w:rsid w:val="009A2955"/>
    <w:rsid w:val="009A2968"/>
    <w:rsid w:val="009A297B"/>
    <w:rsid w:val="009A29C2"/>
    <w:rsid w:val="009A2B90"/>
    <w:rsid w:val="009A2BCE"/>
    <w:rsid w:val="009A2D0B"/>
    <w:rsid w:val="009A2D6E"/>
    <w:rsid w:val="009A2DAA"/>
    <w:rsid w:val="009A2DEB"/>
    <w:rsid w:val="009A2F18"/>
    <w:rsid w:val="009A2F3A"/>
    <w:rsid w:val="009A2F52"/>
    <w:rsid w:val="009A30E0"/>
    <w:rsid w:val="009A31FA"/>
    <w:rsid w:val="009A326C"/>
    <w:rsid w:val="009A32A6"/>
    <w:rsid w:val="009A3320"/>
    <w:rsid w:val="009A3465"/>
    <w:rsid w:val="009A34AA"/>
    <w:rsid w:val="009A34B7"/>
    <w:rsid w:val="009A35C4"/>
    <w:rsid w:val="009A3609"/>
    <w:rsid w:val="009A3623"/>
    <w:rsid w:val="009A377D"/>
    <w:rsid w:val="009A37BD"/>
    <w:rsid w:val="009A37EE"/>
    <w:rsid w:val="009A3994"/>
    <w:rsid w:val="009A3AA9"/>
    <w:rsid w:val="009A3B38"/>
    <w:rsid w:val="009A3DF5"/>
    <w:rsid w:val="009A41AC"/>
    <w:rsid w:val="009A4209"/>
    <w:rsid w:val="009A4242"/>
    <w:rsid w:val="009A424C"/>
    <w:rsid w:val="009A4255"/>
    <w:rsid w:val="009A435B"/>
    <w:rsid w:val="009A439A"/>
    <w:rsid w:val="009A43AA"/>
    <w:rsid w:val="009A4434"/>
    <w:rsid w:val="009A449B"/>
    <w:rsid w:val="009A44FA"/>
    <w:rsid w:val="009A4506"/>
    <w:rsid w:val="009A494D"/>
    <w:rsid w:val="009A4A2C"/>
    <w:rsid w:val="009A4CEA"/>
    <w:rsid w:val="009A4D26"/>
    <w:rsid w:val="009A4D2F"/>
    <w:rsid w:val="009A4D70"/>
    <w:rsid w:val="009A4D81"/>
    <w:rsid w:val="009A4F4A"/>
    <w:rsid w:val="009A4FDA"/>
    <w:rsid w:val="009A4FE5"/>
    <w:rsid w:val="009A5052"/>
    <w:rsid w:val="009A50A6"/>
    <w:rsid w:val="009A518D"/>
    <w:rsid w:val="009A51EB"/>
    <w:rsid w:val="009A5253"/>
    <w:rsid w:val="009A5480"/>
    <w:rsid w:val="009A55F6"/>
    <w:rsid w:val="009A5947"/>
    <w:rsid w:val="009A5997"/>
    <w:rsid w:val="009A5ADB"/>
    <w:rsid w:val="009A5CCE"/>
    <w:rsid w:val="009A5CDC"/>
    <w:rsid w:val="009A5D20"/>
    <w:rsid w:val="009A5D68"/>
    <w:rsid w:val="009A5D7A"/>
    <w:rsid w:val="009A5DE2"/>
    <w:rsid w:val="009A5E24"/>
    <w:rsid w:val="009A5F9E"/>
    <w:rsid w:val="009A5FE7"/>
    <w:rsid w:val="009A603C"/>
    <w:rsid w:val="009A605B"/>
    <w:rsid w:val="009A60DC"/>
    <w:rsid w:val="009A60FA"/>
    <w:rsid w:val="009A6153"/>
    <w:rsid w:val="009A6187"/>
    <w:rsid w:val="009A6412"/>
    <w:rsid w:val="009A6455"/>
    <w:rsid w:val="009A64B7"/>
    <w:rsid w:val="009A6631"/>
    <w:rsid w:val="009A668D"/>
    <w:rsid w:val="009A67C9"/>
    <w:rsid w:val="009A686E"/>
    <w:rsid w:val="009A68A2"/>
    <w:rsid w:val="009A68CF"/>
    <w:rsid w:val="009A6911"/>
    <w:rsid w:val="009A6A90"/>
    <w:rsid w:val="009A6CD2"/>
    <w:rsid w:val="009A6CED"/>
    <w:rsid w:val="009A6D8C"/>
    <w:rsid w:val="009A6E10"/>
    <w:rsid w:val="009A6EF3"/>
    <w:rsid w:val="009A7036"/>
    <w:rsid w:val="009A7052"/>
    <w:rsid w:val="009A714B"/>
    <w:rsid w:val="009A7163"/>
    <w:rsid w:val="009A71ED"/>
    <w:rsid w:val="009A7247"/>
    <w:rsid w:val="009A7290"/>
    <w:rsid w:val="009A74F9"/>
    <w:rsid w:val="009A7664"/>
    <w:rsid w:val="009A790D"/>
    <w:rsid w:val="009A7967"/>
    <w:rsid w:val="009A79CA"/>
    <w:rsid w:val="009A79CB"/>
    <w:rsid w:val="009A79F3"/>
    <w:rsid w:val="009A7A40"/>
    <w:rsid w:val="009A7AB3"/>
    <w:rsid w:val="009A7BCF"/>
    <w:rsid w:val="009A7C10"/>
    <w:rsid w:val="009A7C8D"/>
    <w:rsid w:val="009A7F51"/>
    <w:rsid w:val="009A7F71"/>
    <w:rsid w:val="009B0137"/>
    <w:rsid w:val="009B02CF"/>
    <w:rsid w:val="009B03ED"/>
    <w:rsid w:val="009B04AA"/>
    <w:rsid w:val="009B05F9"/>
    <w:rsid w:val="009B05FA"/>
    <w:rsid w:val="009B06AF"/>
    <w:rsid w:val="009B0738"/>
    <w:rsid w:val="009B0890"/>
    <w:rsid w:val="009B0895"/>
    <w:rsid w:val="009B08A9"/>
    <w:rsid w:val="009B08AD"/>
    <w:rsid w:val="009B096E"/>
    <w:rsid w:val="009B0A24"/>
    <w:rsid w:val="009B0A30"/>
    <w:rsid w:val="009B0A3C"/>
    <w:rsid w:val="009B0BEA"/>
    <w:rsid w:val="009B0C32"/>
    <w:rsid w:val="009B0D86"/>
    <w:rsid w:val="009B0E4E"/>
    <w:rsid w:val="009B10E3"/>
    <w:rsid w:val="009B1153"/>
    <w:rsid w:val="009B1196"/>
    <w:rsid w:val="009B124E"/>
    <w:rsid w:val="009B148D"/>
    <w:rsid w:val="009B1498"/>
    <w:rsid w:val="009B14D0"/>
    <w:rsid w:val="009B1574"/>
    <w:rsid w:val="009B159B"/>
    <w:rsid w:val="009B15CD"/>
    <w:rsid w:val="009B1640"/>
    <w:rsid w:val="009B1761"/>
    <w:rsid w:val="009B1774"/>
    <w:rsid w:val="009B17EB"/>
    <w:rsid w:val="009B1843"/>
    <w:rsid w:val="009B186D"/>
    <w:rsid w:val="009B19F9"/>
    <w:rsid w:val="009B1A13"/>
    <w:rsid w:val="009B1A40"/>
    <w:rsid w:val="009B1AC1"/>
    <w:rsid w:val="009B1B04"/>
    <w:rsid w:val="009B1B47"/>
    <w:rsid w:val="009B1BB7"/>
    <w:rsid w:val="009B1C63"/>
    <w:rsid w:val="009B1E27"/>
    <w:rsid w:val="009B20B3"/>
    <w:rsid w:val="009B2111"/>
    <w:rsid w:val="009B214C"/>
    <w:rsid w:val="009B2187"/>
    <w:rsid w:val="009B22A4"/>
    <w:rsid w:val="009B22DB"/>
    <w:rsid w:val="009B2383"/>
    <w:rsid w:val="009B23B8"/>
    <w:rsid w:val="009B23EC"/>
    <w:rsid w:val="009B249C"/>
    <w:rsid w:val="009B25EF"/>
    <w:rsid w:val="009B26D2"/>
    <w:rsid w:val="009B27AE"/>
    <w:rsid w:val="009B27EC"/>
    <w:rsid w:val="009B27F8"/>
    <w:rsid w:val="009B29F3"/>
    <w:rsid w:val="009B2A01"/>
    <w:rsid w:val="009B2A26"/>
    <w:rsid w:val="009B2AA7"/>
    <w:rsid w:val="009B2ACE"/>
    <w:rsid w:val="009B2B51"/>
    <w:rsid w:val="009B2B77"/>
    <w:rsid w:val="009B2D4C"/>
    <w:rsid w:val="009B2D50"/>
    <w:rsid w:val="009B2D5D"/>
    <w:rsid w:val="009B2F3D"/>
    <w:rsid w:val="009B305F"/>
    <w:rsid w:val="009B3160"/>
    <w:rsid w:val="009B3169"/>
    <w:rsid w:val="009B320C"/>
    <w:rsid w:val="009B32D2"/>
    <w:rsid w:val="009B32E6"/>
    <w:rsid w:val="009B32E8"/>
    <w:rsid w:val="009B336B"/>
    <w:rsid w:val="009B337F"/>
    <w:rsid w:val="009B33BC"/>
    <w:rsid w:val="009B33EB"/>
    <w:rsid w:val="009B33F7"/>
    <w:rsid w:val="009B3665"/>
    <w:rsid w:val="009B3675"/>
    <w:rsid w:val="009B3917"/>
    <w:rsid w:val="009B3A43"/>
    <w:rsid w:val="009B3AA6"/>
    <w:rsid w:val="009B3ACD"/>
    <w:rsid w:val="009B3C41"/>
    <w:rsid w:val="009B3E4B"/>
    <w:rsid w:val="009B3F55"/>
    <w:rsid w:val="009B3F6C"/>
    <w:rsid w:val="009B3FEB"/>
    <w:rsid w:val="009B4032"/>
    <w:rsid w:val="009B4096"/>
    <w:rsid w:val="009B40DA"/>
    <w:rsid w:val="009B41D2"/>
    <w:rsid w:val="009B4286"/>
    <w:rsid w:val="009B4309"/>
    <w:rsid w:val="009B435C"/>
    <w:rsid w:val="009B4363"/>
    <w:rsid w:val="009B4373"/>
    <w:rsid w:val="009B43A3"/>
    <w:rsid w:val="009B44BB"/>
    <w:rsid w:val="009B4786"/>
    <w:rsid w:val="009B479A"/>
    <w:rsid w:val="009B4827"/>
    <w:rsid w:val="009B488B"/>
    <w:rsid w:val="009B49D2"/>
    <w:rsid w:val="009B4AD7"/>
    <w:rsid w:val="009B4BB5"/>
    <w:rsid w:val="009B4C78"/>
    <w:rsid w:val="009B4CAC"/>
    <w:rsid w:val="009B4D8F"/>
    <w:rsid w:val="009B4DF4"/>
    <w:rsid w:val="009B4EB1"/>
    <w:rsid w:val="009B4F99"/>
    <w:rsid w:val="009B4FA4"/>
    <w:rsid w:val="009B50FC"/>
    <w:rsid w:val="009B527B"/>
    <w:rsid w:val="009B528D"/>
    <w:rsid w:val="009B52B3"/>
    <w:rsid w:val="009B52D6"/>
    <w:rsid w:val="009B53B1"/>
    <w:rsid w:val="009B54CE"/>
    <w:rsid w:val="009B5537"/>
    <w:rsid w:val="009B5562"/>
    <w:rsid w:val="009B55A4"/>
    <w:rsid w:val="009B5770"/>
    <w:rsid w:val="009B58B2"/>
    <w:rsid w:val="009B5934"/>
    <w:rsid w:val="009B5964"/>
    <w:rsid w:val="009B59F7"/>
    <w:rsid w:val="009B5AFC"/>
    <w:rsid w:val="009B5BBA"/>
    <w:rsid w:val="009B5BBD"/>
    <w:rsid w:val="009B5C46"/>
    <w:rsid w:val="009B5C65"/>
    <w:rsid w:val="009B5CD9"/>
    <w:rsid w:val="009B5D37"/>
    <w:rsid w:val="009B5D40"/>
    <w:rsid w:val="009B5D5E"/>
    <w:rsid w:val="009B5DA9"/>
    <w:rsid w:val="009B5DB9"/>
    <w:rsid w:val="009B5DCB"/>
    <w:rsid w:val="009B5E40"/>
    <w:rsid w:val="009B5E4D"/>
    <w:rsid w:val="009B5EBF"/>
    <w:rsid w:val="009B5EC8"/>
    <w:rsid w:val="009B5F76"/>
    <w:rsid w:val="009B5FC3"/>
    <w:rsid w:val="009B5FEF"/>
    <w:rsid w:val="009B6089"/>
    <w:rsid w:val="009B61D4"/>
    <w:rsid w:val="009B6286"/>
    <w:rsid w:val="009B629F"/>
    <w:rsid w:val="009B6465"/>
    <w:rsid w:val="009B6565"/>
    <w:rsid w:val="009B6747"/>
    <w:rsid w:val="009B674E"/>
    <w:rsid w:val="009B67DD"/>
    <w:rsid w:val="009B68C8"/>
    <w:rsid w:val="009B691E"/>
    <w:rsid w:val="009B6ABC"/>
    <w:rsid w:val="009B6BB5"/>
    <w:rsid w:val="009B6C50"/>
    <w:rsid w:val="009B6CA2"/>
    <w:rsid w:val="009B6DB7"/>
    <w:rsid w:val="009B6EEA"/>
    <w:rsid w:val="009B6F3A"/>
    <w:rsid w:val="009B6F40"/>
    <w:rsid w:val="009B7095"/>
    <w:rsid w:val="009B70EF"/>
    <w:rsid w:val="009B70F6"/>
    <w:rsid w:val="009B71C9"/>
    <w:rsid w:val="009B722F"/>
    <w:rsid w:val="009B72F5"/>
    <w:rsid w:val="009B7310"/>
    <w:rsid w:val="009B7346"/>
    <w:rsid w:val="009B739A"/>
    <w:rsid w:val="009B73FD"/>
    <w:rsid w:val="009B74B8"/>
    <w:rsid w:val="009B75A8"/>
    <w:rsid w:val="009B7672"/>
    <w:rsid w:val="009B78C3"/>
    <w:rsid w:val="009B7962"/>
    <w:rsid w:val="009B79A1"/>
    <w:rsid w:val="009B79B7"/>
    <w:rsid w:val="009B7B88"/>
    <w:rsid w:val="009B7BE3"/>
    <w:rsid w:val="009B7BE4"/>
    <w:rsid w:val="009B7C89"/>
    <w:rsid w:val="009B7D6B"/>
    <w:rsid w:val="009B7F12"/>
    <w:rsid w:val="009C006E"/>
    <w:rsid w:val="009C00CC"/>
    <w:rsid w:val="009C00CE"/>
    <w:rsid w:val="009C00CF"/>
    <w:rsid w:val="009C00E7"/>
    <w:rsid w:val="009C0189"/>
    <w:rsid w:val="009C01DE"/>
    <w:rsid w:val="009C0414"/>
    <w:rsid w:val="009C044D"/>
    <w:rsid w:val="009C04FF"/>
    <w:rsid w:val="009C055B"/>
    <w:rsid w:val="009C057C"/>
    <w:rsid w:val="009C0631"/>
    <w:rsid w:val="009C0662"/>
    <w:rsid w:val="009C06CF"/>
    <w:rsid w:val="009C0775"/>
    <w:rsid w:val="009C07CC"/>
    <w:rsid w:val="009C08FD"/>
    <w:rsid w:val="009C0AAB"/>
    <w:rsid w:val="009C0BCB"/>
    <w:rsid w:val="009C0C50"/>
    <w:rsid w:val="009C0C5F"/>
    <w:rsid w:val="009C0D2E"/>
    <w:rsid w:val="009C0DD0"/>
    <w:rsid w:val="009C0E73"/>
    <w:rsid w:val="009C0E8C"/>
    <w:rsid w:val="009C0EB8"/>
    <w:rsid w:val="009C0F75"/>
    <w:rsid w:val="009C114C"/>
    <w:rsid w:val="009C11C7"/>
    <w:rsid w:val="009C11F1"/>
    <w:rsid w:val="009C1223"/>
    <w:rsid w:val="009C128D"/>
    <w:rsid w:val="009C129D"/>
    <w:rsid w:val="009C13B1"/>
    <w:rsid w:val="009C18C9"/>
    <w:rsid w:val="009C19A9"/>
    <w:rsid w:val="009C19D1"/>
    <w:rsid w:val="009C1A78"/>
    <w:rsid w:val="009C1A8B"/>
    <w:rsid w:val="009C1AC7"/>
    <w:rsid w:val="009C1C3D"/>
    <w:rsid w:val="009C1D34"/>
    <w:rsid w:val="009C1E46"/>
    <w:rsid w:val="009C1E58"/>
    <w:rsid w:val="009C2114"/>
    <w:rsid w:val="009C2119"/>
    <w:rsid w:val="009C223C"/>
    <w:rsid w:val="009C2294"/>
    <w:rsid w:val="009C22F5"/>
    <w:rsid w:val="009C236D"/>
    <w:rsid w:val="009C262D"/>
    <w:rsid w:val="009C26F6"/>
    <w:rsid w:val="009C27A2"/>
    <w:rsid w:val="009C2937"/>
    <w:rsid w:val="009C2943"/>
    <w:rsid w:val="009C299F"/>
    <w:rsid w:val="009C2A5B"/>
    <w:rsid w:val="009C2AAA"/>
    <w:rsid w:val="009C2BAA"/>
    <w:rsid w:val="009C2C09"/>
    <w:rsid w:val="009C2C48"/>
    <w:rsid w:val="009C2C73"/>
    <w:rsid w:val="009C2CAC"/>
    <w:rsid w:val="009C2CE8"/>
    <w:rsid w:val="009C2D41"/>
    <w:rsid w:val="009C2D88"/>
    <w:rsid w:val="009C2E32"/>
    <w:rsid w:val="009C2E3B"/>
    <w:rsid w:val="009C2E8E"/>
    <w:rsid w:val="009C3003"/>
    <w:rsid w:val="009C30A9"/>
    <w:rsid w:val="009C30AF"/>
    <w:rsid w:val="009C316D"/>
    <w:rsid w:val="009C31FD"/>
    <w:rsid w:val="009C32A6"/>
    <w:rsid w:val="009C334E"/>
    <w:rsid w:val="009C3398"/>
    <w:rsid w:val="009C33E5"/>
    <w:rsid w:val="009C3411"/>
    <w:rsid w:val="009C350A"/>
    <w:rsid w:val="009C3573"/>
    <w:rsid w:val="009C3578"/>
    <w:rsid w:val="009C35E1"/>
    <w:rsid w:val="009C3623"/>
    <w:rsid w:val="009C3655"/>
    <w:rsid w:val="009C368B"/>
    <w:rsid w:val="009C3A3B"/>
    <w:rsid w:val="009C3B5C"/>
    <w:rsid w:val="009C3B88"/>
    <w:rsid w:val="009C3C32"/>
    <w:rsid w:val="009C3D10"/>
    <w:rsid w:val="009C3D91"/>
    <w:rsid w:val="009C3EAE"/>
    <w:rsid w:val="009C40A3"/>
    <w:rsid w:val="009C428B"/>
    <w:rsid w:val="009C4352"/>
    <w:rsid w:val="009C43C9"/>
    <w:rsid w:val="009C445D"/>
    <w:rsid w:val="009C4517"/>
    <w:rsid w:val="009C4531"/>
    <w:rsid w:val="009C4629"/>
    <w:rsid w:val="009C462A"/>
    <w:rsid w:val="009C4687"/>
    <w:rsid w:val="009C46E9"/>
    <w:rsid w:val="009C474E"/>
    <w:rsid w:val="009C4772"/>
    <w:rsid w:val="009C47CC"/>
    <w:rsid w:val="009C47F8"/>
    <w:rsid w:val="009C48FF"/>
    <w:rsid w:val="009C4938"/>
    <w:rsid w:val="009C49EA"/>
    <w:rsid w:val="009C4A32"/>
    <w:rsid w:val="009C4A9A"/>
    <w:rsid w:val="009C4AE9"/>
    <w:rsid w:val="009C4B9F"/>
    <w:rsid w:val="009C4BCE"/>
    <w:rsid w:val="009C4BD8"/>
    <w:rsid w:val="009C4C1E"/>
    <w:rsid w:val="009C4C6D"/>
    <w:rsid w:val="009C4CAD"/>
    <w:rsid w:val="009C4DAC"/>
    <w:rsid w:val="009C4DE9"/>
    <w:rsid w:val="009C4DEC"/>
    <w:rsid w:val="009C4E35"/>
    <w:rsid w:val="009C4EB9"/>
    <w:rsid w:val="009C4EC8"/>
    <w:rsid w:val="009C5094"/>
    <w:rsid w:val="009C50BD"/>
    <w:rsid w:val="009C52D4"/>
    <w:rsid w:val="009C5347"/>
    <w:rsid w:val="009C537C"/>
    <w:rsid w:val="009C53C1"/>
    <w:rsid w:val="009C5436"/>
    <w:rsid w:val="009C54D4"/>
    <w:rsid w:val="009C5567"/>
    <w:rsid w:val="009C56F7"/>
    <w:rsid w:val="009C587E"/>
    <w:rsid w:val="009C5942"/>
    <w:rsid w:val="009C59B8"/>
    <w:rsid w:val="009C5A61"/>
    <w:rsid w:val="009C5B4B"/>
    <w:rsid w:val="009C5BDD"/>
    <w:rsid w:val="009C5C01"/>
    <w:rsid w:val="009C5C76"/>
    <w:rsid w:val="009C5C78"/>
    <w:rsid w:val="009C5C90"/>
    <w:rsid w:val="009C5C9A"/>
    <w:rsid w:val="009C5D6F"/>
    <w:rsid w:val="009C5D99"/>
    <w:rsid w:val="009C5EF8"/>
    <w:rsid w:val="009C5F04"/>
    <w:rsid w:val="009C6001"/>
    <w:rsid w:val="009C6128"/>
    <w:rsid w:val="009C6152"/>
    <w:rsid w:val="009C62CE"/>
    <w:rsid w:val="009C62E5"/>
    <w:rsid w:val="009C6326"/>
    <w:rsid w:val="009C63A7"/>
    <w:rsid w:val="009C63C2"/>
    <w:rsid w:val="009C6480"/>
    <w:rsid w:val="009C654B"/>
    <w:rsid w:val="009C6582"/>
    <w:rsid w:val="009C66AF"/>
    <w:rsid w:val="009C68ED"/>
    <w:rsid w:val="009C6BE4"/>
    <w:rsid w:val="009C6C8F"/>
    <w:rsid w:val="009C6CC4"/>
    <w:rsid w:val="009C6CED"/>
    <w:rsid w:val="009C6D09"/>
    <w:rsid w:val="009C6DFF"/>
    <w:rsid w:val="009C6E73"/>
    <w:rsid w:val="009C6FE4"/>
    <w:rsid w:val="009C7100"/>
    <w:rsid w:val="009C7234"/>
    <w:rsid w:val="009C7353"/>
    <w:rsid w:val="009C7474"/>
    <w:rsid w:val="009C74F8"/>
    <w:rsid w:val="009C75DB"/>
    <w:rsid w:val="009C764A"/>
    <w:rsid w:val="009C7653"/>
    <w:rsid w:val="009C767E"/>
    <w:rsid w:val="009C789D"/>
    <w:rsid w:val="009C78D0"/>
    <w:rsid w:val="009C78D1"/>
    <w:rsid w:val="009C7919"/>
    <w:rsid w:val="009C792C"/>
    <w:rsid w:val="009C7AB5"/>
    <w:rsid w:val="009C7ACB"/>
    <w:rsid w:val="009C7CA8"/>
    <w:rsid w:val="009C7D3D"/>
    <w:rsid w:val="009C7EBD"/>
    <w:rsid w:val="009C7F35"/>
    <w:rsid w:val="009C7F40"/>
    <w:rsid w:val="009D00AC"/>
    <w:rsid w:val="009D0116"/>
    <w:rsid w:val="009D0197"/>
    <w:rsid w:val="009D01E8"/>
    <w:rsid w:val="009D01E9"/>
    <w:rsid w:val="009D0222"/>
    <w:rsid w:val="009D035F"/>
    <w:rsid w:val="009D05DC"/>
    <w:rsid w:val="009D0657"/>
    <w:rsid w:val="009D06B1"/>
    <w:rsid w:val="009D06E2"/>
    <w:rsid w:val="009D06FA"/>
    <w:rsid w:val="009D0777"/>
    <w:rsid w:val="009D0827"/>
    <w:rsid w:val="009D08D0"/>
    <w:rsid w:val="009D09E0"/>
    <w:rsid w:val="009D0A2D"/>
    <w:rsid w:val="009D0A48"/>
    <w:rsid w:val="009D0AFD"/>
    <w:rsid w:val="009D0B57"/>
    <w:rsid w:val="009D0BA1"/>
    <w:rsid w:val="009D0C9A"/>
    <w:rsid w:val="009D0D9E"/>
    <w:rsid w:val="009D0E63"/>
    <w:rsid w:val="009D0F50"/>
    <w:rsid w:val="009D0FA9"/>
    <w:rsid w:val="009D1102"/>
    <w:rsid w:val="009D1115"/>
    <w:rsid w:val="009D1128"/>
    <w:rsid w:val="009D11DB"/>
    <w:rsid w:val="009D1273"/>
    <w:rsid w:val="009D12A5"/>
    <w:rsid w:val="009D1388"/>
    <w:rsid w:val="009D1462"/>
    <w:rsid w:val="009D1471"/>
    <w:rsid w:val="009D14A9"/>
    <w:rsid w:val="009D14C0"/>
    <w:rsid w:val="009D15AA"/>
    <w:rsid w:val="009D15D2"/>
    <w:rsid w:val="009D1896"/>
    <w:rsid w:val="009D18A4"/>
    <w:rsid w:val="009D1936"/>
    <w:rsid w:val="009D1986"/>
    <w:rsid w:val="009D19AC"/>
    <w:rsid w:val="009D1A4E"/>
    <w:rsid w:val="009D1AF2"/>
    <w:rsid w:val="009D1B10"/>
    <w:rsid w:val="009D1B1D"/>
    <w:rsid w:val="009D1B38"/>
    <w:rsid w:val="009D1B8B"/>
    <w:rsid w:val="009D1BC3"/>
    <w:rsid w:val="009D1C96"/>
    <w:rsid w:val="009D1DA8"/>
    <w:rsid w:val="009D1E88"/>
    <w:rsid w:val="009D1F0D"/>
    <w:rsid w:val="009D1FA4"/>
    <w:rsid w:val="009D2142"/>
    <w:rsid w:val="009D230E"/>
    <w:rsid w:val="009D2315"/>
    <w:rsid w:val="009D245A"/>
    <w:rsid w:val="009D24BB"/>
    <w:rsid w:val="009D2503"/>
    <w:rsid w:val="009D252D"/>
    <w:rsid w:val="009D25BF"/>
    <w:rsid w:val="009D2612"/>
    <w:rsid w:val="009D2617"/>
    <w:rsid w:val="009D262D"/>
    <w:rsid w:val="009D264B"/>
    <w:rsid w:val="009D2898"/>
    <w:rsid w:val="009D29A1"/>
    <w:rsid w:val="009D29A9"/>
    <w:rsid w:val="009D2B82"/>
    <w:rsid w:val="009D2B88"/>
    <w:rsid w:val="009D2BC0"/>
    <w:rsid w:val="009D2CC5"/>
    <w:rsid w:val="009D2D15"/>
    <w:rsid w:val="009D2DB0"/>
    <w:rsid w:val="009D2F52"/>
    <w:rsid w:val="009D3080"/>
    <w:rsid w:val="009D316F"/>
    <w:rsid w:val="009D317A"/>
    <w:rsid w:val="009D321F"/>
    <w:rsid w:val="009D337B"/>
    <w:rsid w:val="009D33CC"/>
    <w:rsid w:val="009D3472"/>
    <w:rsid w:val="009D3493"/>
    <w:rsid w:val="009D35B1"/>
    <w:rsid w:val="009D3833"/>
    <w:rsid w:val="009D3863"/>
    <w:rsid w:val="009D395E"/>
    <w:rsid w:val="009D3A6B"/>
    <w:rsid w:val="009D3BFD"/>
    <w:rsid w:val="009D3D0B"/>
    <w:rsid w:val="009D3E2C"/>
    <w:rsid w:val="009D3EEB"/>
    <w:rsid w:val="009D3EF8"/>
    <w:rsid w:val="009D3F0D"/>
    <w:rsid w:val="009D3F76"/>
    <w:rsid w:val="009D404E"/>
    <w:rsid w:val="009D413B"/>
    <w:rsid w:val="009D417B"/>
    <w:rsid w:val="009D418E"/>
    <w:rsid w:val="009D4479"/>
    <w:rsid w:val="009D447F"/>
    <w:rsid w:val="009D451D"/>
    <w:rsid w:val="009D4572"/>
    <w:rsid w:val="009D470B"/>
    <w:rsid w:val="009D4747"/>
    <w:rsid w:val="009D4837"/>
    <w:rsid w:val="009D48B0"/>
    <w:rsid w:val="009D496D"/>
    <w:rsid w:val="009D49D4"/>
    <w:rsid w:val="009D4A07"/>
    <w:rsid w:val="009D4A3B"/>
    <w:rsid w:val="009D4A95"/>
    <w:rsid w:val="009D4B4D"/>
    <w:rsid w:val="009D4C60"/>
    <w:rsid w:val="009D4C61"/>
    <w:rsid w:val="009D4CBB"/>
    <w:rsid w:val="009D4DC5"/>
    <w:rsid w:val="009D4F16"/>
    <w:rsid w:val="009D5061"/>
    <w:rsid w:val="009D50A4"/>
    <w:rsid w:val="009D51CC"/>
    <w:rsid w:val="009D51E7"/>
    <w:rsid w:val="009D5201"/>
    <w:rsid w:val="009D5296"/>
    <w:rsid w:val="009D535C"/>
    <w:rsid w:val="009D536D"/>
    <w:rsid w:val="009D537C"/>
    <w:rsid w:val="009D54FB"/>
    <w:rsid w:val="009D5625"/>
    <w:rsid w:val="009D5680"/>
    <w:rsid w:val="009D584D"/>
    <w:rsid w:val="009D586F"/>
    <w:rsid w:val="009D58D6"/>
    <w:rsid w:val="009D58F4"/>
    <w:rsid w:val="009D590B"/>
    <w:rsid w:val="009D591D"/>
    <w:rsid w:val="009D596B"/>
    <w:rsid w:val="009D5A2A"/>
    <w:rsid w:val="009D5B14"/>
    <w:rsid w:val="009D5CD2"/>
    <w:rsid w:val="009D5E16"/>
    <w:rsid w:val="009D5E81"/>
    <w:rsid w:val="009D5F39"/>
    <w:rsid w:val="009D6412"/>
    <w:rsid w:val="009D6434"/>
    <w:rsid w:val="009D6488"/>
    <w:rsid w:val="009D64D6"/>
    <w:rsid w:val="009D65AF"/>
    <w:rsid w:val="009D65CF"/>
    <w:rsid w:val="009D675B"/>
    <w:rsid w:val="009D676B"/>
    <w:rsid w:val="009D6775"/>
    <w:rsid w:val="009D677E"/>
    <w:rsid w:val="009D679E"/>
    <w:rsid w:val="009D67E6"/>
    <w:rsid w:val="009D682F"/>
    <w:rsid w:val="009D6937"/>
    <w:rsid w:val="009D69EC"/>
    <w:rsid w:val="009D6A89"/>
    <w:rsid w:val="009D6AE5"/>
    <w:rsid w:val="009D6B73"/>
    <w:rsid w:val="009D6C4E"/>
    <w:rsid w:val="009D6D7C"/>
    <w:rsid w:val="009D6E01"/>
    <w:rsid w:val="009D6E3D"/>
    <w:rsid w:val="009D6E84"/>
    <w:rsid w:val="009D6E9C"/>
    <w:rsid w:val="009D7265"/>
    <w:rsid w:val="009D7303"/>
    <w:rsid w:val="009D7330"/>
    <w:rsid w:val="009D7585"/>
    <w:rsid w:val="009D7780"/>
    <w:rsid w:val="009D779A"/>
    <w:rsid w:val="009D78AE"/>
    <w:rsid w:val="009D79AF"/>
    <w:rsid w:val="009D7A0A"/>
    <w:rsid w:val="009D7C44"/>
    <w:rsid w:val="009D7C80"/>
    <w:rsid w:val="009D7D07"/>
    <w:rsid w:val="009D7E3F"/>
    <w:rsid w:val="009D7EB4"/>
    <w:rsid w:val="009E00E4"/>
    <w:rsid w:val="009E0218"/>
    <w:rsid w:val="009E0297"/>
    <w:rsid w:val="009E02C8"/>
    <w:rsid w:val="009E045B"/>
    <w:rsid w:val="009E050E"/>
    <w:rsid w:val="009E06DF"/>
    <w:rsid w:val="009E077C"/>
    <w:rsid w:val="009E0793"/>
    <w:rsid w:val="009E07E7"/>
    <w:rsid w:val="009E0807"/>
    <w:rsid w:val="009E08D8"/>
    <w:rsid w:val="009E0A23"/>
    <w:rsid w:val="009E0A42"/>
    <w:rsid w:val="009E0B64"/>
    <w:rsid w:val="009E0BAD"/>
    <w:rsid w:val="009E0BC9"/>
    <w:rsid w:val="009E0BD9"/>
    <w:rsid w:val="009E0D6C"/>
    <w:rsid w:val="009E0E2E"/>
    <w:rsid w:val="009E0EF5"/>
    <w:rsid w:val="009E0F1F"/>
    <w:rsid w:val="009E0F45"/>
    <w:rsid w:val="009E0FAC"/>
    <w:rsid w:val="009E10ED"/>
    <w:rsid w:val="009E12FC"/>
    <w:rsid w:val="009E138C"/>
    <w:rsid w:val="009E1416"/>
    <w:rsid w:val="009E143B"/>
    <w:rsid w:val="009E1501"/>
    <w:rsid w:val="009E16E1"/>
    <w:rsid w:val="009E17B9"/>
    <w:rsid w:val="009E18EA"/>
    <w:rsid w:val="009E1A0F"/>
    <w:rsid w:val="009E1A4B"/>
    <w:rsid w:val="009E1A95"/>
    <w:rsid w:val="009E1BCC"/>
    <w:rsid w:val="009E1C88"/>
    <w:rsid w:val="009E1D8B"/>
    <w:rsid w:val="009E1DD8"/>
    <w:rsid w:val="009E1F1D"/>
    <w:rsid w:val="009E1F2D"/>
    <w:rsid w:val="009E2085"/>
    <w:rsid w:val="009E20E7"/>
    <w:rsid w:val="009E210A"/>
    <w:rsid w:val="009E2221"/>
    <w:rsid w:val="009E2337"/>
    <w:rsid w:val="009E233C"/>
    <w:rsid w:val="009E235E"/>
    <w:rsid w:val="009E239E"/>
    <w:rsid w:val="009E23FD"/>
    <w:rsid w:val="009E24B3"/>
    <w:rsid w:val="009E24DB"/>
    <w:rsid w:val="009E2526"/>
    <w:rsid w:val="009E252D"/>
    <w:rsid w:val="009E2555"/>
    <w:rsid w:val="009E25E4"/>
    <w:rsid w:val="009E2678"/>
    <w:rsid w:val="009E275C"/>
    <w:rsid w:val="009E2881"/>
    <w:rsid w:val="009E2945"/>
    <w:rsid w:val="009E2B35"/>
    <w:rsid w:val="009E2C56"/>
    <w:rsid w:val="009E2D5B"/>
    <w:rsid w:val="009E2DA3"/>
    <w:rsid w:val="009E2F88"/>
    <w:rsid w:val="009E30CC"/>
    <w:rsid w:val="009E30D4"/>
    <w:rsid w:val="009E3105"/>
    <w:rsid w:val="009E31B8"/>
    <w:rsid w:val="009E3372"/>
    <w:rsid w:val="009E3414"/>
    <w:rsid w:val="009E347F"/>
    <w:rsid w:val="009E3631"/>
    <w:rsid w:val="009E3649"/>
    <w:rsid w:val="009E3651"/>
    <w:rsid w:val="009E37ED"/>
    <w:rsid w:val="009E383A"/>
    <w:rsid w:val="009E38F1"/>
    <w:rsid w:val="009E392C"/>
    <w:rsid w:val="009E396C"/>
    <w:rsid w:val="009E3C5B"/>
    <w:rsid w:val="009E3CDC"/>
    <w:rsid w:val="009E3D4A"/>
    <w:rsid w:val="009E3DCA"/>
    <w:rsid w:val="009E3DF3"/>
    <w:rsid w:val="009E3EFF"/>
    <w:rsid w:val="009E3FBC"/>
    <w:rsid w:val="009E4049"/>
    <w:rsid w:val="009E4101"/>
    <w:rsid w:val="009E4226"/>
    <w:rsid w:val="009E44FB"/>
    <w:rsid w:val="009E4517"/>
    <w:rsid w:val="009E485A"/>
    <w:rsid w:val="009E4ADE"/>
    <w:rsid w:val="009E4B20"/>
    <w:rsid w:val="009E4B4A"/>
    <w:rsid w:val="009E4B73"/>
    <w:rsid w:val="009E4C77"/>
    <w:rsid w:val="009E4D8F"/>
    <w:rsid w:val="009E4E31"/>
    <w:rsid w:val="009E4E46"/>
    <w:rsid w:val="009E4F01"/>
    <w:rsid w:val="009E4F46"/>
    <w:rsid w:val="009E5064"/>
    <w:rsid w:val="009E5097"/>
    <w:rsid w:val="009E50CD"/>
    <w:rsid w:val="009E510B"/>
    <w:rsid w:val="009E5186"/>
    <w:rsid w:val="009E547A"/>
    <w:rsid w:val="009E54F6"/>
    <w:rsid w:val="009E5500"/>
    <w:rsid w:val="009E5566"/>
    <w:rsid w:val="009E5697"/>
    <w:rsid w:val="009E5739"/>
    <w:rsid w:val="009E5762"/>
    <w:rsid w:val="009E585F"/>
    <w:rsid w:val="009E5898"/>
    <w:rsid w:val="009E58EE"/>
    <w:rsid w:val="009E5A2E"/>
    <w:rsid w:val="009E5B20"/>
    <w:rsid w:val="009E5B6E"/>
    <w:rsid w:val="009E5C62"/>
    <w:rsid w:val="009E5CB3"/>
    <w:rsid w:val="009E5D08"/>
    <w:rsid w:val="009E601C"/>
    <w:rsid w:val="009E6132"/>
    <w:rsid w:val="009E619F"/>
    <w:rsid w:val="009E61AD"/>
    <w:rsid w:val="009E6222"/>
    <w:rsid w:val="009E6236"/>
    <w:rsid w:val="009E659D"/>
    <w:rsid w:val="009E668A"/>
    <w:rsid w:val="009E6729"/>
    <w:rsid w:val="009E673D"/>
    <w:rsid w:val="009E6813"/>
    <w:rsid w:val="009E68AE"/>
    <w:rsid w:val="009E68D7"/>
    <w:rsid w:val="009E68DE"/>
    <w:rsid w:val="009E6993"/>
    <w:rsid w:val="009E6A13"/>
    <w:rsid w:val="009E6A38"/>
    <w:rsid w:val="009E6C39"/>
    <w:rsid w:val="009E6CB0"/>
    <w:rsid w:val="009E6E9A"/>
    <w:rsid w:val="009E6EE8"/>
    <w:rsid w:val="009E70F1"/>
    <w:rsid w:val="009E72E8"/>
    <w:rsid w:val="009E7363"/>
    <w:rsid w:val="009E73B0"/>
    <w:rsid w:val="009E73DC"/>
    <w:rsid w:val="009E75B3"/>
    <w:rsid w:val="009E7614"/>
    <w:rsid w:val="009E7686"/>
    <w:rsid w:val="009E7767"/>
    <w:rsid w:val="009E77D0"/>
    <w:rsid w:val="009E7907"/>
    <w:rsid w:val="009E7975"/>
    <w:rsid w:val="009E79FC"/>
    <w:rsid w:val="009E7A5B"/>
    <w:rsid w:val="009E7A99"/>
    <w:rsid w:val="009E7AEC"/>
    <w:rsid w:val="009E7B2C"/>
    <w:rsid w:val="009E7B77"/>
    <w:rsid w:val="009E7BF5"/>
    <w:rsid w:val="009E7C41"/>
    <w:rsid w:val="009E7CFB"/>
    <w:rsid w:val="009E7DD6"/>
    <w:rsid w:val="009F0043"/>
    <w:rsid w:val="009F0083"/>
    <w:rsid w:val="009F01F6"/>
    <w:rsid w:val="009F027D"/>
    <w:rsid w:val="009F02D6"/>
    <w:rsid w:val="009F032A"/>
    <w:rsid w:val="009F038C"/>
    <w:rsid w:val="009F07E5"/>
    <w:rsid w:val="009F0860"/>
    <w:rsid w:val="009F0A5F"/>
    <w:rsid w:val="009F0A6A"/>
    <w:rsid w:val="009F0B84"/>
    <w:rsid w:val="009F0C56"/>
    <w:rsid w:val="009F0CC2"/>
    <w:rsid w:val="009F0CEE"/>
    <w:rsid w:val="009F0CF2"/>
    <w:rsid w:val="009F0E5A"/>
    <w:rsid w:val="009F0F2E"/>
    <w:rsid w:val="009F0F96"/>
    <w:rsid w:val="009F1089"/>
    <w:rsid w:val="009F111A"/>
    <w:rsid w:val="009F115F"/>
    <w:rsid w:val="009F1259"/>
    <w:rsid w:val="009F126F"/>
    <w:rsid w:val="009F130F"/>
    <w:rsid w:val="009F1414"/>
    <w:rsid w:val="009F1505"/>
    <w:rsid w:val="009F1520"/>
    <w:rsid w:val="009F1533"/>
    <w:rsid w:val="009F15A7"/>
    <w:rsid w:val="009F1623"/>
    <w:rsid w:val="009F1729"/>
    <w:rsid w:val="009F17CA"/>
    <w:rsid w:val="009F1A71"/>
    <w:rsid w:val="009F1A9A"/>
    <w:rsid w:val="009F1AC4"/>
    <w:rsid w:val="009F1BB9"/>
    <w:rsid w:val="009F1CFA"/>
    <w:rsid w:val="009F1D24"/>
    <w:rsid w:val="009F1D78"/>
    <w:rsid w:val="009F202A"/>
    <w:rsid w:val="009F214D"/>
    <w:rsid w:val="009F2154"/>
    <w:rsid w:val="009F215E"/>
    <w:rsid w:val="009F2167"/>
    <w:rsid w:val="009F2289"/>
    <w:rsid w:val="009F22EF"/>
    <w:rsid w:val="009F2466"/>
    <w:rsid w:val="009F24DD"/>
    <w:rsid w:val="009F256A"/>
    <w:rsid w:val="009F2591"/>
    <w:rsid w:val="009F2656"/>
    <w:rsid w:val="009F279B"/>
    <w:rsid w:val="009F286A"/>
    <w:rsid w:val="009F299F"/>
    <w:rsid w:val="009F29E6"/>
    <w:rsid w:val="009F29F5"/>
    <w:rsid w:val="009F2A59"/>
    <w:rsid w:val="009F2AAC"/>
    <w:rsid w:val="009F2C42"/>
    <w:rsid w:val="009F2CB5"/>
    <w:rsid w:val="009F2CCD"/>
    <w:rsid w:val="009F2D20"/>
    <w:rsid w:val="009F2D78"/>
    <w:rsid w:val="009F2DC1"/>
    <w:rsid w:val="009F2DDE"/>
    <w:rsid w:val="009F2DFE"/>
    <w:rsid w:val="009F2E12"/>
    <w:rsid w:val="009F2E79"/>
    <w:rsid w:val="009F2E86"/>
    <w:rsid w:val="009F2EE2"/>
    <w:rsid w:val="009F2F1C"/>
    <w:rsid w:val="009F2F2E"/>
    <w:rsid w:val="009F2F4B"/>
    <w:rsid w:val="009F3017"/>
    <w:rsid w:val="009F31C7"/>
    <w:rsid w:val="009F3368"/>
    <w:rsid w:val="009F33E6"/>
    <w:rsid w:val="009F33F4"/>
    <w:rsid w:val="009F3410"/>
    <w:rsid w:val="009F3423"/>
    <w:rsid w:val="009F352B"/>
    <w:rsid w:val="009F35B1"/>
    <w:rsid w:val="009F35FA"/>
    <w:rsid w:val="009F3648"/>
    <w:rsid w:val="009F36A9"/>
    <w:rsid w:val="009F381C"/>
    <w:rsid w:val="009F3844"/>
    <w:rsid w:val="009F385B"/>
    <w:rsid w:val="009F393B"/>
    <w:rsid w:val="009F3A1D"/>
    <w:rsid w:val="009F3AC2"/>
    <w:rsid w:val="009F3B7E"/>
    <w:rsid w:val="009F3C05"/>
    <w:rsid w:val="009F3D7E"/>
    <w:rsid w:val="009F3E5E"/>
    <w:rsid w:val="009F3ECE"/>
    <w:rsid w:val="009F4007"/>
    <w:rsid w:val="009F40E5"/>
    <w:rsid w:val="009F40F9"/>
    <w:rsid w:val="009F41D1"/>
    <w:rsid w:val="009F431C"/>
    <w:rsid w:val="009F44BE"/>
    <w:rsid w:val="009F45D6"/>
    <w:rsid w:val="009F45E1"/>
    <w:rsid w:val="009F45FA"/>
    <w:rsid w:val="009F4A5A"/>
    <w:rsid w:val="009F4BB0"/>
    <w:rsid w:val="009F4C4F"/>
    <w:rsid w:val="009F4D75"/>
    <w:rsid w:val="009F4E4E"/>
    <w:rsid w:val="009F4E60"/>
    <w:rsid w:val="009F4ECC"/>
    <w:rsid w:val="009F4EE2"/>
    <w:rsid w:val="009F4F0D"/>
    <w:rsid w:val="009F4F58"/>
    <w:rsid w:val="009F4F72"/>
    <w:rsid w:val="009F4F83"/>
    <w:rsid w:val="009F503F"/>
    <w:rsid w:val="009F5052"/>
    <w:rsid w:val="009F508A"/>
    <w:rsid w:val="009F5121"/>
    <w:rsid w:val="009F515E"/>
    <w:rsid w:val="009F51EA"/>
    <w:rsid w:val="009F51F7"/>
    <w:rsid w:val="009F53E4"/>
    <w:rsid w:val="009F5450"/>
    <w:rsid w:val="009F5459"/>
    <w:rsid w:val="009F547B"/>
    <w:rsid w:val="009F5736"/>
    <w:rsid w:val="009F5764"/>
    <w:rsid w:val="009F57B7"/>
    <w:rsid w:val="009F58A5"/>
    <w:rsid w:val="009F5902"/>
    <w:rsid w:val="009F595C"/>
    <w:rsid w:val="009F5967"/>
    <w:rsid w:val="009F5989"/>
    <w:rsid w:val="009F5A2B"/>
    <w:rsid w:val="009F5BBD"/>
    <w:rsid w:val="009F5BCC"/>
    <w:rsid w:val="009F5D15"/>
    <w:rsid w:val="009F5D3F"/>
    <w:rsid w:val="009F5DE8"/>
    <w:rsid w:val="009F5EA5"/>
    <w:rsid w:val="009F5F48"/>
    <w:rsid w:val="009F6172"/>
    <w:rsid w:val="009F6189"/>
    <w:rsid w:val="009F61E3"/>
    <w:rsid w:val="009F622F"/>
    <w:rsid w:val="009F62E4"/>
    <w:rsid w:val="009F6437"/>
    <w:rsid w:val="009F645C"/>
    <w:rsid w:val="009F657F"/>
    <w:rsid w:val="009F664B"/>
    <w:rsid w:val="009F66A6"/>
    <w:rsid w:val="009F66E5"/>
    <w:rsid w:val="009F6732"/>
    <w:rsid w:val="009F6774"/>
    <w:rsid w:val="009F67E8"/>
    <w:rsid w:val="009F6803"/>
    <w:rsid w:val="009F6804"/>
    <w:rsid w:val="009F6AA6"/>
    <w:rsid w:val="009F6AC4"/>
    <w:rsid w:val="009F6D99"/>
    <w:rsid w:val="009F6E6F"/>
    <w:rsid w:val="009F6EE5"/>
    <w:rsid w:val="009F6F7A"/>
    <w:rsid w:val="009F6FE0"/>
    <w:rsid w:val="009F70B2"/>
    <w:rsid w:val="009F70E6"/>
    <w:rsid w:val="009F711A"/>
    <w:rsid w:val="009F7213"/>
    <w:rsid w:val="009F72A1"/>
    <w:rsid w:val="009F73D3"/>
    <w:rsid w:val="009F73E7"/>
    <w:rsid w:val="009F7418"/>
    <w:rsid w:val="009F74C9"/>
    <w:rsid w:val="009F7541"/>
    <w:rsid w:val="009F7548"/>
    <w:rsid w:val="009F75BF"/>
    <w:rsid w:val="009F7674"/>
    <w:rsid w:val="009F786B"/>
    <w:rsid w:val="009F790E"/>
    <w:rsid w:val="009F7949"/>
    <w:rsid w:val="009F7988"/>
    <w:rsid w:val="009F7A8D"/>
    <w:rsid w:val="009F7D4E"/>
    <w:rsid w:val="009F7DA8"/>
    <w:rsid w:val="009F7DAA"/>
    <w:rsid w:val="009F7E5E"/>
    <w:rsid w:val="00A00064"/>
    <w:rsid w:val="00A0007D"/>
    <w:rsid w:val="00A000FA"/>
    <w:rsid w:val="00A00263"/>
    <w:rsid w:val="00A00266"/>
    <w:rsid w:val="00A002D8"/>
    <w:rsid w:val="00A00508"/>
    <w:rsid w:val="00A00632"/>
    <w:rsid w:val="00A007AC"/>
    <w:rsid w:val="00A007B2"/>
    <w:rsid w:val="00A00812"/>
    <w:rsid w:val="00A00873"/>
    <w:rsid w:val="00A008F1"/>
    <w:rsid w:val="00A00987"/>
    <w:rsid w:val="00A009B4"/>
    <w:rsid w:val="00A009C4"/>
    <w:rsid w:val="00A00B7F"/>
    <w:rsid w:val="00A00B8E"/>
    <w:rsid w:val="00A00C1F"/>
    <w:rsid w:val="00A00D1A"/>
    <w:rsid w:val="00A00DED"/>
    <w:rsid w:val="00A00E3F"/>
    <w:rsid w:val="00A00E71"/>
    <w:rsid w:val="00A00FBA"/>
    <w:rsid w:val="00A010B1"/>
    <w:rsid w:val="00A010D4"/>
    <w:rsid w:val="00A01260"/>
    <w:rsid w:val="00A01474"/>
    <w:rsid w:val="00A014FB"/>
    <w:rsid w:val="00A0158D"/>
    <w:rsid w:val="00A01627"/>
    <w:rsid w:val="00A01670"/>
    <w:rsid w:val="00A01695"/>
    <w:rsid w:val="00A016DE"/>
    <w:rsid w:val="00A0172A"/>
    <w:rsid w:val="00A01975"/>
    <w:rsid w:val="00A01A40"/>
    <w:rsid w:val="00A01AB1"/>
    <w:rsid w:val="00A01B50"/>
    <w:rsid w:val="00A01B9B"/>
    <w:rsid w:val="00A01D05"/>
    <w:rsid w:val="00A01DA2"/>
    <w:rsid w:val="00A01E55"/>
    <w:rsid w:val="00A01ED0"/>
    <w:rsid w:val="00A01F69"/>
    <w:rsid w:val="00A02054"/>
    <w:rsid w:val="00A02083"/>
    <w:rsid w:val="00A020C3"/>
    <w:rsid w:val="00A020D1"/>
    <w:rsid w:val="00A02123"/>
    <w:rsid w:val="00A021B8"/>
    <w:rsid w:val="00A0220C"/>
    <w:rsid w:val="00A02242"/>
    <w:rsid w:val="00A02272"/>
    <w:rsid w:val="00A02369"/>
    <w:rsid w:val="00A023AC"/>
    <w:rsid w:val="00A023DA"/>
    <w:rsid w:val="00A024DC"/>
    <w:rsid w:val="00A0251A"/>
    <w:rsid w:val="00A026FA"/>
    <w:rsid w:val="00A02777"/>
    <w:rsid w:val="00A027B2"/>
    <w:rsid w:val="00A027E1"/>
    <w:rsid w:val="00A02A3B"/>
    <w:rsid w:val="00A02A48"/>
    <w:rsid w:val="00A02A9D"/>
    <w:rsid w:val="00A02AC5"/>
    <w:rsid w:val="00A02B48"/>
    <w:rsid w:val="00A02B55"/>
    <w:rsid w:val="00A02BAE"/>
    <w:rsid w:val="00A02BB4"/>
    <w:rsid w:val="00A02BC1"/>
    <w:rsid w:val="00A02C4D"/>
    <w:rsid w:val="00A02D46"/>
    <w:rsid w:val="00A02DAD"/>
    <w:rsid w:val="00A02EBC"/>
    <w:rsid w:val="00A02EF5"/>
    <w:rsid w:val="00A02F86"/>
    <w:rsid w:val="00A03052"/>
    <w:rsid w:val="00A0305F"/>
    <w:rsid w:val="00A0306C"/>
    <w:rsid w:val="00A0317D"/>
    <w:rsid w:val="00A031DD"/>
    <w:rsid w:val="00A03267"/>
    <w:rsid w:val="00A032BE"/>
    <w:rsid w:val="00A032D8"/>
    <w:rsid w:val="00A0331B"/>
    <w:rsid w:val="00A03340"/>
    <w:rsid w:val="00A034D4"/>
    <w:rsid w:val="00A034DB"/>
    <w:rsid w:val="00A03510"/>
    <w:rsid w:val="00A0353E"/>
    <w:rsid w:val="00A03777"/>
    <w:rsid w:val="00A03A74"/>
    <w:rsid w:val="00A03AD6"/>
    <w:rsid w:val="00A03B34"/>
    <w:rsid w:val="00A03B64"/>
    <w:rsid w:val="00A03BCE"/>
    <w:rsid w:val="00A03C10"/>
    <w:rsid w:val="00A03D93"/>
    <w:rsid w:val="00A03D9C"/>
    <w:rsid w:val="00A03E22"/>
    <w:rsid w:val="00A03E25"/>
    <w:rsid w:val="00A03F29"/>
    <w:rsid w:val="00A04004"/>
    <w:rsid w:val="00A04047"/>
    <w:rsid w:val="00A0419D"/>
    <w:rsid w:val="00A042B4"/>
    <w:rsid w:val="00A04319"/>
    <w:rsid w:val="00A04455"/>
    <w:rsid w:val="00A044B3"/>
    <w:rsid w:val="00A0450F"/>
    <w:rsid w:val="00A0451B"/>
    <w:rsid w:val="00A0475D"/>
    <w:rsid w:val="00A048B4"/>
    <w:rsid w:val="00A04B03"/>
    <w:rsid w:val="00A04B38"/>
    <w:rsid w:val="00A04EEC"/>
    <w:rsid w:val="00A04FD5"/>
    <w:rsid w:val="00A0513B"/>
    <w:rsid w:val="00A05144"/>
    <w:rsid w:val="00A051BA"/>
    <w:rsid w:val="00A05271"/>
    <w:rsid w:val="00A052B1"/>
    <w:rsid w:val="00A053B5"/>
    <w:rsid w:val="00A05416"/>
    <w:rsid w:val="00A054B7"/>
    <w:rsid w:val="00A054D6"/>
    <w:rsid w:val="00A055FF"/>
    <w:rsid w:val="00A0582F"/>
    <w:rsid w:val="00A058BE"/>
    <w:rsid w:val="00A05956"/>
    <w:rsid w:val="00A05985"/>
    <w:rsid w:val="00A05A66"/>
    <w:rsid w:val="00A05A78"/>
    <w:rsid w:val="00A05AF6"/>
    <w:rsid w:val="00A05B05"/>
    <w:rsid w:val="00A05B54"/>
    <w:rsid w:val="00A05C0A"/>
    <w:rsid w:val="00A05C21"/>
    <w:rsid w:val="00A05C71"/>
    <w:rsid w:val="00A05E99"/>
    <w:rsid w:val="00A05EF4"/>
    <w:rsid w:val="00A05FD4"/>
    <w:rsid w:val="00A0609A"/>
    <w:rsid w:val="00A06220"/>
    <w:rsid w:val="00A06424"/>
    <w:rsid w:val="00A06617"/>
    <w:rsid w:val="00A0665C"/>
    <w:rsid w:val="00A067DF"/>
    <w:rsid w:val="00A06901"/>
    <w:rsid w:val="00A069E9"/>
    <w:rsid w:val="00A06B2D"/>
    <w:rsid w:val="00A06C64"/>
    <w:rsid w:val="00A06CA1"/>
    <w:rsid w:val="00A06CB3"/>
    <w:rsid w:val="00A06CC2"/>
    <w:rsid w:val="00A06CD8"/>
    <w:rsid w:val="00A06D32"/>
    <w:rsid w:val="00A06ECC"/>
    <w:rsid w:val="00A06ECD"/>
    <w:rsid w:val="00A06EF9"/>
    <w:rsid w:val="00A06FB5"/>
    <w:rsid w:val="00A070CA"/>
    <w:rsid w:val="00A07149"/>
    <w:rsid w:val="00A07160"/>
    <w:rsid w:val="00A0717A"/>
    <w:rsid w:val="00A072B2"/>
    <w:rsid w:val="00A07448"/>
    <w:rsid w:val="00A076AF"/>
    <w:rsid w:val="00A07791"/>
    <w:rsid w:val="00A077BE"/>
    <w:rsid w:val="00A07847"/>
    <w:rsid w:val="00A07A49"/>
    <w:rsid w:val="00A07A8A"/>
    <w:rsid w:val="00A07B0C"/>
    <w:rsid w:val="00A07BA0"/>
    <w:rsid w:val="00A07C7D"/>
    <w:rsid w:val="00A07CC5"/>
    <w:rsid w:val="00A07E45"/>
    <w:rsid w:val="00A07F74"/>
    <w:rsid w:val="00A07FDE"/>
    <w:rsid w:val="00A100E5"/>
    <w:rsid w:val="00A1044B"/>
    <w:rsid w:val="00A10582"/>
    <w:rsid w:val="00A105D9"/>
    <w:rsid w:val="00A1061D"/>
    <w:rsid w:val="00A10C6E"/>
    <w:rsid w:val="00A10E24"/>
    <w:rsid w:val="00A10E2C"/>
    <w:rsid w:val="00A10ED0"/>
    <w:rsid w:val="00A10FF8"/>
    <w:rsid w:val="00A11052"/>
    <w:rsid w:val="00A110CC"/>
    <w:rsid w:val="00A110DD"/>
    <w:rsid w:val="00A110E6"/>
    <w:rsid w:val="00A11189"/>
    <w:rsid w:val="00A11288"/>
    <w:rsid w:val="00A113E2"/>
    <w:rsid w:val="00A11563"/>
    <w:rsid w:val="00A11584"/>
    <w:rsid w:val="00A1177D"/>
    <w:rsid w:val="00A1180E"/>
    <w:rsid w:val="00A11932"/>
    <w:rsid w:val="00A1194A"/>
    <w:rsid w:val="00A11980"/>
    <w:rsid w:val="00A11A24"/>
    <w:rsid w:val="00A11A78"/>
    <w:rsid w:val="00A11BC9"/>
    <w:rsid w:val="00A11C40"/>
    <w:rsid w:val="00A11C78"/>
    <w:rsid w:val="00A11D22"/>
    <w:rsid w:val="00A11E0E"/>
    <w:rsid w:val="00A11E42"/>
    <w:rsid w:val="00A12010"/>
    <w:rsid w:val="00A122BF"/>
    <w:rsid w:val="00A12301"/>
    <w:rsid w:val="00A124FF"/>
    <w:rsid w:val="00A12545"/>
    <w:rsid w:val="00A125DE"/>
    <w:rsid w:val="00A125EC"/>
    <w:rsid w:val="00A126A7"/>
    <w:rsid w:val="00A126EB"/>
    <w:rsid w:val="00A12779"/>
    <w:rsid w:val="00A129F3"/>
    <w:rsid w:val="00A12A9D"/>
    <w:rsid w:val="00A12B24"/>
    <w:rsid w:val="00A12B70"/>
    <w:rsid w:val="00A12BCD"/>
    <w:rsid w:val="00A12C27"/>
    <w:rsid w:val="00A12E1C"/>
    <w:rsid w:val="00A12E6B"/>
    <w:rsid w:val="00A12EA9"/>
    <w:rsid w:val="00A13131"/>
    <w:rsid w:val="00A13137"/>
    <w:rsid w:val="00A13161"/>
    <w:rsid w:val="00A1322C"/>
    <w:rsid w:val="00A13299"/>
    <w:rsid w:val="00A133E8"/>
    <w:rsid w:val="00A1347E"/>
    <w:rsid w:val="00A13494"/>
    <w:rsid w:val="00A13508"/>
    <w:rsid w:val="00A1350E"/>
    <w:rsid w:val="00A1351A"/>
    <w:rsid w:val="00A136E5"/>
    <w:rsid w:val="00A1377E"/>
    <w:rsid w:val="00A13794"/>
    <w:rsid w:val="00A137CC"/>
    <w:rsid w:val="00A13900"/>
    <w:rsid w:val="00A13A03"/>
    <w:rsid w:val="00A13A35"/>
    <w:rsid w:val="00A13A8E"/>
    <w:rsid w:val="00A13A99"/>
    <w:rsid w:val="00A13D5F"/>
    <w:rsid w:val="00A13DF2"/>
    <w:rsid w:val="00A13E3B"/>
    <w:rsid w:val="00A13ED8"/>
    <w:rsid w:val="00A13EDE"/>
    <w:rsid w:val="00A13F56"/>
    <w:rsid w:val="00A13FAB"/>
    <w:rsid w:val="00A14049"/>
    <w:rsid w:val="00A14061"/>
    <w:rsid w:val="00A1416E"/>
    <w:rsid w:val="00A141A7"/>
    <w:rsid w:val="00A1420F"/>
    <w:rsid w:val="00A14260"/>
    <w:rsid w:val="00A142D4"/>
    <w:rsid w:val="00A14343"/>
    <w:rsid w:val="00A14360"/>
    <w:rsid w:val="00A143C3"/>
    <w:rsid w:val="00A144C0"/>
    <w:rsid w:val="00A1452E"/>
    <w:rsid w:val="00A14864"/>
    <w:rsid w:val="00A1495E"/>
    <w:rsid w:val="00A14A83"/>
    <w:rsid w:val="00A14AB4"/>
    <w:rsid w:val="00A14B2F"/>
    <w:rsid w:val="00A14BC6"/>
    <w:rsid w:val="00A14C5B"/>
    <w:rsid w:val="00A14D5D"/>
    <w:rsid w:val="00A14DB2"/>
    <w:rsid w:val="00A14E27"/>
    <w:rsid w:val="00A14EAE"/>
    <w:rsid w:val="00A14EEF"/>
    <w:rsid w:val="00A14F35"/>
    <w:rsid w:val="00A14F4F"/>
    <w:rsid w:val="00A14FA5"/>
    <w:rsid w:val="00A15017"/>
    <w:rsid w:val="00A1507F"/>
    <w:rsid w:val="00A151C4"/>
    <w:rsid w:val="00A1521F"/>
    <w:rsid w:val="00A1524F"/>
    <w:rsid w:val="00A152D7"/>
    <w:rsid w:val="00A1530C"/>
    <w:rsid w:val="00A1534D"/>
    <w:rsid w:val="00A1549D"/>
    <w:rsid w:val="00A154CA"/>
    <w:rsid w:val="00A1557D"/>
    <w:rsid w:val="00A155AA"/>
    <w:rsid w:val="00A15672"/>
    <w:rsid w:val="00A15709"/>
    <w:rsid w:val="00A15779"/>
    <w:rsid w:val="00A157CF"/>
    <w:rsid w:val="00A158FB"/>
    <w:rsid w:val="00A1592E"/>
    <w:rsid w:val="00A15C48"/>
    <w:rsid w:val="00A15D0A"/>
    <w:rsid w:val="00A15D5F"/>
    <w:rsid w:val="00A15D62"/>
    <w:rsid w:val="00A15EA8"/>
    <w:rsid w:val="00A1602A"/>
    <w:rsid w:val="00A160F8"/>
    <w:rsid w:val="00A16182"/>
    <w:rsid w:val="00A16259"/>
    <w:rsid w:val="00A1625C"/>
    <w:rsid w:val="00A16264"/>
    <w:rsid w:val="00A1633D"/>
    <w:rsid w:val="00A16353"/>
    <w:rsid w:val="00A165C4"/>
    <w:rsid w:val="00A166F7"/>
    <w:rsid w:val="00A1672E"/>
    <w:rsid w:val="00A1688C"/>
    <w:rsid w:val="00A16D0D"/>
    <w:rsid w:val="00A16E2B"/>
    <w:rsid w:val="00A16E9E"/>
    <w:rsid w:val="00A16EBF"/>
    <w:rsid w:val="00A16FA1"/>
    <w:rsid w:val="00A17016"/>
    <w:rsid w:val="00A17022"/>
    <w:rsid w:val="00A170AC"/>
    <w:rsid w:val="00A172A0"/>
    <w:rsid w:val="00A17409"/>
    <w:rsid w:val="00A1744D"/>
    <w:rsid w:val="00A1745B"/>
    <w:rsid w:val="00A1748B"/>
    <w:rsid w:val="00A174A1"/>
    <w:rsid w:val="00A174BE"/>
    <w:rsid w:val="00A174E0"/>
    <w:rsid w:val="00A177AD"/>
    <w:rsid w:val="00A17827"/>
    <w:rsid w:val="00A179B7"/>
    <w:rsid w:val="00A17A3C"/>
    <w:rsid w:val="00A17A8D"/>
    <w:rsid w:val="00A17BAD"/>
    <w:rsid w:val="00A17BB0"/>
    <w:rsid w:val="00A17BD9"/>
    <w:rsid w:val="00A17BEE"/>
    <w:rsid w:val="00A17CCF"/>
    <w:rsid w:val="00A17D10"/>
    <w:rsid w:val="00A17D3B"/>
    <w:rsid w:val="00A17E69"/>
    <w:rsid w:val="00A17EAE"/>
    <w:rsid w:val="00A17F22"/>
    <w:rsid w:val="00A17FF0"/>
    <w:rsid w:val="00A20030"/>
    <w:rsid w:val="00A200A0"/>
    <w:rsid w:val="00A20162"/>
    <w:rsid w:val="00A2021E"/>
    <w:rsid w:val="00A20233"/>
    <w:rsid w:val="00A20235"/>
    <w:rsid w:val="00A2029F"/>
    <w:rsid w:val="00A202D6"/>
    <w:rsid w:val="00A20302"/>
    <w:rsid w:val="00A20367"/>
    <w:rsid w:val="00A203C9"/>
    <w:rsid w:val="00A204D3"/>
    <w:rsid w:val="00A20659"/>
    <w:rsid w:val="00A2066E"/>
    <w:rsid w:val="00A20689"/>
    <w:rsid w:val="00A2071A"/>
    <w:rsid w:val="00A209EE"/>
    <w:rsid w:val="00A20A4D"/>
    <w:rsid w:val="00A20B4B"/>
    <w:rsid w:val="00A20B75"/>
    <w:rsid w:val="00A20CB3"/>
    <w:rsid w:val="00A20E54"/>
    <w:rsid w:val="00A20E79"/>
    <w:rsid w:val="00A20F02"/>
    <w:rsid w:val="00A21244"/>
    <w:rsid w:val="00A212C6"/>
    <w:rsid w:val="00A21357"/>
    <w:rsid w:val="00A213AB"/>
    <w:rsid w:val="00A213B9"/>
    <w:rsid w:val="00A21432"/>
    <w:rsid w:val="00A2157E"/>
    <w:rsid w:val="00A215B3"/>
    <w:rsid w:val="00A2169C"/>
    <w:rsid w:val="00A216C3"/>
    <w:rsid w:val="00A21710"/>
    <w:rsid w:val="00A21752"/>
    <w:rsid w:val="00A21845"/>
    <w:rsid w:val="00A218F6"/>
    <w:rsid w:val="00A219B8"/>
    <w:rsid w:val="00A219CC"/>
    <w:rsid w:val="00A21A32"/>
    <w:rsid w:val="00A21B4D"/>
    <w:rsid w:val="00A21C16"/>
    <w:rsid w:val="00A21C1E"/>
    <w:rsid w:val="00A21D62"/>
    <w:rsid w:val="00A21DB8"/>
    <w:rsid w:val="00A21FFC"/>
    <w:rsid w:val="00A22109"/>
    <w:rsid w:val="00A2214E"/>
    <w:rsid w:val="00A22246"/>
    <w:rsid w:val="00A22268"/>
    <w:rsid w:val="00A22315"/>
    <w:rsid w:val="00A22643"/>
    <w:rsid w:val="00A2289E"/>
    <w:rsid w:val="00A22918"/>
    <w:rsid w:val="00A22939"/>
    <w:rsid w:val="00A22962"/>
    <w:rsid w:val="00A22A38"/>
    <w:rsid w:val="00A22C16"/>
    <w:rsid w:val="00A22CCD"/>
    <w:rsid w:val="00A22DCE"/>
    <w:rsid w:val="00A22DE1"/>
    <w:rsid w:val="00A22EDD"/>
    <w:rsid w:val="00A22F29"/>
    <w:rsid w:val="00A22F49"/>
    <w:rsid w:val="00A22FCA"/>
    <w:rsid w:val="00A23075"/>
    <w:rsid w:val="00A23154"/>
    <w:rsid w:val="00A231F4"/>
    <w:rsid w:val="00A23348"/>
    <w:rsid w:val="00A2341B"/>
    <w:rsid w:val="00A23520"/>
    <w:rsid w:val="00A235A9"/>
    <w:rsid w:val="00A23908"/>
    <w:rsid w:val="00A23A07"/>
    <w:rsid w:val="00A23A08"/>
    <w:rsid w:val="00A23C0E"/>
    <w:rsid w:val="00A23C19"/>
    <w:rsid w:val="00A23C48"/>
    <w:rsid w:val="00A23D18"/>
    <w:rsid w:val="00A23D66"/>
    <w:rsid w:val="00A23DAD"/>
    <w:rsid w:val="00A23E4D"/>
    <w:rsid w:val="00A23E9B"/>
    <w:rsid w:val="00A23F9B"/>
    <w:rsid w:val="00A240E1"/>
    <w:rsid w:val="00A241D5"/>
    <w:rsid w:val="00A24348"/>
    <w:rsid w:val="00A24448"/>
    <w:rsid w:val="00A24456"/>
    <w:rsid w:val="00A24669"/>
    <w:rsid w:val="00A246B0"/>
    <w:rsid w:val="00A246B6"/>
    <w:rsid w:val="00A248A2"/>
    <w:rsid w:val="00A248D0"/>
    <w:rsid w:val="00A2494D"/>
    <w:rsid w:val="00A24B2E"/>
    <w:rsid w:val="00A24DBF"/>
    <w:rsid w:val="00A2505D"/>
    <w:rsid w:val="00A25095"/>
    <w:rsid w:val="00A25105"/>
    <w:rsid w:val="00A2511F"/>
    <w:rsid w:val="00A2517A"/>
    <w:rsid w:val="00A25224"/>
    <w:rsid w:val="00A25228"/>
    <w:rsid w:val="00A2533D"/>
    <w:rsid w:val="00A25565"/>
    <w:rsid w:val="00A256AA"/>
    <w:rsid w:val="00A2580C"/>
    <w:rsid w:val="00A25822"/>
    <w:rsid w:val="00A2595A"/>
    <w:rsid w:val="00A2599E"/>
    <w:rsid w:val="00A259C3"/>
    <w:rsid w:val="00A259F9"/>
    <w:rsid w:val="00A25A5B"/>
    <w:rsid w:val="00A25A81"/>
    <w:rsid w:val="00A25AF5"/>
    <w:rsid w:val="00A25BDF"/>
    <w:rsid w:val="00A25CA5"/>
    <w:rsid w:val="00A25D4E"/>
    <w:rsid w:val="00A25D80"/>
    <w:rsid w:val="00A25D88"/>
    <w:rsid w:val="00A2612E"/>
    <w:rsid w:val="00A26334"/>
    <w:rsid w:val="00A2636D"/>
    <w:rsid w:val="00A2641E"/>
    <w:rsid w:val="00A2643F"/>
    <w:rsid w:val="00A26465"/>
    <w:rsid w:val="00A264A0"/>
    <w:rsid w:val="00A26527"/>
    <w:rsid w:val="00A266CE"/>
    <w:rsid w:val="00A26709"/>
    <w:rsid w:val="00A2672C"/>
    <w:rsid w:val="00A26781"/>
    <w:rsid w:val="00A2689E"/>
    <w:rsid w:val="00A26977"/>
    <w:rsid w:val="00A26B36"/>
    <w:rsid w:val="00A26BE7"/>
    <w:rsid w:val="00A26BF1"/>
    <w:rsid w:val="00A26C1C"/>
    <w:rsid w:val="00A26D03"/>
    <w:rsid w:val="00A26E0D"/>
    <w:rsid w:val="00A26E22"/>
    <w:rsid w:val="00A26F62"/>
    <w:rsid w:val="00A2706E"/>
    <w:rsid w:val="00A27191"/>
    <w:rsid w:val="00A271DE"/>
    <w:rsid w:val="00A2723C"/>
    <w:rsid w:val="00A27257"/>
    <w:rsid w:val="00A273C7"/>
    <w:rsid w:val="00A2779B"/>
    <w:rsid w:val="00A27862"/>
    <w:rsid w:val="00A278C6"/>
    <w:rsid w:val="00A2796A"/>
    <w:rsid w:val="00A27973"/>
    <w:rsid w:val="00A27A08"/>
    <w:rsid w:val="00A27B23"/>
    <w:rsid w:val="00A27B38"/>
    <w:rsid w:val="00A27BDD"/>
    <w:rsid w:val="00A27BE5"/>
    <w:rsid w:val="00A27C0C"/>
    <w:rsid w:val="00A27C78"/>
    <w:rsid w:val="00A27D10"/>
    <w:rsid w:val="00A27E03"/>
    <w:rsid w:val="00A27F10"/>
    <w:rsid w:val="00A27F18"/>
    <w:rsid w:val="00A27F63"/>
    <w:rsid w:val="00A27F79"/>
    <w:rsid w:val="00A27FD1"/>
    <w:rsid w:val="00A30022"/>
    <w:rsid w:val="00A30039"/>
    <w:rsid w:val="00A30069"/>
    <w:rsid w:val="00A30092"/>
    <w:rsid w:val="00A30215"/>
    <w:rsid w:val="00A302BA"/>
    <w:rsid w:val="00A302DC"/>
    <w:rsid w:val="00A3033B"/>
    <w:rsid w:val="00A30377"/>
    <w:rsid w:val="00A303EF"/>
    <w:rsid w:val="00A30628"/>
    <w:rsid w:val="00A306EC"/>
    <w:rsid w:val="00A3071B"/>
    <w:rsid w:val="00A3074B"/>
    <w:rsid w:val="00A307E2"/>
    <w:rsid w:val="00A30878"/>
    <w:rsid w:val="00A308CE"/>
    <w:rsid w:val="00A30901"/>
    <w:rsid w:val="00A30965"/>
    <w:rsid w:val="00A30B5C"/>
    <w:rsid w:val="00A30CF4"/>
    <w:rsid w:val="00A30D3B"/>
    <w:rsid w:val="00A30DB0"/>
    <w:rsid w:val="00A30DC9"/>
    <w:rsid w:val="00A30DE3"/>
    <w:rsid w:val="00A30E0E"/>
    <w:rsid w:val="00A30F94"/>
    <w:rsid w:val="00A30FA0"/>
    <w:rsid w:val="00A30FD9"/>
    <w:rsid w:val="00A3104A"/>
    <w:rsid w:val="00A310E6"/>
    <w:rsid w:val="00A311D0"/>
    <w:rsid w:val="00A313F0"/>
    <w:rsid w:val="00A313F3"/>
    <w:rsid w:val="00A3141E"/>
    <w:rsid w:val="00A314C5"/>
    <w:rsid w:val="00A31550"/>
    <w:rsid w:val="00A315A9"/>
    <w:rsid w:val="00A315CD"/>
    <w:rsid w:val="00A315F0"/>
    <w:rsid w:val="00A316CE"/>
    <w:rsid w:val="00A317D2"/>
    <w:rsid w:val="00A31885"/>
    <w:rsid w:val="00A31A65"/>
    <w:rsid w:val="00A31A72"/>
    <w:rsid w:val="00A31A9F"/>
    <w:rsid w:val="00A31CE6"/>
    <w:rsid w:val="00A31D89"/>
    <w:rsid w:val="00A31F59"/>
    <w:rsid w:val="00A3205E"/>
    <w:rsid w:val="00A322A4"/>
    <w:rsid w:val="00A322D2"/>
    <w:rsid w:val="00A322E0"/>
    <w:rsid w:val="00A324DB"/>
    <w:rsid w:val="00A325A3"/>
    <w:rsid w:val="00A32704"/>
    <w:rsid w:val="00A327E3"/>
    <w:rsid w:val="00A328F2"/>
    <w:rsid w:val="00A32A23"/>
    <w:rsid w:val="00A32AD4"/>
    <w:rsid w:val="00A32CBF"/>
    <w:rsid w:val="00A32D80"/>
    <w:rsid w:val="00A32DE4"/>
    <w:rsid w:val="00A32DED"/>
    <w:rsid w:val="00A32EFF"/>
    <w:rsid w:val="00A33058"/>
    <w:rsid w:val="00A33083"/>
    <w:rsid w:val="00A33160"/>
    <w:rsid w:val="00A3316D"/>
    <w:rsid w:val="00A331B1"/>
    <w:rsid w:val="00A331DA"/>
    <w:rsid w:val="00A3333A"/>
    <w:rsid w:val="00A33362"/>
    <w:rsid w:val="00A3343E"/>
    <w:rsid w:val="00A334F2"/>
    <w:rsid w:val="00A3371C"/>
    <w:rsid w:val="00A3375B"/>
    <w:rsid w:val="00A337D0"/>
    <w:rsid w:val="00A33804"/>
    <w:rsid w:val="00A33859"/>
    <w:rsid w:val="00A33861"/>
    <w:rsid w:val="00A3398C"/>
    <w:rsid w:val="00A339AA"/>
    <w:rsid w:val="00A33A87"/>
    <w:rsid w:val="00A33B03"/>
    <w:rsid w:val="00A33C09"/>
    <w:rsid w:val="00A33C42"/>
    <w:rsid w:val="00A33C9F"/>
    <w:rsid w:val="00A33CD3"/>
    <w:rsid w:val="00A33D6A"/>
    <w:rsid w:val="00A33E07"/>
    <w:rsid w:val="00A33EE9"/>
    <w:rsid w:val="00A33EED"/>
    <w:rsid w:val="00A33FEA"/>
    <w:rsid w:val="00A34097"/>
    <w:rsid w:val="00A3411D"/>
    <w:rsid w:val="00A34250"/>
    <w:rsid w:val="00A34264"/>
    <w:rsid w:val="00A343A9"/>
    <w:rsid w:val="00A343B2"/>
    <w:rsid w:val="00A34531"/>
    <w:rsid w:val="00A34534"/>
    <w:rsid w:val="00A3459F"/>
    <w:rsid w:val="00A345D4"/>
    <w:rsid w:val="00A34698"/>
    <w:rsid w:val="00A34713"/>
    <w:rsid w:val="00A3495E"/>
    <w:rsid w:val="00A349AF"/>
    <w:rsid w:val="00A34A19"/>
    <w:rsid w:val="00A34A33"/>
    <w:rsid w:val="00A34D09"/>
    <w:rsid w:val="00A34D0F"/>
    <w:rsid w:val="00A34D8A"/>
    <w:rsid w:val="00A34E24"/>
    <w:rsid w:val="00A34E32"/>
    <w:rsid w:val="00A34E62"/>
    <w:rsid w:val="00A34FFA"/>
    <w:rsid w:val="00A350E1"/>
    <w:rsid w:val="00A35109"/>
    <w:rsid w:val="00A35155"/>
    <w:rsid w:val="00A35179"/>
    <w:rsid w:val="00A352D1"/>
    <w:rsid w:val="00A35427"/>
    <w:rsid w:val="00A3548C"/>
    <w:rsid w:val="00A35497"/>
    <w:rsid w:val="00A355D5"/>
    <w:rsid w:val="00A355E6"/>
    <w:rsid w:val="00A35745"/>
    <w:rsid w:val="00A358AA"/>
    <w:rsid w:val="00A35A5A"/>
    <w:rsid w:val="00A35A6A"/>
    <w:rsid w:val="00A35A8A"/>
    <w:rsid w:val="00A35AFD"/>
    <w:rsid w:val="00A35BA2"/>
    <w:rsid w:val="00A35C16"/>
    <w:rsid w:val="00A35D6D"/>
    <w:rsid w:val="00A35DA7"/>
    <w:rsid w:val="00A35DBD"/>
    <w:rsid w:val="00A35DDF"/>
    <w:rsid w:val="00A35E36"/>
    <w:rsid w:val="00A35E87"/>
    <w:rsid w:val="00A35ED4"/>
    <w:rsid w:val="00A35F2B"/>
    <w:rsid w:val="00A35FB2"/>
    <w:rsid w:val="00A36127"/>
    <w:rsid w:val="00A36128"/>
    <w:rsid w:val="00A362EF"/>
    <w:rsid w:val="00A3632B"/>
    <w:rsid w:val="00A3639A"/>
    <w:rsid w:val="00A36478"/>
    <w:rsid w:val="00A36627"/>
    <w:rsid w:val="00A3667A"/>
    <w:rsid w:val="00A366A3"/>
    <w:rsid w:val="00A368B1"/>
    <w:rsid w:val="00A369DB"/>
    <w:rsid w:val="00A36C35"/>
    <w:rsid w:val="00A36C87"/>
    <w:rsid w:val="00A36D51"/>
    <w:rsid w:val="00A36E8E"/>
    <w:rsid w:val="00A36EA2"/>
    <w:rsid w:val="00A36F16"/>
    <w:rsid w:val="00A36F22"/>
    <w:rsid w:val="00A3708C"/>
    <w:rsid w:val="00A370A2"/>
    <w:rsid w:val="00A37177"/>
    <w:rsid w:val="00A371BB"/>
    <w:rsid w:val="00A37206"/>
    <w:rsid w:val="00A372F2"/>
    <w:rsid w:val="00A37379"/>
    <w:rsid w:val="00A373E0"/>
    <w:rsid w:val="00A3753E"/>
    <w:rsid w:val="00A37651"/>
    <w:rsid w:val="00A376D1"/>
    <w:rsid w:val="00A37701"/>
    <w:rsid w:val="00A37733"/>
    <w:rsid w:val="00A377A0"/>
    <w:rsid w:val="00A37852"/>
    <w:rsid w:val="00A37864"/>
    <w:rsid w:val="00A37883"/>
    <w:rsid w:val="00A3793D"/>
    <w:rsid w:val="00A37999"/>
    <w:rsid w:val="00A37ABA"/>
    <w:rsid w:val="00A37C00"/>
    <w:rsid w:val="00A37D2C"/>
    <w:rsid w:val="00A37D30"/>
    <w:rsid w:val="00A37D5C"/>
    <w:rsid w:val="00A37E70"/>
    <w:rsid w:val="00A37F74"/>
    <w:rsid w:val="00A400AF"/>
    <w:rsid w:val="00A40104"/>
    <w:rsid w:val="00A401A9"/>
    <w:rsid w:val="00A401C3"/>
    <w:rsid w:val="00A40237"/>
    <w:rsid w:val="00A40248"/>
    <w:rsid w:val="00A40250"/>
    <w:rsid w:val="00A40335"/>
    <w:rsid w:val="00A4036F"/>
    <w:rsid w:val="00A403C4"/>
    <w:rsid w:val="00A40421"/>
    <w:rsid w:val="00A40492"/>
    <w:rsid w:val="00A40538"/>
    <w:rsid w:val="00A40597"/>
    <w:rsid w:val="00A40691"/>
    <w:rsid w:val="00A406D5"/>
    <w:rsid w:val="00A4071F"/>
    <w:rsid w:val="00A407A9"/>
    <w:rsid w:val="00A407D3"/>
    <w:rsid w:val="00A40839"/>
    <w:rsid w:val="00A40851"/>
    <w:rsid w:val="00A40853"/>
    <w:rsid w:val="00A408BB"/>
    <w:rsid w:val="00A40967"/>
    <w:rsid w:val="00A40AFD"/>
    <w:rsid w:val="00A40B1F"/>
    <w:rsid w:val="00A40BC6"/>
    <w:rsid w:val="00A40C0F"/>
    <w:rsid w:val="00A40CB9"/>
    <w:rsid w:val="00A40D36"/>
    <w:rsid w:val="00A40DCC"/>
    <w:rsid w:val="00A40DEA"/>
    <w:rsid w:val="00A40EBC"/>
    <w:rsid w:val="00A4104A"/>
    <w:rsid w:val="00A411CF"/>
    <w:rsid w:val="00A412EE"/>
    <w:rsid w:val="00A41345"/>
    <w:rsid w:val="00A41560"/>
    <w:rsid w:val="00A41592"/>
    <w:rsid w:val="00A415B3"/>
    <w:rsid w:val="00A415D1"/>
    <w:rsid w:val="00A4168D"/>
    <w:rsid w:val="00A41714"/>
    <w:rsid w:val="00A417B8"/>
    <w:rsid w:val="00A417CD"/>
    <w:rsid w:val="00A41828"/>
    <w:rsid w:val="00A419A6"/>
    <w:rsid w:val="00A41A53"/>
    <w:rsid w:val="00A41AA4"/>
    <w:rsid w:val="00A41AB2"/>
    <w:rsid w:val="00A41B27"/>
    <w:rsid w:val="00A41BA3"/>
    <w:rsid w:val="00A41BB9"/>
    <w:rsid w:val="00A41C14"/>
    <w:rsid w:val="00A41D0B"/>
    <w:rsid w:val="00A41D82"/>
    <w:rsid w:val="00A41DB6"/>
    <w:rsid w:val="00A41FB1"/>
    <w:rsid w:val="00A42021"/>
    <w:rsid w:val="00A42022"/>
    <w:rsid w:val="00A42190"/>
    <w:rsid w:val="00A421DC"/>
    <w:rsid w:val="00A42288"/>
    <w:rsid w:val="00A422A0"/>
    <w:rsid w:val="00A424A7"/>
    <w:rsid w:val="00A424AB"/>
    <w:rsid w:val="00A427A7"/>
    <w:rsid w:val="00A4281E"/>
    <w:rsid w:val="00A42998"/>
    <w:rsid w:val="00A42A38"/>
    <w:rsid w:val="00A42A6B"/>
    <w:rsid w:val="00A42BA4"/>
    <w:rsid w:val="00A42D49"/>
    <w:rsid w:val="00A42D6E"/>
    <w:rsid w:val="00A42D6F"/>
    <w:rsid w:val="00A42EA0"/>
    <w:rsid w:val="00A42EE5"/>
    <w:rsid w:val="00A42F95"/>
    <w:rsid w:val="00A4313C"/>
    <w:rsid w:val="00A4317F"/>
    <w:rsid w:val="00A431B8"/>
    <w:rsid w:val="00A4321D"/>
    <w:rsid w:val="00A4327A"/>
    <w:rsid w:val="00A432AE"/>
    <w:rsid w:val="00A433A5"/>
    <w:rsid w:val="00A433AF"/>
    <w:rsid w:val="00A43444"/>
    <w:rsid w:val="00A43670"/>
    <w:rsid w:val="00A436BB"/>
    <w:rsid w:val="00A4377D"/>
    <w:rsid w:val="00A43835"/>
    <w:rsid w:val="00A438A5"/>
    <w:rsid w:val="00A43918"/>
    <w:rsid w:val="00A43926"/>
    <w:rsid w:val="00A43B5E"/>
    <w:rsid w:val="00A43B65"/>
    <w:rsid w:val="00A43BFE"/>
    <w:rsid w:val="00A43CF1"/>
    <w:rsid w:val="00A43D36"/>
    <w:rsid w:val="00A43DC5"/>
    <w:rsid w:val="00A43E40"/>
    <w:rsid w:val="00A43E49"/>
    <w:rsid w:val="00A43E4D"/>
    <w:rsid w:val="00A43ED6"/>
    <w:rsid w:val="00A43FDE"/>
    <w:rsid w:val="00A4405F"/>
    <w:rsid w:val="00A44070"/>
    <w:rsid w:val="00A440B6"/>
    <w:rsid w:val="00A441E2"/>
    <w:rsid w:val="00A442C3"/>
    <w:rsid w:val="00A44316"/>
    <w:rsid w:val="00A443A6"/>
    <w:rsid w:val="00A443A9"/>
    <w:rsid w:val="00A443F4"/>
    <w:rsid w:val="00A444D8"/>
    <w:rsid w:val="00A44650"/>
    <w:rsid w:val="00A4472E"/>
    <w:rsid w:val="00A44762"/>
    <w:rsid w:val="00A447A7"/>
    <w:rsid w:val="00A447AC"/>
    <w:rsid w:val="00A44886"/>
    <w:rsid w:val="00A4488D"/>
    <w:rsid w:val="00A44992"/>
    <w:rsid w:val="00A44A78"/>
    <w:rsid w:val="00A44B62"/>
    <w:rsid w:val="00A44C6C"/>
    <w:rsid w:val="00A44CFB"/>
    <w:rsid w:val="00A44D0D"/>
    <w:rsid w:val="00A44E24"/>
    <w:rsid w:val="00A44F74"/>
    <w:rsid w:val="00A4504C"/>
    <w:rsid w:val="00A45133"/>
    <w:rsid w:val="00A45242"/>
    <w:rsid w:val="00A4525E"/>
    <w:rsid w:val="00A45307"/>
    <w:rsid w:val="00A45346"/>
    <w:rsid w:val="00A4535C"/>
    <w:rsid w:val="00A45383"/>
    <w:rsid w:val="00A45390"/>
    <w:rsid w:val="00A4541B"/>
    <w:rsid w:val="00A45467"/>
    <w:rsid w:val="00A4551D"/>
    <w:rsid w:val="00A455C1"/>
    <w:rsid w:val="00A456BE"/>
    <w:rsid w:val="00A45780"/>
    <w:rsid w:val="00A457FD"/>
    <w:rsid w:val="00A458C7"/>
    <w:rsid w:val="00A458CE"/>
    <w:rsid w:val="00A4596D"/>
    <w:rsid w:val="00A459ED"/>
    <w:rsid w:val="00A45B33"/>
    <w:rsid w:val="00A45B63"/>
    <w:rsid w:val="00A45B8A"/>
    <w:rsid w:val="00A45C78"/>
    <w:rsid w:val="00A45F93"/>
    <w:rsid w:val="00A45FC2"/>
    <w:rsid w:val="00A45FC7"/>
    <w:rsid w:val="00A46138"/>
    <w:rsid w:val="00A4618D"/>
    <w:rsid w:val="00A461BA"/>
    <w:rsid w:val="00A4621B"/>
    <w:rsid w:val="00A4625D"/>
    <w:rsid w:val="00A462F1"/>
    <w:rsid w:val="00A46341"/>
    <w:rsid w:val="00A4635A"/>
    <w:rsid w:val="00A463AF"/>
    <w:rsid w:val="00A463D8"/>
    <w:rsid w:val="00A46453"/>
    <w:rsid w:val="00A46472"/>
    <w:rsid w:val="00A46506"/>
    <w:rsid w:val="00A4655D"/>
    <w:rsid w:val="00A4665C"/>
    <w:rsid w:val="00A46724"/>
    <w:rsid w:val="00A46763"/>
    <w:rsid w:val="00A46769"/>
    <w:rsid w:val="00A4676D"/>
    <w:rsid w:val="00A46818"/>
    <w:rsid w:val="00A469AC"/>
    <w:rsid w:val="00A46B07"/>
    <w:rsid w:val="00A46B3F"/>
    <w:rsid w:val="00A46B9C"/>
    <w:rsid w:val="00A46BC1"/>
    <w:rsid w:val="00A46C7C"/>
    <w:rsid w:val="00A46CC7"/>
    <w:rsid w:val="00A46D17"/>
    <w:rsid w:val="00A46D38"/>
    <w:rsid w:val="00A46E93"/>
    <w:rsid w:val="00A46F67"/>
    <w:rsid w:val="00A4702F"/>
    <w:rsid w:val="00A47165"/>
    <w:rsid w:val="00A471F5"/>
    <w:rsid w:val="00A472C1"/>
    <w:rsid w:val="00A47383"/>
    <w:rsid w:val="00A473A3"/>
    <w:rsid w:val="00A4770A"/>
    <w:rsid w:val="00A47744"/>
    <w:rsid w:val="00A478C7"/>
    <w:rsid w:val="00A478CE"/>
    <w:rsid w:val="00A47914"/>
    <w:rsid w:val="00A47925"/>
    <w:rsid w:val="00A47A4F"/>
    <w:rsid w:val="00A47BEB"/>
    <w:rsid w:val="00A47DFF"/>
    <w:rsid w:val="00A47E01"/>
    <w:rsid w:val="00A47EB6"/>
    <w:rsid w:val="00A47EDB"/>
    <w:rsid w:val="00A500D5"/>
    <w:rsid w:val="00A50145"/>
    <w:rsid w:val="00A50157"/>
    <w:rsid w:val="00A5016B"/>
    <w:rsid w:val="00A501C4"/>
    <w:rsid w:val="00A501D1"/>
    <w:rsid w:val="00A50234"/>
    <w:rsid w:val="00A50279"/>
    <w:rsid w:val="00A5038D"/>
    <w:rsid w:val="00A5039C"/>
    <w:rsid w:val="00A50408"/>
    <w:rsid w:val="00A504DC"/>
    <w:rsid w:val="00A505AC"/>
    <w:rsid w:val="00A505FA"/>
    <w:rsid w:val="00A50677"/>
    <w:rsid w:val="00A50688"/>
    <w:rsid w:val="00A506F6"/>
    <w:rsid w:val="00A50778"/>
    <w:rsid w:val="00A507B8"/>
    <w:rsid w:val="00A507EA"/>
    <w:rsid w:val="00A507FD"/>
    <w:rsid w:val="00A5082D"/>
    <w:rsid w:val="00A50866"/>
    <w:rsid w:val="00A508F8"/>
    <w:rsid w:val="00A50A37"/>
    <w:rsid w:val="00A50B13"/>
    <w:rsid w:val="00A50BA0"/>
    <w:rsid w:val="00A50C64"/>
    <w:rsid w:val="00A50C70"/>
    <w:rsid w:val="00A50CF8"/>
    <w:rsid w:val="00A50F15"/>
    <w:rsid w:val="00A50FCF"/>
    <w:rsid w:val="00A50FED"/>
    <w:rsid w:val="00A51048"/>
    <w:rsid w:val="00A51286"/>
    <w:rsid w:val="00A513DC"/>
    <w:rsid w:val="00A5143B"/>
    <w:rsid w:val="00A51464"/>
    <w:rsid w:val="00A514D9"/>
    <w:rsid w:val="00A5151B"/>
    <w:rsid w:val="00A51572"/>
    <w:rsid w:val="00A51653"/>
    <w:rsid w:val="00A516B1"/>
    <w:rsid w:val="00A516B5"/>
    <w:rsid w:val="00A5171D"/>
    <w:rsid w:val="00A5173F"/>
    <w:rsid w:val="00A5175F"/>
    <w:rsid w:val="00A5183D"/>
    <w:rsid w:val="00A51910"/>
    <w:rsid w:val="00A51B01"/>
    <w:rsid w:val="00A51B1C"/>
    <w:rsid w:val="00A51C80"/>
    <w:rsid w:val="00A51CA7"/>
    <w:rsid w:val="00A51CB2"/>
    <w:rsid w:val="00A51DDB"/>
    <w:rsid w:val="00A51E62"/>
    <w:rsid w:val="00A51EEC"/>
    <w:rsid w:val="00A51EF0"/>
    <w:rsid w:val="00A51FC2"/>
    <w:rsid w:val="00A51FD0"/>
    <w:rsid w:val="00A520B9"/>
    <w:rsid w:val="00A520F4"/>
    <w:rsid w:val="00A52164"/>
    <w:rsid w:val="00A521AD"/>
    <w:rsid w:val="00A521E2"/>
    <w:rsid w:val="00A5223E"/>
    <w:rsid w:val="00A52355"/>
    <w:rsid w:val="00A5236D"/>
    <w:rsid w:val="00A523AD"/>
    <w:rsid w:val="00A523F9"/>
    <w:rsid w:val="00A52429"/>
    <w:rsid w:val="00A52467"/>
    <w:rsid w:val="00A5257E"/>
    <w:rsid w:val="00A5262F"/>
    <w:rsid w:val="00A52649"/>
    <w:rsid w:val="00A526AB"/>
    <w:rsid w:val="00A52775"/>
    <w:rsid w:val="00A52851"/>
    <w:rsid w:val="00A52902"/>
    <w:rsid w:val="00A52935"/>
    <w:rsid w:val="00A52989"/>
    <w:rsid w:val="00A52AC2"/>
    <w:rsid w:val="00A52CAB"/>
    <w:rsid w:val="00A52CE9"/>
    <w:rsid w:val="00A52D0C"/>
    <w:rsid w:val="00A52D9A"/>
    <w:rsid w:val="00A52DE8"/>
    <w:rsid w:val="00A52F64"/>
    <w:rsid w:val="00A52FDC"/>
    <w:rsid w:val="00A5303C"/>
    <w:rsid w:val="00A53045"/>
    <w:rsid w:val="00A53084"/>
    <w:rsid w:val="00A530DD"/>
    <w:rsid w:val="00A530EA"/>
    <w:rsid w:val="00A532F0"/>
    <w:rsid w:val="00A533CB"/>
    <w:rsid w:val="00A5370F"/>
    <w:rsid w:val="00A538CC"/>
    <w:rsid w:val="00A539B0"/>
    <w:rsid w:val="00A539F3"/>
    <w:rsid w:val="00A53B23"/>
    <w:rsid w:val="00A53BE6"/>
    <w:rsid w:val="00A53C63"/>
    <w:rsid w:val="00A53D67"/>
    <w:rsid w:val="00A53D9B"/>
    <w:rsid w:val="00A53DC9"/>
    <w:rsid w:val="00A53E3E"/>
    <w:rsid w:val="00A53E54"/>
    <w:rsid w:val="00A53EBD"/>
    <w:rsid w:val="00A5407A"/>
    <w:rsid w:val="00A540AB"/>
    <w:rsid w:val="00A540CE"/>
    <w:rsid w:val="00A54126"/>
    <w:rsid w:val="00A54184"/>
    <w:rsid w:val="00A541C0"/>
    <w:rsid w:val="00A54241"/>
    <w:rsid w:val="00A54246"/>
    <w:rsid w:val="00A5432C"/>
    <w:rsid w:val="00A5432E"/>
    <w:rsid w:val="00A54620"/>
    <w:rsid w:val="00A5472F"/>
    <w:rsid w:val="00A54748"/>
    <w:rsid w:val="00A54752"/>
    <w:rsid w:val="00A54792"/>
    <w:rsid w:val="00A54794"/>
    <w:rsid w:val="00A547C4"/>
    <w:rsid w:val="00A547E2"/>
    <w:rsid w:val="00A5484D"/>
    <w:rsid w:val="00A54971"/>
    <w:rsid w:val="00A54A08"/>
    <w:rsid w:val="00A54A29"/>
    <w:rsid w:val="00A54AC6"/>
    <w:rsid w:val="00A54B55"/>
    <w:rsid w:val="00A54C3F"/>
    <w:rsid w:val="00A54C5A"/>
    <w:rsid w:val="00A54CCD"/>
    <w:rsid w:val="00A54D1A"/>
    <w:rsid w:val="00A54D3A"/>
    <w:rsid w:val="00A54DCC"/>
    <w:rsid w:val="00A54E18"/>
    <w:rsid w:val="00A54EBC"/>
    <w:rsid w:val="00A54ED6"/>
    <w:rsid w:val="00A5502E"/>
    <w:rsid w:val="00A550EA"/>
    <w:rsid w:val="00A55241"/>
    <w:rsid w:val="00A5524C"/>
    <w:rsid w:val="00A55288"/>
    <w:rsid w:val="00A552F7"/>
    <w:rsid w:val="00A55319"/>
    <w:rsid w:val="00A553D3"/>
    <w:rsid w:val="00A55456"/>
    <w:rsid w:val="00A556BE"/>
    <w:rsid w:val="00A55848"/>
    <w:rsid w:val="00A55852"/>
    <w:rsid w:val="00A55878"/>
    <w:rsid w:val="00A558EC"/>
    <w:rsid w:val="00A55A47"/>
    <w:rsid w:val="00A55A49"/>
    <w:rsid w:val="00A55A9E"/>
    <w:rsid w:val="00A55B24"/>
    <w:rsid w:val="00A55B53"/>
    <w:rsid w:val="00A55C49"/>
    <w:rsid w:val="00A55CF6"/>
    <w:rsid w:val="00A55DA1"/>
    <w:rsid w:val="00A55DFF"/>
    <w:rsid w:val="00A55FF2"/>
    <w:rsid w:val="00A5601E"/>
    <w:rsid w:val="00A5614D"/>
    <w:rsid w:val="00A5615E"/>
    <w:rsid w:val="00A562D8"/>
    <w:rsid w:val="00A563BF"/>
    <w:rsid w:val="00A563CD"/>
    <w:rsid w:val="00A563E5"/>
    <w:rsid w:val="00A5644B"/>
    <w:rsid w:val="00A5649C"/>
    <w:rsid w:val="00A566A5"/>
    <w:rsid w:val="00A5675F"/>
    <w:rsid w:val="00A567CE"/>
    <w:rsid w:val="00A5686C"/>
    <w:rsid w:val="00A568A7"/>
    <w:rsid w:val="00A56976"/>
    <w:rsid w:val="00A56A20"/>
    <w:rsid w:val="00A56A21"/>
    <w:rsid w:val="00A56A2D"/>
    <w:rsid w:val="00A56A31"/>
    <w:rsid w:val="00A56C1D"/>
    <w:rsid w:val="00A56C52"/>
    <w:rsid w:val="00A56CA5"/>
    <w:rsid w:val="00A56D9C"/>
    <w:rsid w:val="00A56DD9"/>
    <w:rsid w:val="00A56F53"/>
    <w:rsid w:val="00A56F89"/>
    <w:rsid w:val="00A56F96"/>
    <w:rsid w:val="00A56FE0"/>
    <w:rsid w:val="00A5703F"/>
    <w:rsid w:val="00A57184"/>
    <w:rsid w:val="00A571A5"/>
    <w:rsid w:val="00A571C3"/>
    <w:rsid w:val="00A57293"/>
    <w:rsid w:val="00A574D8"/>
    <w:rsid w:val="00A5753A"/>
    <w:rsid w:val="00A57568"/>
    <w:rsid w:val="00A57591"/>
    <w:rsid w:val="00A5773D"/>
    <w:rsid w:val="00A577CA"/>
    <w:rsid w:val="00A5781D"/>
    <w:rsid w:val="00A57868"/>
    <w:rsid w:val="00A57871"/>
    <w:rsid w:val="00A5787C"/>
    <w:rsid w:val="00A57944"/>
    <w:rsid w:val="00A57951"/>
    <w:rsid w:val="00A57A85"/>
    <w:rsid w:val="00A57AA1"/>
    <w:rsid w:val="00A57B3E"/>
    <w:rsid w:val="00A57D8B"/>
    <w:rsid w:val="00A57DED"/>
    <w:rsid w:val="00A57E24"/>
    <w:rsid w:val="00A60021"/>
    <w:rsid w:val="00A60325"/>
    <w:rsid w:val="00A603ED"/>
    <w:rsid w:val="00A604F4"/>
    <w:rsid w:val="00A60670"/>
    <w:rsid w:val="00A606AE"/>
    <w:rsid w:val="00A6074D"/>
    <w:rsid w:val="00A607C9"/>
    <w:rsid w:val="00A60990"/>
    <w:rsid w:val="00A60A31"/>
    <w:rsid w:val="00A60AED"/>
    <w:rsid w:val="00A60B0D"/>
    <w:rsid w:val="00A60BB7"/>
    <w:rsid w:val="00A60C60"/>
    <w:rsid w:val="00A60CD6"/>
    <w:rsid w:val="00A60D2C"/>
    <w:rsid w:val="00A60D54"/>
    <w:rsid w:val="00A60E26"/>
    <w:rsid w:val="00A60E57"/>
    <w:rsid w:val="00A60E71"/>
    <w:rsid w:val="00A60ECB"/>
    <w:rsid w:val="00A60F33"/>
    <w:rsid w:val="00A61013"/>
    <w:rsid w:val="00A610A4"/>
    <w:rsid w:val="00A610DF"/>
    <w:rsid w:val="00A61183"/>
    <w:rsid w:val="00A613C3"/>
    <w:rsid w:val="00A6146A"/>
    <w:rsid w:val="00A614F5"/>
    <w:rsid w:val="00A615EB"/>
    <w:rsid w:val="00A61601"/>
    <w:rsid w:val="00A61628"/>
    <w:rsid w:val="00A617AA"/>
    <w:rsid w:val="00A6185B"/>
    <w:rsid w:val="00A618FE"/>
    <w:rsid w:val="00A619CC"/>
    <w:rsid w:val="00A61A0B"/>
    <w:rsid w:val="00A61A24"/>
    <w:rsid w:val="00A61B06"/>
    <w:rsid w:val="00A61B95"/>
    <w:rsid w:val="00A61CF2"/>
    <w:rsid w:val="00A61D1F"/>
    <w:rsid w:val="00A61D45"/>
    <w:rsid w:val="00A61DC1"/>
    <w:rsid w:val="00A61EA8"/>
    <w:rsid w:val="00A61ED0"/>
    <w:rsid w:val="00A61F1B"/>
    <w:rsid w:val="00A61FA4"/>
    <w:rsid w:val="00A61FBF"/>
    <w:rsid w:val="00A6200F"/>
    <w:rsid w:val="00A62022"/>
    <w:rsid w:val="00A620A2"/>
    <w:rsid w:val="00A620B7"/>
    <w:rsid w:val="00A62148"/>
    <w:rsid w:val="00A62223"/>
    <w:rsid w:val="00A623CD"/>
    <w:rsid w:val="00A62489"/>
    <w:rsid w:val="00A624FB"/>
    <w:rsid w:val="00A62581"/>
    <w:rsid w:val="00A625F5"/>
    <w:rsid w:val="00A62686"/>
    <w:rsid w:val="00A6269B"/>
    <w:rsid w:val="00A62765"/>
    <w:rsid w:val="00A6286E"/>
    <w:rsid w:val="00A62ABE"/>
    <w:rsid w:val="00A62C67"/>
    <w:rsid w:val="00A62D44"/>
    <w:rsid w:val="00A62DE2"/>
    <w:rsid w:val="00A62E6F"/>
    <w:rsid w:val="00A62EF7"/>
    <w:rsid w:val="00A62F41"/>
    <w:rsid w:val="00A630A8"/>
    <w:rsid w:val="00A63129"/>
    <w:rsid w:val="00A63213"/>
    <w:rsid w:val="00A6325A"/>
    <w:rsid w:val="00A63305"/>
    <w:rsid w:val="00A63400"/>
    <w:rsid w:val="00A636E7"/>
    <w:rsid w:val="00A6374A"/>
    <w:rsid w:val="00A63797"/>
    <w:rsid w:val="00A6380A"/>
    <w:rsid w:val="00A6391F"/>
    <w:rsid w:val="00A63989"/>
    <w:rsid w:val="00A63A29"/>
    <w:rsid w:val="00A63AF1"/>
    <w:rsid w:val="00A63BBD"/>
    <w:rsid w:val="00A63C54"/>
    <w:rsid w:val="00A63CE1"/>
    <w:rsid w:val="00A63D1F"/>
    <w:rsid w:val="00A63DAF"/>
    <w:rsid w:val="00A63DC9"/>
    <w:rsid w:val="00A63EB8"/>
    <w:rsid w:val="00A63F55"/>
    <w:rsid w:val="00A63F60"/>
    <w:rsid w:val="00A63F9A"/>
    <w:rsid w:val="00A64010"/>
    <w:rsid w:val="00A64065"/>
    <w:rsid w:val="00A641FF"/>
    <w:rsid w:val="00A645D7"/>
    <w:rsid w:val="00A646A2"/>
    <w:rsid w:val="00A64753"/>
    <w:rsid w:val="00A648CC"/>
    <w:rsid w:val="00A6496A"/>
    <w:rsid w:val="00A6497F"/>
    <w:rsid w:val="00A649EF"/>
    <w:rsid w:val="00A64A25"/>
    <w:rsid w:val="00A64A62"/>
    <w:rsid w:val="00A64B07"/>
    <w:rsid w:val="00A64B24"/>
    <w:rsid w:val="00A64B5B"/>
    <w:rsid w:val="00A64C7A"/>
    <w:rsid w:val="00A64C9F"/>
    <w:rsid w:val="00A64D91"/>
    <w:rsid w:val="00A64DBF"/>
    <w:rsid w:val="00A64DF6"/>
    <w:rsid w:val="00A64F19"/>
    <w:rsid w:val="00A64F43"/>
    <w:rsid w:val="00A64FD7"/>
    <w:rsid w:val="00A650D4"/>
    <w:rsid w:val="00A650E9"/>
    <w:rsid w:val="00A65135"/>
    <w:rsid w:val="00A65171"/>
    <w:rsid w:val="00A652AF"/>
    <w:rsid w:val="00A65367"/>
    <w:rsid w:val="00A65450"/>
    <w:rsid w:val="00A6545B"/>
    <w:rsid w:val="00A654E2"/>
    <w:rsid w:val="00A655A0"/>
    <w:rsid w:val="00A655DB"/>
    <w:rsid w:val="00A65610"/>
    <w:rsid w:val="00A6571D"/>
    <w:rsid w:val="00A6574E"/>
    <w:rsid w:val="00A65759"/>
    <w:rsid w:val="00A6576D"/>
    <w:rsid w:val="00A657CE"/>
    <w:rsid w:val="00A65931"/>
    <w:rsid w:val="00A659C5"/>
    <w:rsid w:val="00A659D9"/>
    <w:rsid w:val="00A65BE0"/>
    <w:rsid w:val="00A65BE6"/>
    <w:rsid w:val="00A65DA8"/>
    <w:rsid w:val="00A65DE1"/>
    <w:rsid w:val="00A65F42"/>
    <w:rsid w:val="00A65F85"/>
    <w:rsid w:val="00A65FC5"/>
    <w:rsid w:val="00A66061"/>
    <w:rsid w:val="00A6607F"/>
    <w:rsid w:val="00A66097"/>
    <w:rsid w:val="00A661B6"/>
    <w:rsid w:val="00A662E7"/>
    <w:rsid w:val="00A66313"/>
    <w:rsid w:val="00A66377"/>
    <w:rsid w:val="00A66453"/>
    <w:rsid w:val="00A66575"/>
    <w:rsid w:val="00A6663C"/>
    <w:rsid w:val="00A66758"/>
    <w:rsid w:val="00A667F1"/>
    <w:rsid w:val="00A6680A"/>
    <w:rsid w:val="00A66907"/>
    <w:rsid w:val="00A66961"/>
    <w:rsid w:val="00A66981"/>
    <w:rsid w:val="00A669B0"/>
    <w:rsid w:val="00A669C1"/>
    <w:rsid w:val="00A669F6"/>
    <w:rsid w:val="00A66ADE"/>
    <w:rsid w:val="00A66B09"/>
    <w:rsid w:val="00A66C13"/>
    <w:rsid w:val="00A66C87"/>
    <w:rsid w:val="00A66D3E"/>
    <w:rsid w:val="00A66DE9"/>
    <w:rsid w:val="00A66F3D"/>
    <w:rsid w:val="00A67113"/>
    <w:rsid w:val="00A6712E"/>
    <w:rsid w:val="00A67134"/>
    <w:rsid w:val="00A6713A"/>
    <w:rsid w:val="00A6715A"/>
    <w:rsid w:val="00A671B9"/>
    <w:rsid w:val="00A671F1"/>
    <w:rsid w:val="00A6723B"/>
    <w:rsid w:val="00A6733D"/>
    <w:rsid w:val="00A673E7"/>
    <w:rsid w:val="00A67507"/>
    <w:rsid w:val="00A6755E"/>
    <w:rsid w:val="00A676A6"/>
    <w:rsid w:val="00A67917"/>
    <w:rsid w:val="00A67A6F"/>
    <w:rsid w:val="00A67AB9"/>
    <w:rsid w:val="00A67C03"/>
    <w:rsid w:val="00A67C99"/>
    <w:rsid w:val="00A67CAE"/>
    <w:rsid w:val="00A67D25"/>
    <w:rsid w:val="00A67D6E"/>
    <w:rsid w:val="00A67E9C"/>
    <w:rsid w:val="00A67F15"/>
    <w:rsid w:val="00A67F5A"/>
    <w:rsid w:val="00A67F6C"/>
    <w:rsid w:val="00A67FB5"/>
    <w:rsid w:val="00A67FE3"/>
    <w:rsid w:val="00A70085"/>
    <w:rsid w:val="00A70198"/>
    <w:rsid w:val="00A701C7"/>
    <w:rsid w:val="00A70263"/>
    <w:rsid w:val="00A70281"/>
    <w:rsid w:val="00A70282"/>
    <w:rsid w:val="00A702DD"/>
    <w:rsid w:val="00A70410"/>
    <w:rsid w:val="00A704C1"/>
    <w:rsid w:val="00A7065E"/>
    <w:rsid w:val="00A707D5"/>
    <w:rsid w:val="00A70920"/>
    <w:rsid w:val="00A70970"/>
    <w:rsid w:val="00A70977"/>
    <w:rsid w:val="00A709B9"/>
    <w:rsid w:val="00A709C6"/>
    <w:rsid w:val="00A70B48"/>
    <w:rsid w:val="00A70B86"/>
    <w:rsid w:val="00A70C82"/>
    <w:rsid w:val="00A70CBF"/>
    <w:rsid w:val="00A70D4A"/>
    <w:rsid w:val="00A70E26"/>
    <w:rsid w:val="00A70E4E"/>
    <w:rsid w:val="00A70E78"/>
    <w:rsid w:val="00A70EEF"/>
    <w:rsid w:val="00A70F45"/>
    <w:rsid w:val="00A70FD1"/>
    <w:rsid w:val="00A71135"/>
    <w:rsid w:val="00A712C0"/>
    <w:rsid w:val="00A71349"/>
    <w:rsid w:val="00A7136B"/>
    <w:rsid w:val="00A713E9"/>
    <w:rsid w:val="00A7168D"/>
    <w:rsid w:val="00A716BD"/>
    <w:rsid w:val="00A716ED"/>
    <w:rsid w:val="00A7171A"/>
    <w:rsid w:val="00A717A5"/>
    <w:rsid w:val="00A718D7"/>
    <w:rsid w:val="00A7190E"/>
    <w:rsid w:val="00A71A86"/>
    <w:rsid w:val="00A71AD6"/>
    <w:rsid w:val="00A71B9E"/>
    <w:rsid w:val="00A71BD0"/>
    <w:rsid w:val="00A71C1A"/>
    <w:rsid w:val="00A71C4A"/>
    <w:rsid w:val="00A71CD3"/>
    <w:rsid w:val="00A71D2B"/>
    <w:rsid w:val="00A71E9E"/>
    <w:rsid w:val="00A71EC1"/>
    <w:rsid w:val="00A71F6B"/>
    <w:rsid w:val="00A71FA9"/>
    <w:rsid w:val="00A72052"/>
    <w:rsid w:val="00A72092"/>
    <w:rsid w:val="00A72189"/>
    <w:rsid w:val="00A72210"/>
    <w:rsid w:val="00A72268"/>
    <w:rsid w:val="00A7235A"/>
    <w:rsid w:val="00A723E2"/>
    <w:rsid w:val="00A724FF"/>
    <w:rsid w:val="00A725C8"/>
    <w:rsid w:val="00A725ED"/>
    <w:rsid w:val="00A7268D"/>
    <w:rsid w:val="00A727AA"/>
    <w:rsid w:val="00A727F6"/>
    <w:rsid w:val="00A72812"/>
    <w:rsid w:val="00A7283C"/>
    <w:rsid w:val="00A728AE"/>
    <w:rsid w:val="00A7294F"/>
    <w:rsid w:val="00A72AA9"/>
    <w:rsid w:val="00A72DC6"/>
    <w:rsid w:val="00A730F3"/>
    <w:rsid w:val="00A73280"/>
    <w:rsid w:val="00A73336"/>
    <w:rsid w:val="00A73376"/>
    <w:rsid w:val="00A73384"/>
    <w:rsid w:val="00A733BB"/>
    <w:rsid w:val="00A733F4"/>
    <w:rsid w:val="00A7357A"/>
    <w:rsid w:val="00A736D4"/>
    <w:rsid w:val="00A7383D"/>
    <w:rsid w:val="00A73889"/>
    <w:rsid w:val="00A73936"/>
    <w:rsid w:val="00A73A43"/>
    <w:rsid w:val="00A73A9F"/>
    <w:rsid w:val="00A73ABC"/>
    <w:rsid w:val="00A73AE3"/>
    <w:rsid w:val="00A73B3A"/>
    <w:rsid w:val="00A73B45"/>
    <w:rsid w:val="00A73B7D"/>
    <w:rsid w:val="00A73C36"/>
    <w:rsid w:val="00A73D61"/>
    <w:rsid w:val="00A73E54"/>
    <w:rsid w:val="00A73F1E"/>
    <w:rsid w:val="00A73F7A"/>
    <w:rsid w:val="00A73FE7"/>
    <w:rsid w:val="00A740A2"/>
    <w:rsid w:val="00A740FE"/>
    <w:rsid w:val="00A74347"/>
    <w:rsid w:val="00A74373"/>
    <w:rsid w:val="00A745D9"/>
    <w:rsid w:val="00A7462F"/>
    <w:rsid w:val="00A7482D"/>
    <w:rsid w:val="00A749A6"/>
    <w:rsid w:val="00A74A06"/>
    <w:rsid w:val="00A74A9B"/>
    <w:rsid w:val="00A74AB1"/>
    <w:rsid w:val="00A74B5F"/>
    <w:rsid w:val="00A74BCC"/>
    <w:rsid w:val="00A74BED"/>
    <w:rsid w:val="00A74FF5"/>
    <w:rsid w:val="00A7503A"/>
    <w:rsid w:val="00A7516E"/>
    <w:rsid w:val="00A7519E"/>
    <w:rsid w:val="00A751A3"/>
    <w:rsid w:val="00A7520E"/>
    <w:rsid w:val="00A75325"/>
    <w:rsid w:val="00A754D6"/>
    <w:rsid w:val="00A75728"/>
    <w:rsid w:val="00A75787"/>
    <w:rsid w:val="00A7588D"/>
    <w:rsid w:val="00A75980"/>
    <w:rsid w:val="00A75B2C"/>
    <w:rsid w:val="00A75B9D"/>
    <w:rsid w:val="00A75BA1"/>
    <w:rsid w:val="00A75BE2"/>
    <w:rsid w:val="00A75C52"/>
    <w:rsid w:val="00A75D2D"/>
    <w:rsid w:val="00A75D44"/>
    <w:rsid w:val="00A75D46"/>
    <w:rsid w:val="00A75E7B"/>
    <w:rsid w:val="00A75E90"/>
    <w:rsid w:val="00A76131"/>
    <w:rsid w:val="00A761CD"/>
    <w:rsid w:val="00A7638A"/>
    <w:rsid w:val="00A765A3"/>
    <w:rsid w:val="00A76780"/>
    <w:rsid w:val="00A767B9"/>
    <w:rsid w:val="00A767EF"/>
    <w:rsid w:val="00A76A09"/>
    <w:rsid w:val="00A76AB2"/>
    <w:rsid w:val="00A76AB5"/>
    <w:rsid w:val="00A76BA5"/>
    <w:rsid w:val="00A76BDA"/>
    <w:rsid w:val="00A76C0F"/>
    <w:rsid w:val="00A76C13"/>
    <w:rsid w:val="00A76C65"/>
    <w:rsid w:val="00A76D0E"/>
    <w:rsid w:val="00A76DE7"/>
    <w:rsid w:val="00A76E11"/>
    <w:rsid w:val="00A76EAF"/>
    <w:rsid w:val="00A77077"/>
    <w:rsid w:val="00A77078"/>
    <w:rsid w:val="00A770B5"/>
    <w:rsid w:val="00A7717D"/>
    <w:rsid w:val="00A7721C"/>
    <w:rsid w:val="00A77476"/>
    <w:rsid w:val="00A774EB"/>
    <w:rsid w:val="00A7750A"/>
    <w:rsid w:val="00A77650"/>
    <w:rsid w:val="00A7771A"/>
    <w:rsid w:val="00A777F9"/>
    <w:rsid w:val="00A7782B"/>
    <w:rsid w:val="00A7786A"/>
    <w:rsid w:val="00A778EF"/>
    <w:rsid w:val="00A778F8"/>
    <w:rsid w:val="00A7799F"/>
    <w:rsid w:val="00A779AE"/>
    <w:rsid w:val="00A77A0F"/>
    <w:rsid w:val="00A77A7F"/>
    <w:rsid w:val="00A77B42"/>
    <w:rsid w:val="00A77C38"/>
    <w:rsid w:val="00A77D27"/>
    <w:rsid w:val="00A77D4B"/>
    <w:rsid w:val="00A77E36"/>
    <w:rsid w:val="00A77E5F"/>
    <w:rsid w:val="00A77E6B"/>
    <w:rsid w:val="00A77F43"/>
    <w:rsid w:val="00A77FC4"/>
    <w:rsid w:val="00A787AE"/>
    <w:rsid w:val="00A80021"/>
    <w:rsid w:val="00A80179"/>
    <w:rsid w:val="00A80331"/>
    <w:rsid w:val="00A8035C"/>
    <w:rsid w:val="00A803BE"/>
    <w:rsid w:val="00A804B1"/>
    <w:rsid w:val="00A805F8"/>
    <w:rsid w:val="00A80829"/>
    <w:rsid w:val="00A80A0D"/>
    <w:rsid w:val="00A80A50"/>
    <w:rsid w:val="00A80A90"/>
    <w:rsid w:val="00A80A92"/>
    <w:rsid w:val="00A80AB0"/>
    <w:rsid w:val="00A80B03"/>
    <w:rsid w:val="00A80CA7"/>
    <w:rsid w:val="00A80DBD"/>
    <w:rsid w:val="00A80DFA"/>
    <w:rsid w:val="00A80ECF"/>
    <w:rsid w:val="00A80F1A"/>
    <w:rsid w:val="00A80F36"/>
    <w:rsid w:val="00A80FA2"/>
    <w:rsid w:val="00A81064"/>
    <w:rsid w:val="00A810BD"/>
    <w:rsid w:val="00A8125D"/>
    <w:rsid w:val="00A81371"/>
    <w:rsid w:val="00A8141D"/>
    <w:rsid w:val="00A8155E"/>
    <w:rsid w:val="00A81575"/>
    <w:rsid w:val="00A81613"/>
    <w:rsid w:val="00A81616"/>
    <w:rsid w:val="00A81676"/>
    <w:rsid w:val="00A81729"/>
    <w:rsid w:val="00A817AE"/>
    <w:rsid w:val="00A81880"/>
    <w:rsid w:val="00A818D8"/>
    <w:rsid w:val="00A81A9C"/>
    <w:rsid w:val="00A81AB5"/>
    <w:rsid w:val="00A81AF8"/>
    <w:rsid w:val="00A81B57"/>
    <w:rsid w:val="00A81BC9"/>
    <w:rsid w:val="00A81C4F"/>
    <w:rsid w:val="00A81CA4"/>
    <w:rsid w:val="00A81CBD"/>
    <w:rsid w:val="00A81CC1"/>
    <w:rsid w:val="00A81D00"/>
    <w:rsid w:val="00A82138"/>
    <w:rsid w:val="00A82168"/>
    <w:rsid w:val="00A822C6"/>
    <w:rsid w:val="00A823F1"/>
    <w:rsid w:val="00A8242D"/>
    <w:rsid w:val="00A82436"/>
    <w:rsid w:val="00A82454"/>
    <w:rsid w:val="00A824C1"/>
    <w:rsid w:val="00A82682"/>
    <w:rsid w:val="00A826B5"/>
    <w:rsid w:val="00A82723"/>
    <w:rsid w:val="00A8272F"/>
    <w:rsid w:val="00A827EA"/>
    <w:rsid w:val="00A82811"/>
    <w:rsid w:val="00A82AE3"/>
    <w:rsid w:val="00A82BB8"/>
    <w:rsid w:val="00A82BD3"/>
    <w:rsid w:val="00A82BE7"/>
    <w:rsid w:val="00A82D27"/>
    <w:rsid w:val="00A82D68"/>
    <w:rsid w:val="00A82D87"/>
    <w:rsid w:val="00A82E4F"/>
    <w:rsid w:val="00A82FB1"/>
    <w:rsid w:val="00A83006"/>
    <w:rsid w:val="00A83119"/>
    <w:rsid w:val="00A83122"/>
    <w:rsid w:val="00A83194"/>
    <w:rsid w:val="00A8320B"/>
    <w:rsid w:val="00A83299"/>
    <w:rsid w:val="00A83306"/>
    <w:rsid w:val="00A83374"/>
    <w:rsid w:val="00A83696"/>
    <w:rsid w:val="00A836C6"/>
    <w:rsid w:val="00A83782"/>
    <w:rsid w:val="00A83791"/>
    <w:rsid w:val="00A837D2"/>
    <w:rsid w:val="00A83838"/>
    <w:rsid w:val="00A838A0"/>
    <w:rsid w:val="00A838EA"/>
    <w:rsid w:val="00A83914"/>
    <w:rsid w:val="00A83963"/>
    <w:rsid w:val="00A83992"/>
    <w:rsid w:val="00A8399E"/>
    <w:rsid w:val="00A839B3"/>
    <w:rsid w:val="00A83A21"/>
    <w:rsid w:val="00A83B76"/>
    <w:rsid w:val="00A83C19"/>
    <w:rsid w:val="00A83C53"/>
    <w:rsid w:val="00A83C85"/>
    <w:rsid w:val="00A83D8D"/>
    <w:rsid w:val="00A83D96"/>
    <w:rsid w:val="00A83FB7"/>
    <w:rsid w:val="00A8400F"/>
    <w:rsid w:val="00A8402B"/>
    <w:rsid w:val="00A840BC"/>
    <w:rsid w:val="00A84164"/>
    <w:rsid w:val="00A841B4"/>
    <w:rsid w:val="00A841D5"/>
    <w:rsid w:val="00A842F0"/>
    <w:rsid w:val="00A8443D"/>
    <w:rsid w:val="00A84764"/>
    <w:rsid w:val="00A8477B"/>
    <w:rsid w:val="00A84899"/>
    <w:rsid w:val="00A84ADD"/>
    <w:rsid w:val="00A84C1A"/>
    <w:rsid w:val="00A84D7E"/>
    <w:rsid w:val="00A84DF7"/>
    <w:rsid w:val="00A84F3F"/>
    <w:rsid w:val="00A84FE7"/>
    <w:rsid w:val="00A853FD"/>
    <w:rsid w:val="00A8540F"/>
    <w:rsid w:val="00A85433"/>
    <w:rsid w:val="00A85576"/>
    <w:rsid w:val="00A856AF"/>
    <w:rsid w:val="00A85757"/>
    <w:rsid w:val="00A8581D"/>
    <w:rsid w:val="00A859C7"/>
    <w:rsid w:val="00A85B10"/>
    <w:rsid w:val="00A85BE3"/>
    <w:rsid w:val="00A85C7B"/>
    <w:rsid w:val="00A85C88"/>
    <w:rsid w:val="00A85CF6"/>
    <w:rsid w:val="00A85DC7"/>
    <w:rsid w:val="00A85E1A"/>
    <w:rsid w:val="00A8609D"/>
    <w:rsid w:val="00A8609E"/>
    <w:rsid w:val="00A860A0"/>
    <w:rsid w:val="00A860C1"/>
    <w:rsid w:val="00A86351"/>
    <w:rsid w:val="00A86372"/>
    <w:rsid w:val="00A86434"/>
    <w:rsid w:val="00A86521"/>
    <w:rsid w:val="00A8655B"/>
    <w:rsid w:val="00A8658C"/>
    <w:rsid w:val="00A866B9"/>
    <w:rsid w:val="00A8677E"/>
    <w:rsid w:val="00A867BB"/>
    <w:rsid w:val="00A8685D"/>
    <w:rsid w:val="00A869DC"/>
    <w:rsid w:val="00A869F2"/>
    <w:rsid w:val="00A86B86"/>
    <w:rsid w:val="00A86C04"/>
    <w:rsid w:val="00A86ED5"/>
    <w:rsid w:val="00A86F7B"/>
    <w:rsid w:val="00A86FAD"/>
    <w:rsid w:val="00A86FE6"/>
    <w:rsid w:val="00A870E2"/>
    <w:rsid w:val="00A87164"/>
    <w:rsid w:val="00A87169"/>
    <w:rsid w:val="00A871BD"/>
    <w:rsid w:val="00A87208"/>
    <w:rsid w:val="00A87221"/>
    <w:rsid w:val="00A87279"/>
    <w:rsid w:val="00A872A6"/>
    <w:rsid w:val="00A8733B"/>
    <w:rsid w:val="00A873D3"/>
    <w:rsid w:val="00A87402"/>
    <w:rsid w:val="00A8766F"/>
    <w:rsid w:val="00A8771A"/>
    <w:rsid w:val="00A877B1"/>
    <w:rsid w:val="00A87825"/>
    <w:rsid w:val="00A87882"/>
    <w:rsid w:val="00A87A28"/>
    <w:rsid w:val="00A87C35"/>
    <w:rsid w:val="00A87C4C"/>
    <w:rsid w:val="00A87CFA"/>
    <w:rsid w:val="00A87D70"/>
    <w:rsid w:val="00A87D9C"/>
    <w:rsid w:val="00A87DCC"/>
    <w:rsid w:val="00A87E05"/>
    <w:rsid w:val="00A87F22"/>
    <w:rsid w:val="00A87FBA"/>
    <w:rsid w:val="00A90135"/>
    <w:rsid w:val="00A90279"/>
    <w:rsid w:val="00A9031F"/>
    <w:rsid w:val="00A90389"/>
    <w:rsid w:val="00A903D6"/>
    <w:rsid w:val="00A90480"/>
    <w:rsid w:val="00A904ED"/>
    <w:rsid w:val="00A90513"/>
    <w:rsid w:val="00A9051A"/>
    <w:rsid w:val="00A9053A"/>
    <w:rsid w:val="00A90561"/>
    <w:rsid w:val="00A9059B"/>
    <w:rsid w:val="00A906CB"/>
    <w:rsid w:val="00A9070D"/>
    <w:rsid w:val="00A90790"/>
    <w:rsid w:val="00A907AB"/>
    <w:rsid w:val="00A907D9"/>
    <w:rsid w:val="00A908A6"/>
    <w:rsid w:val="00A908AE"/>
    <w:rsid w:val="00A9095F"/>
    <w:rsid w:val="00A909A9"/>
    <w:rsid w:val="00A90AAB"/>
    <w:rsid w:val="00A90BC9"/>
    <w:rsid w:val="00A90C37"/>
    <w:rsid w:val="00A90CB5"/>
    <w:rsid w:val="00A90CCD"/>
    <w:rsid w:val="00A90D75"/>
    <w:rsid w:val="00A90D8D"/>
    <w:rsid w:val="00A90EC4"/>
    <w:rsid w:val="00A9102A"/>
    <w:rsid w:val="00A910BE"/>
    <w:rsid w:val="00A910D5"/>
    <w:rsid w:val="00A91381"/>
    <w:rsid w:val="00A91387"/>
    <w:rsid w:val="00A91575"/>
    <w:rsid w:val="00A915DC"/>
    <w:rsid w:val="00A91798"/>
    <w:rsid w:val="00A91875"/>
    <w:rsid w:val="00A9194B"/>
    <w:rsid w:val="00A91999"/>
    <w:rsid w:val="00A919AB"/>
    <w:rsid w:val="00A919C6"/>
    <w:rsid w:val="00A91B30"/>
    <w:rsid w:val="00A91B84"/>
    <w:rsid w:val="00A91C5E"/>
    <w:rsid w:val="00A91C7D"/>
    <w:rsid w:val="00A91D23"/>
    <w:rsid w:val="00A91D33"/>
    <w:rsid w:val="00A91D5F"/>
    <w:rsid w:val="00A91EBC"/>
    <w:rsid w:val="00A920CE"/>
    <w:rsid w:val="00A92148"/>
    <w:rsid w:val="00A92174"/>
    <w:rsid w:val="00A92381"/>
    <w:rsid w:val="00A92440"/>
    <w:rsid w:val="00A92472"/>
    <w:rsid w:val="00A924B5"/>
    <w:rsid w:val="00A9256E"/>
    <w:rsid w:val="00A925BD"/>
    <w:rsid w:val="00A9261E"/>
    <w:rsid w:val="00A92683"/>
    <w:rsid w:val="00A926B6"/>
    <w:rsid w:val="00A926D1"/>
    <w:rsid w:val="00A9277A"/>
    <w:rsid w:val="00A92872"/>
    <w:rsid w:val="00A92940"/>
    <w:rsid w:val="00A92A13"/>
    <w:rsid w:val="00A92BB5"/>
    <w:rsid w:val="00A92BCA"/>
    <w:rsid w:val="00A92BD5"/>
    <w:rsid w:val="00A92E46"/>
    <w:rsid w:val="00A92E8A"/>
    <w:rsid w:val="00A92F0E"/>
    <w:rsid w:val="00A92FA2"/>
    <w:rsid w:val="00A92FA5"/>
    <w:rsid w:val="00A92FFD"/>
    <w:rsid w:val="00A9303C"/>
    <w:rsid w:val="00A930AF"/>
    <w:rsid w:val="00A931A6"/>
    <w:rsid w:val="00A931DF"/>
    <w:rsid w:val="00A93251"/>
    <w:rsid w:val="00A932CB"/>
    <w:rsid w:val="00A932DD"/>
    <w:rsid w:val="00A9331A"/>
    <w:rsid w:val="00A93480"/>
    <w:rsid w:val="00A934A1"/>
    <w:rsid w:val="00A9371D"/>
    <w:rsid w:val="00A9375F"/>
    <w:rsid w:val="00A937B8"/>
    <w:rsid w:val="00A937CC"/>
    <w:rsid w:val="00A937DF"/>
    <w:rsid w:val="00A938F7"/>
    <w:rsid w:val="00A93912"/>
    <w:rsid w:val="00A93922"/>
    <w:rsid w:val="00A93B3E"/>
    <w:rsid w:val="00A93C54"/>
    <w:rsid w:val="00A93C95"/>
    <w:rsid w:val="00A93D0A"/>
    <w:rsid w:val="00A93E29"/>
    <w:rsid w:val="00A93E42"/>
    <w:rsid w:val="00A93E7C"/>
    <w:rsid w:val="00A93FDC"/>
    <w:rsid w:val="00A940D5"/>
    <w:rsid w:val="00A94167"/>
    <w:rsid w:val="00A942CA"/>
    <w:rsid w:val="00A94339"/>
    <w:rsid w:val="00A94364"/>
    <w:rsid w:val="00A944BE"/>
    <w:rsid w:val="00A944C0"/>
    <w:rsid w:val="00A944E7"/>
    <w:rsid w:val="00A946C0"/>
    <w:rsid w:val="00A94738"/>
    <w:rsid w:val="00A9479B"/>
    <w:rsid w:val="00A947CE"/>
    <w:rsid w:val="00A947D3"/>
    <w:rsid w:val="00A947F1"/>
    <w:rsid w:val="00A94932"/>
    <w:rsid w:val="00A94936"/>
    <w:rsid w:val="00A949F1"/>
    <w:rsid w:val="00A94A6B"/>
    <w:rsid w:val="00A94BB0"/>
    <w:rsid w:val="00A94BCD"/>
    <w:rsid w:val="00A94C0F"/>
    <w:rsid w:val="00A94D20"/>
    <w:rsid w:val="00A94D52"/>
    <w:rsid w:val="00A94EC7"/>
    <w:rsid w:val="00A94EFA"/>
    <w:rsid w:val="00A94F1C"/>
    <w:rsid w:val="00A951E3"/>
    <w:rsid w:val="00A95217"/>
    <w:rsid w:val="00A952CF"/>
    <w:rsid w:val="00A95577"/>
    <w:rsid w:val="00A9564E"/>
    <w:rsid w:val="00A9566D"/>
    <w:rsid w:val="00A9568B"/>
    <w:rsid w:val="00A9569E"/>
    <w:rsid w:val="00A959D1"/>
    <w:rsid w:val="00A95AC6"/>
    <w:rsid w:val="00A95B38"/>
    <w:rsid w:val="00A95D70"/>
    <w:rsid w:val="00A95E75"/>
    <w:rsid w:val="00A95E7D"/>
    <w:rsid w:val="00A95E9A"/>
    <w:rsid w:val="00A95ED7"/>
    <w:rsid w:val="00A95F91"/>
    <w:rsid w:val="00A95F95"/>
    <w:rsid w:val="00A9602D"/>
    <w:rsid w:val="00A96094"/>
    <w:rsid w:val="00A9609D"/>
    <w:rsid w:val="00A9610D"/>
    <w:rsid w:val="00A96119"/>
    <w:rsid w:val="00A9612F"/>
    <w:rsid w:val="00A9616D"/>
    <w:rsid w:val="00A961EB"/>
    <w:rsid w:val="00A9622A"/>
    <w:rsid w:val="00A962BD"/>
    <w:rsid w:val="00A962F0"/>
    <w:rsid w:val="00A96447"/>
    <w:rsid w:val="00A964C4"/>
    <w:rsid w:val="00A9659D"/>
    <w:rsid w:val="00A96643"/>
    <w:rsid w:val="00A96674"/>
    <w:rsid w:val="00A96686"/>
    <w:rsid w:val="00A966ED"/>
    <w:rsid w:val="00A96776"/>
    <w:rsid w:val="00A967CB"/>
    <w:rsid w:val="00A96822"/>
    <w:rsid w:val="00A96839"/>
    <w:rsid w:val="00A969FF"/>
    <w:rsid w:val="00A96A1E"/>
    <w:rsid w:val="00A96A69"/>
    <w:rsid w:val="00A96C37"/>
    <w:rsid w:val="00A96CB4"/>
    <w:rsid w:val="00A96D75"/>
    <w:rsid w:val="00A96D77"/>
    <w:rsid w:val="00A96DAC"/>
    <w:rsid w:val="00A96E5B"/>
    <w:rsid w:val="00A96EEE"/>
    <w:rsid w:val="00A97040"/>
    <w:rsid w:val="00A97166"/>
    <w:rsid w:val="00A97167"/>
    <w:rsid w:val="00A97338"/>
    <w:rsid w:val="00A973E7"/>
    <w:rsid w:val="00A97432"/>
    <w:rsid w:val="00A97463"/>
    <w:rsid w:val="00A97497"/>
    <w:rsid w:val="00A97530"/>
    <w:rsid w:val="00A97552"/>
    <w:rsid w:val="00A97579"/>
    <w:rsid w:val="00A97620"/>
    <w:rsid w:val="00A976BD"/>
    <w:rsid w:val="00A9777A"/>
    <w:rsid w:val="00A978D9"/>
    <w:rsid w:val="00A979C5"/>
    <w:rsid w:val="00A97A25"/>
    <w:rsid w:val="00A97B0F"/>
    <w:rsid w:val="00A97BB4"/>
    <w:rsid w:val="00A97DA5"/>
    <w:rsid w:val="00A97DE0"/>
    <w:rsid w:val="00A97E81"/>
    <w:rsid w:val="00A97F70"/>
    <w:rsid w:val="00A97F98"/>
    <w:rsid w:val="00A97FBC"/>
    <w:rsid w:val="00A97FDB"/>
    <w:rsid w:val="00A97FFA"/>
    <w:rsid w:val="00AA000A"/>
    <w:rsid w:val="00AA0010"/>
    <w:rsid w:val="00AA027C"/>
    <w:rsid w:val="00AA0318"/>
    <w:rsid w:val="00AA033F"/>
    <w:rsid w:val="00AA0418"/>
    <w:rsid w:val="00AA0453"/>
    <w:rsid w:val="00AA0455"/>
    <w:rsid w:val="00AA05F7"/>
    <w:rsid w:val="00AA06A4"/>
    <w:rsid w:val="00AA06B7"/>
    <w:rsid w:val="00AA06C4"/>
    <w:rsid w:val="00AA06EB"/>
    <w:rsid w:val="00AA06FC"/>
    <w:rsid w:val="00AA0813"/>
    <w:rsid w:val="00AA0880"/>
    <w:rsid w:val="00AA08F6"/>
    <w:rsid w:val="00AA0906"/>
    <w:rsid w:val="00AA095E"/>
    <w:rsid w:val="00AA09A5"/>
    <w:rsid w:val="00AA0A37"/>
    <w:rsid w:val="00AA0B2B"/>
    <w:rsid w:val="00AA0BCB"/>
    <w:rsid w:val="00AA0C8A"/>
    <w:rsid w:val="00AA0D59"/>
    <w:rsid w:val="00AA0E25"/>
    <w:rsid w:val="00AA0E2B"/>
    <w:rsid w:val="00AA0E63"/>
    <w:rsid w:val="00AA0EA9"/>
    <w:rsid w:val="00AA0F00"/>
    <w:rsid w:val="00AA0FB2"/>
    <w:rsid w:val="00AA0FE4"/>
    <w:rsid w:val="00AA107F"/>
    <w:rsid w:val="00AA11B5"/>
    <w:rsid w:val="00AA122E"/>
    <w:rsid w:val="00AA1251"/>
    <w:rsid w:val="00AA1284"/>
    <w:rsid w:val="00AA12FB"/>
    <w:rsid w:val="00AA1420"/>
    <w:rsid w:val="00AA1457"/>
    <w:rsid w:val="00AA14AB"/>
    <w:rsid w:val="00AA1512"/>
    <w:rsid w:val="00AA1554"/>
    <w:rsid w:val="00AA15C8"/>
    <w:rsid w:val="00AA168E"/>
    <w:rsid w:val="00AA174E"/>
    <w:rsid w:val="00AA178A"/>
    <w:rsid w:val="00AA1884"/>
    <w:rsid w:val="00AA18CD"/>
    <w:rsid w:val="00AA1965"/>
    <w:rsid w:val="00AA1A1C"/>
    <w:rsid w:val="00AA1A39"/>
    <w:rsid w:val="00AA1A4B"/>
    <w:rsid w:val="00AA1B00"/>
    <w:rsid w:val="00AA1BE8"/>
    <w:rsid w:val="00AA1C43"/>
    <w:rsid w:val="00AA1CAE"/>
    <w:rsid w:val="00AA1CD0"/>
    <w:rsid w:val="00AA1E4A"/>
    <w:rsid w:val="00AA1E9C"/>
    <w:rsid w:val="00AA1FF9"/>
    <w:rsid w:val="00AA2093"/>
    <w:rsid w:val="00AA20C0"/>
    <w:rsid w:val="00AA20C1"/>
    <w:rsid w:val="00AA20C7"/>
    <w:rsid w:val="00AA20F7"/>
    <w:rsid w:val="00AA2153"/>
    <w:rsid w:val="00AA2191"/>
    <w:rsid w:val="00AA2395"/>
    <w:rsid w:val="00AA23A3"/>
    <w:rsid w:val="00AA23D5"/>
    <w:rsid w:val="00AA253E"/>
    <w:rsid w:val="00AA2542"/>
    <w:rsid w:val="00AA2579"/>
    <w:rsid w:val="00AA27AF"/>
    <w:rsid w:val="00AA2B30"/>
    <w:rsid w:val="00AA2B62"/>
    <w:rsid w:val="00AA2B88"/>
    <w:rsid w:val="00AA2C4C"/>
    <w:rsid w:val="00AA2DBA"/>
    <w:rsid w:val="00AA2E34"/>
    <w:rsid w:val="00AA2E9E"/>
    <w:rsid w:val="00AA2ECD"/>
    <w:rsid w:val="00AA2F51"/>
    <w:rsid w:val="00AA2F58"/>
    <w:rsid w:val="00AA2F65"/>
    <w:rsid w:val="00AA2F66"/>
    <w:rsid w:val="00AA2FB2"/>
    <w:rsid w:val="00AA2FC0"/>
    <w:rsid w:val="00AA303B"/>
    <w:rsid w:val="00AA30D0"/>
    <w:rsid w:val="00AA321B"/>
    <w:rsid w:val="00AA3265"/>
    <w:rsid w:val="00AA3294"/>
    <w:rsid w:val="00AA3353"/>
    <w:rsid w:val="00AA3499"/>
    <w:rsid w:val="00AA34BB"/>
    <w:rsid w:val="00AA35AD"/>
    <w:rsid w:val="00AA35C1"/>
    <w:rsid w:val="00AA3663"/>
    <w:rsid w:val="00AA370D"/>
    <w:rsid w:val="00AA3738"/>
    <w:rsid w:val="00AA3779"/>
    <w:rsid w:val="00AA38B8"/>
    <w:rsid w:val="00AA396E"/>
    <w:rsid w:val="00AA3A3A"/>
    <w:rsid w:val="00AA3C24"/>
    <w:rsid w:val="00AA3DB8"/>
    <w:rsid w:val="00AA3DF5"/>
    <w:rsid w:val="00AA3F16"/>
    <w:rsid w:val="00AA3F19"/>
    <w:rsid w:val="00AA3FF5"/>
    <w:rsid w:val="00AA3FFE"/>
    <w:rsid w:val="00AA407C"/>
    <w:rsid w:val="00AA41A0"/>
    <w:rsid w:val="00AA42E5"/>
    <w:rsid w:val="00AA42F4"/>
    <w:rsid w:val="00AA434B"/>
    <w:rsid w:val="00AA437F"/>
    <w:rsid w:val="00AA4485"/>
    <w:rsid w:val="00AA45A4"/>
    <w:rsid w:val="00AA45D2"/>
    <w:rsid w:val="00AA4671"/>
    <w:rsid w:val="00AA468F"/>
    <w:rsid w:val="00AA46A6"/>
    <w:rsid w:val="00AA46A9"/>
    <w:rsid w:val="00AA46EE"/>
    <w:rsid w:val="00AA47E4"/>
    <w:rsid w:val="00AA4850"/>
    <w:rsid w:val="00AA4992"/>
    <w:rsid w:val="00AA4A51"/>
    <w:rsid w:val="00AA4CA9"/>
    <w:rsid w:val="00AA4D80"/>
    <w:rsid w:val="00AA4EA3"/>
    <w:rsid w:val="00AA4FB8"/>
    <w:rsid w:val="00AA4FD6"/>
    <w:rsid w:val="00AA50C2"/>
    <w:rsid w:val="00AA51A0"/>
    <w:rsid w:val="00AA5208"/>
    <w:rsid w:val="00AA520F"/>
    <w:rsid w:val="00AA521D"/>
    <w:rsid w:val="00AA5273"/>
    <w:rsid w:val="00AA52DA"/>
    <w:rsid w:val="00AA52E5"/>
    <w:rsid w:val="00AA538B"/>
    <w:rsid w:val="00AA542B"/>
    <w:rsid w:val="00AA54FB"/>
    <w:rsid w:val="00AA550B"/>
    <w:rsid w:val="00AA5602"/>
    <w:rsid w:val="00AA5606"/>
    <w:rsid w:val="00AA5618"/>
    <w:rsid w:val="00AA573D"/>
    <w:rsid w:val="00AA58F9"/>
    <w:rsid w:val="00AA5967"/>
    <w:rsid w:val="00AA5ABA"/>
    <w:rsid w:val="00AA5B60"/>
    <w:rsid w:val="00AA5C52"/>
    <w:rsid w:val="00AA5CD4"/>
    <w:rsid w:val="00AA5DA2"/>
    <w:rsid w:val="00AA5DD3"/>
    <w:rsid w:val="00AA5E72"/>
    <w:rsid w:val="00AA5FC0"/>
    <w:rsid w:val="00AA5FD9"/>
    <w:rsid w:val="00AA603F"/>
    <w:rsid w:val="00AA6052"/>
    <w:rsid w:val="00AA606E"/>
    <w:rsid w:val="00AA60FC"/>
    <w:rsid w:val="00AA6131"/>
    <w:rsid w:val="00AA6197"/>
    <w:rsid w:val="00AA619F"/>
    <w:rsid w:val="00AA621D"/>
    <w:rsid w:val="00AA62A6"/>
    <w:rsid w:val="00AA63B6"/>
    <w:rsid w:val="00AA63D9"/>
    <w:rsid w:val="00AA6532"/>
    <w:rsid w:val="00AA653A"/>
    <w:rsid w:val="00AA6700"/>
    <w:rsid w:val="00AA68F5"/>
    <w:rsid w:val="00AA69E2"/>
    <w:rsid w:val="00AA6ABC"/>
    <w:rsid w:val="00AA6B17"/>
    <w:rsid w:val="00AA6B28"/>
    <w:rsid w:val="00AA6C8A"/>
    <w:rsid w:val="00AA6CC7"/>
    <w:rsid w:val="00AA7100"/>
    <w:rsid w:val="00AA71C8"/>
    <w:rsid w:val="00AA71F3"/>
    <w:rsid w:val="00AA7269"/>
    <w:rsid w:val="00AA7290"/>
    <w:rsid w:val="00AA72AE"/>
    <w:rsid w:val="00AA7301"/>
    <w:rsid w:val="00AA730D"/>
    <w:rsid w:val="00AA7563"/>
    <w:rsid w:val="00AA7599"/>
    <w:rsid w:val="00AA75D4"/>
    <w:rsid w:val="00AA76E9"/>
    <w:rsid w:val="00AA7852"/>
    <w:rsid w:val="00AA7881"/>
    <w:rsid w:val="00AA788D"/>
    <w:rsid w:val="00AA791B"/>
    <w:rsid w:val="00AA79B3"/>
    <w:rsid w:val="00AA7B30"/>
    <w:rsid w:val="00AA7C0C"/>
    <w:rsid w:val="00AA7E14"/>
    <w:rsid w:val="00AA7E37"/>
    <w:rsid w:val="00AA7ED7"/>
    <w:rsid w:val="00AA7F08"/>
    <w:rsid w:val="00AB00A2"/>
    <w:rsid w:val="00AB0168"/>
    <w:rsid w:val="00AB01C9"/>
    <w:rsid w:val="00AB0260"/>
    <w:rsid w:val="00AB041E"/>
    <w:rsid w:val="00AB0423"/>
    <w:rsid w:val="00AB0431"/>
    <w:rsid w:val="00AB047B"/>
    <w:rsid w:val="00AB04AD"/>
    <w:rsid w:val="00AB04DC"/>
    <w:rsid w:val="00AB058F"/>
    <w:rsid w:val="00AB05B0"/>
    <w:rsid w:val="00AB06EB"/>
    <w:rsid w:val="00AB0733"/>
    <w:rsid w:val="00AB0839"/>
    <w:rsid w:val="00AB09E3"/>
    <w:rsid w:val="00AB0AE7"/>
    <w:rsid w:val="00AB0D2A"/>
    <w:rsid w:val="00AB0D57"/>
    <w:rsid w:val="00AB0DB6"/>
    <w:rsid w:val="00AB0F51"/>
    <w:rsid w:val="00AB0F58"/>
    <w:rsid w:val="00AB0FB3"/>
    <w:rsid w:val="00AB1103"/>
    <w:rsid w:val="00AB1105"/>
    <w:rsid w:val="00AB1227"/>
    <w:rsid w:val="00AB12A1"/>
    <w:rsid w:val="00AB140D"/>
    <w:rsid w:val="00AB1411"/>
    <w:rsid w:val="00AB1503"/>
    <w:rsid w:val="00AB15AC"/>
    <w:rsid w:val="00AB1773"/>
    <w:rsid w:val="00AB195B"/>
    <w:rsid w:val="00AB1A58"/>
    <w:rsid w:val="00AB1B0E"/>
    <w:rsid w:val="00AB1B33"/>
    <w:rsid w:val="00AB1B46"/>
    <w:rsid w:val="00AB1B5C"/>
    <w:rsid w:val="00AB1B85"/>
    <w:rsid w:val="00AB1D37"/>
    <w:rsid w:val="00AB1D79"/>
    <w:rsid w:val="00AB1D85"/>
    <w:rsid w:val="00AB1DA2"/>
    <w:rsid w:val="00AB1F00"/>
    <w:rsid w:val="00AB203B"/>
    <w:rsid w:val="00AB2061"/>
    <w:rsid w:val="00AB20B6"/>
    <w:rsid w:val="00AB2242"/>
    <w:rsid w:val="00AB2377"/>
    <w:rsid w:val="00AB23B1"/>
    <w:rsid w:val="00AB2439"/>
    <w:rsid w:val="00AB2481"/>
    <w:rsid w:val="00AB24A5"/>
    <w:rsid w:val="00AB253E"/>
    <w:rsid w:val="00AB2574"/>
    <w:rsid w:val="00AB257D"/>
    <w:rsid w:val="00AB27E6"/>
    <w:rsid w:val="00AB28A1"/>
    <w:rsid w:val="00AB2A5E"/>
    <w:rsid w:val="00AB2A7D"/>
    <w:rsid w:val="00AB2AC2"/>
    <w:rsid w:val="00AB2B89"/>
    <w:rsid w:val="00AB2BC5"/>
    <w:rsid w:val="00AB2D16"/>
    <w:rsid w:val="00AB2D3F"/>
    <w:rsid w:val="00AB2DDE"/>
    <w:rsid w:val="00AB2DF1"/>
    <w:rsid w:val="00AB2E5B"/>
    <w:rsid w:val="00AB2E9C"/>
    <w:rsid w:val="00AB2EC3"/>
    <w:rsid w:val="00AB2F64"/>
    <w:rsid w:val="00AB3076"/>
    <w:rsid w:val="00AB3112"/>
    <w:rsid w:val="00AB3140"/>
    <w:rsid w:val="00AB3187"/>
    <w:rsid w:val="00AB334F"/>
    <w:rsid w:val="00AB3398"/>
    <w:rsid w:val="00AB3560"/>
    <w:rsid w:val="00AB3592"/>
    <w:rsid w:val="00AB3615"/>
    <w:rsid w:val="00AB3633"/>
    <w:rsid w:val="00AB365B"/>
    <w:rsid w:val="00AB36DA"/>
    <w:rsid w:val="00AB36F6"/>
    <w:rsid w:val="00AB37C5"/>
    <w:rsid w:val="00AB37DB"/>
    <w:rsid w:val="00AB3858"/>
    <w:rsid w:val="00AB385C"/>
    <w:rsid w:val="00AB38C2"/>
    <w:rsid w:val="00AB3A11"/>
    <w:rsid w:val="00AB3B2C"/>
    <w:rsid w:val="00AB3B74"/>
    <w:rsid w:val="00AB3D0B"/>
    <w:rsid w:val="00AB3DB1"/>
    <w:rsid w:val="00AB3DCB"/>
    <w:rsid w:val="00AB3E10"/>
    <w:rsid w:val="00AB3E46"/>
    <w:rsid w:val="00AB3E6F"/>
    <w:rsid w:val="00AB3E95"/>
    <w:rsid w:val="00AB3E97"/>
    <w:rsid w:val="00AB3EC1"/>
    <w:rsid w:val="00AB3ECA"/>
    <w:rsid w:val="00AB3F78"/>
    <w:rsid w:val="00AB3FF8"/>
    <w:rsid w:val="00AB4036"/>
    <w:rsid w:val="00AB4045"/>
    <w:rsid w:val="00AB415C"/>
    <w:rsid w:val="00AB41D6"/>
    <w:rsid w:val="00AB4300"/>
    <w:rsid w:val="00AB44E1"/>
    <w:rsid w:val="00AB450D"/>
    <w:rsid w:val="00AB45D2"/>
    <w:rsid w:val="00AB46B4"/>
    <w:rsid w:val="00AB4738"/>
    <w:rsid w:val="00AB49B1"/>
    <w:rsid w:val="00AB49D8"/>
    <w:rsid w:val="00AB4A1A"/>
    <w:rsid w:val="00AB4B46"/>
    <w:rsid w:val="00AB4B5B"/>
    <w:rsid w:val="00AB4B8A"/>
    <w:rsid w:val="00AB4B8C"/>
    <w:rsid w:val="00AB4C06"/>
    <w:rsid w:val="00AB4C81"/>
    <w:rsid w:val="00AB4CE2"/>
    <w:rsid w:val="00AB4DB4"/>
    <w:rsid w:val="00AB4E70"/>
    <w:rsid w:val="00AB4EBE"/>
    <w:rsid w:val="00AB4ECE"/>
    <w:rsid w:val="00AB4F9B"/>
    <w:rsid w:val="00AB50E8"/>
    <w:rsid w:val="00AB51F3"/>
    <w:rsid w:val="00AB52C3"/>
    <w:rsid w:val="00AB52E1"/>
    <w:rsid w:val="00AB530B"/>
    <w:rsid w:val="00AB5314"/>
    <w:rsid w:val="00AB5896"/>
    <w:rsid w:val="00AB5915"/>
    <w:rsid w:val="00AB591C"/>
    <w:rsid w:val="00AB5A0B"/>
    <w:rsid w:val="00AB5B56"/>
    <w:rsid w:val="00AB5B92"/>
    <w:rsid w:val="00AB5F61"/>
    <w:rsid w:val="00AB5FDA"/>
    <w:rsid w:val="00AB60C8"/>
    <w:rsid w:val="00AB6328"/>
    <w:rsid w:val="00AB6346"/>
    <w:rsid w:val="00AB65BC"/>
    <w:rsid w:val="00AB65F7"/>
    <w:rsid w:val="00AB661E"/>
    <w:rsid w:val="00AB689B"/>
    <w:rsid w:val="00AB69B6"/>
    <w:rsid w:val="00AB69CC"/>
    <w:rsid w:val="00AB69E9"/>
    <w:rsid w:val="00AB6A39"/>
    <w:rsid w:val="00AB6BB5"/>
    <w:rsid w:val="00AB6DAE"/>
    <w:rsid w:val="00AB6DBE"/>
    <w:rsid w:val="00AB6DD1"/>
    <w:rsid w:val="00AB6E6C"/>
    <w:rsid w:val="00AB6F97"/>
    <w:rsid w:val="00AB6FEE"/>
    <w:rsid w:val="00AB700D"/>
    <w:rsid w:val="00AB7070"/>
    <w:rsid w:val="00AB7262"/>
    <w:rsid w:val="00AB7289"/>
    <w:rsid w:val="00AB72B8"/>
    <w:rsid w:val="00AB72CE"/>
    <w:rsid w:val="00AB7349"/>
    <w:rsid w:val="00AB7354"/>
    <w:rsid w:val="00AB7394"/>
    <w:rsid w:val="00AB74D1"/>
    <w:rsid w:val="00AB759D"/>
    <w:rsid w:val="00AB759E"/>
    <w:rsid w:val="00AB75CB"/>
    <w:rsid w:val="00AB774F"/>
    <w:rsid w:val="00AB7776"/>
    <w:rsid w:val="00AB77BD"/>
    <w:rsid w:val="00AB77F1"/>
    <w:rsid w:val="00AB7872"/>
    <w:rsid w:val="00AB78A4"/>
    <w:rsid w:val="00AB79DD"/>
    <w:rsid w:val="00AB79E6"/>
    <w:rsid w:val="00AB7A0D"/>
    <w:rsid w:val="00AB7A7F"/>
    <w:rsid w:val="00AB7A87"/>
    <w:rsid w:val="00AB7C12"/>
    <w:rsid w:val="00AB7D70"/>
    <w:rsid w:val="00AB7DF3"/>
    <w:rsid w:val="00AB7F8E"/>
    <w:rsid w:val="00AC0420"/>
    <w:rsid w:val="00AC0680"/>
    <w:rsid w:val="00AC06EE"/>
    <w:rsid w:val="00AC07D2"/>
    <w:rsid w:val="00AC0AAB"/>
    <w:rsid w:val="00AC0B4F"/>
    <w:rsid w:val="00AC0C31"/>
    <w:rsid w:val="00AC0C66"/>
    <w:rsid w:val="00AC0D04"/>
    <w:rsid w:val="00AC0DC3"/>
    <w:rsid w:val="00AC0EBF"/>
    <w:rsid w:val="00AC0F5D"/>
    <w:rsid w:val="00AC0F9D"/>
    <w:rsid w:val="00AC0FCC"/>
    <w:rsid w:val="00AC11C0"/>
    <w:rsid w:val="00AC12F2"/>
    <w:rsid w:val="00AC1314"/>
    <w:rsid w:val="00AC142A"/>
    <w:rsid w:val="00AC147D"/>
    <w:rsid w:val="00AC1481"/>
    <w:rsid w:val="00AC1583"/>
    <w:rsid w:val="00AC15D0"/>
    <w:rsid w:val="00AC16AE"/>
    <w:rsid w:val="00AC16CF"/>
    <w:rsid w:val="00AC17BD"/>
    <w:rsid w:val="00AC1868"/>
    <w:rsid w:val="00AC19FC"/>
    <w:rsid w:val="00AC1BAB"/>
    <w:rsid w:val="00AC1BD0"/>
    <w:rsid w:val="00AC1CDE"/>
    <w:rsid w:val="00AC1D3F"/>
    <w:rsid w:val="00AC1D54"/>
    <w:rsid w:val="00AC1D6D"/>
    <w:rsid w:val="00AC1DF6"/>
    <w:rsid w:val="00AC1E2A"/>
    <w:rsid w:val="00AC1E5C"/>
    <w:rsid w:val="00AC1F56"/>
    <w:rsid w:val="00AC1FAE"/>
    <w:rsid w:val="00AC1FB0"/>
    <w:rsid w:val="00AC210B"/>
    <w:rsid w:val="00AC2148"/>
    <w:rsid w:val="00AC216D"/>
    <w:rsid w:val="00AC235E"/>
    <w:rsid w:val="00AC23B1"/>
    <w:rsid w:val="00AC2418"/>
    <w:rsid w:val="00AC242E"/>
    <w:rsid w:val="00AC24A3"/>
    <w:rsid w:val="00AC24B1"/>
    <w:rsid w:val="00AC253A"/>
    <w:rsid w:val="00AC2646"/>
    <w:rsid w:val="00AC27AE"/>
    <w:rsid w:val="00AC2823"/>
    <w:rsid w:val="00AC2925"/>
    <w:rsid w:val="00AC2991"/>
    <w:rsid w:val="00AC2ABE"/>
    <w:rsid w:val="00AC2C95"/>
    <w:rsid w:val="00AC2D73"/>
    <w:rsid w:val="00AC2E5C"/>
    <w:rsid w:val="00AC2E9F"/>
    <w:rsid w:val="00AC2F81"/>
    <w:rsid w:val="00AC307C"/>
    <w:rsid w:val="00AC30BA"/>
    <w:rsid w:val="00AC3273"/>
    <w:rsid w:val="00AC32CA"/>
    <w:rsid w:val="00AC33E8"/>
    <w:rsid w:val="00AC344D"/>
    <w:rsid w:val="00AC3475"/>
    <w:rsid w:val="00AC349A"/>
    <w:rsid w:val="00AC371F"/>
    <w:rsid w:val="00AC3724"/>
    <w:rsid w:val="00AC37AB"/>
    <w:rsid w:val="00AC381C"/>
    <w:rsid w:val="00AC381F"/>
    <w:rsid w:val="00AC3847"/>
    <w:rsid w:val="00AC388E"/>
    <w:rsid w:val="00AC38E9"/>
    <w:rsid w:val="00AC39AD"/>
    <w:rsid w:val="00AC3A8C"/>
    <w:rsid w:val="00AC3ABF"/>
    <w:rsid w:val="00AC3B80"/>
    <w:rsid w:val="00AC3BFE"/>
    <w:rsid w:val="00AC3C2E"/>
    <w:rsid w:val="00AC3C5F"/>
    <w:rsid w:val="00AC3D0B"/>
    <w:rsid w:val="00AC3D3E"/>
    <w:rsid w:val="00AC3D66"/>
    <w:rsid w:val="00AC3DD9"/>
    <w:rsid w:val="00AC3E39"/>
    <w:rsid w:val="00AC3F14"/>
    <w:rsid w:val="00AC3F34"/>
    <w:rsid w:val="00AC3F58"/>
    <w:rsid w:val="00AC41EA"/>
    <w:rsid w:val="00AC4202"/>
    <w:rsid w:val="00AC4269"/>
    <w:rsid w:val="00AC42D9"/>
    <w:rsid w:val="00AC4313"/>
    <w:rsid w:val="00AC436E"/>
    <w:rsid w:val="00AC4382"/>
    <w:rsid w:val="00AC4496"/>
    <w:rsid w:val="00AC454E"/>
    <w:rsid w:val="00AC4578"/>
    <w:rsid w:val="00AC469A"/>
    <w:rsid w:val="00AC46B9"/>
    <w:rsid w:val="00AC4739"/>
    <w:rsid w:val="00AC4771"/>
    <w:rsid w:val="00AC47A7"/>
    <w:rsid w:val="00AC47AA"/>
    <w:rsid w:val="00AC481B"/>
    <w:rsid w:val="00AC4832"/>
    <w:rsid w:val="00AC48BA"/>
    <w:rsid w:val="00AC494B"/>
    <w:rsid w:val="00AC4963"/>
    <w:rsid w:val="00AC49DE"/>
    <w:rsid w:val="00AC4A56"/>
    <w:rsid w:val="00AC4CCF"/>
    <w:rsid w:val="00AC4CD5"/>
    <w:rsid w:val="00AC4D15"/>
    <w:rsid w:val="00AC4DFA"/>
    <w:rsid w:val="00AC4E95"/>
    <w:rsid w:val="00AC4ECE"/>
    <w:rsid w:val="00AC4F01"/>
    <w:rsid w:val="00AC5030"/>
    <w:rsid w:val="00AC518B"/>
    <w:rsid w:val="00AC51DF"/>
    <w:rsid w:val="00AC5204"/>
    <w:rsid w:val="00AC52AA"/>
    <w:rsid w:val="00AC52D3"/>
    <w:rsid w:val="00AC5365"/>
    <w:rsid w:val="00AC5392"/>
    <w:rsid w:val="00AC53D6"/>
    <w:rsid w:val="00AC5547"/>
    <w:rsid w:val="00AC5736"/>
    <w:rsid w:val="00AC5939"/>
    <w:rsid w:val="00AC5985"/>
    <w:rsid w:val="00AC5A71"/>
    <w:rsid w:val="00AC5AAF"/>
    <w:rsid w:val="00AC5CAE"/>
    <w:rsid w:val="00AC5D8F"/>
    <w:rsid w:val="00AC5E0A"/>
    <w:rsid w:val="00AC5E16"/>
    <w:rsid w:val="00AC5E40"/>
    <w:rsid w:val="00AC5F24"/>
    <w:rsid w:val="00AC5FA3"/>
    <w:rsid w:val="00AC61D8"/>
    <w:rsid w:val="00AC689E"/>
    <w:rsid w:val="00AC68D8"/>
    <w:rsid w:val="00AC6944"/>
    <w:rsid w:val="00AC6A2C"/>
    <w:rsid w:val="00AC6B3C"/>
    <w:rsid w:val="00AC6B43"/>
    <w:rsid w:val="00AC6C1A"/>
    <w:rsid w:val="00AC6C3A"/>
    <w:rsid w:val="00AC6D17"/>
    <w:rsid w:val="00AC6D7D"/>
    <w:rsid w:val="00AC6E5B"/>
    <w:rsid w:val="00AC6E7D"/>
    <w:rsid w:val="00AC6ED3"/>
    <w:rsid w:val="00AC6F11"/>
    <w:rsid w:val="00AC6FA6"/>
    <w:rsid w:val="00AC6FD7"/>
    <w:rsid w:val="00AC6FF1"/>
    <w:rsid w:val="00AC719E"/>
    <w:rsid w:val="00AC728A"/>
    <w:rsid w:val="00AC7296"/>
    <w:rsid w:val="00AC7321"/>
    <w:rsid w:val="00AC7373"/>
    <w:rsid w:val="00AC738C"/>
    <w:rsid w:val="00AC73B0"/>
    <w:rsid w:val="00AC7532"/>
    <w:rsid w:val="00AC785E"/>
    <w:rsid w:val="00AC78BC"/>
    <w:rsid w:val="00AC7915"/>
    <w:rsid w:val="00AC79E4"/>
    <w:rsid w:val="00AC7A0D"/>
    <w:rsid w:val="00AC7A42"/>
    <w:rsid w:val="00AC7A5D"/>
    <w:rsid w:val="00AC7AA0"/>
    <w:rsid w:val="00AC7BC6"/>
    <w:rsid w:val="00AC7BEA"/>
    <w:rsid w:val="00AC7C44"/>
    <w:rsid w:val="00AC7CF4"/>
    <w:rsid w:val="00AC7DB4"/>
    <w:rsid w:val="00ACB5E2"/>
    <w:rsid w:val="00AD0006"/>
    <w:rsid w:val="00AD0213"/>
    <w:rsid w:val="00AD021D"/>
    <w:rsid w:val="00AD0420"/>
    <w:rsid w:val="00AD04DB"/>
    <w:rsid w:val="00AD057B"/>
    <w:rsid w:val="00AD0581"/>
    <w:rsid w:val="00AD05BA"/>
    <w:rsid w:val="00AD05DC"/>
    <w:rsid w:val="00AD0719"/>
    <w:rsid w:val="00AD08B8"/>
    <w:rsid w:val="00AD08F0"/>
    <w:rsid w:val="00AD0918"/>
    <w:rsid w:val="00AD0B1B"/>
    <w:rsid w:val="00AD0C11"/>
    <w:rsid w:val="00AD0CFC"/>
    <w:rsid w:val="00AD0D02"/>
    <w:rsid w:val="00AD0D25"/>
    <w:rsid w:val="00AD0D66"/>
    <w:rsid w:val="00AD0E08"/>
    <w:rsid w:val="00AD0E64"/>
    <w:rsid w:val="00AD0EA2"/>
    <w:rsid w:val="00AD0F55"/>
    <w:rsid w:val="00AD11A7"/>
    <w:rsid w:val="00AD11CC"/>
    <w:rsid w:val="00AD11DE"/>
    <w:rsid w:val="00AD129A"/>
    <w:rsid w:val="00AD13F4"/>
    <w:rsid w:val="00AD14B8"/>
    <w:rsid w:val="00AD14F0"/>
    <w:rsid w:val="00AD15E0"/>
    <w:rsid w:val="00AD17C0"/>
    <w:rsid w:val="00AD17E1"/>
    <w:rsid w:val="00AD189D"/>
    <w:rsid w:val="00AD1902"/>
    <w:rsid w:val="00AD1959"/>
    <w:rsid w:val="00AD1963"/>
    <w:rsid w:val="00AD19CE"/>
    <w:rsid w:val="00AD1BFB"/>
    <w:rsid w:val="00AD1C4E"/>
    <w:rsid w:val="00AD1C77"/>
    <w:rsid w:val="00AD1D8A"/>
    <w:rsid w:val="00AD1D9D"/>
    <w:rsid w:val="00AD1DAD"/>
    <w:rsid w:val="00AD1F22"/>
    <w:rsid w:val="00AD21DE"/>
    <w:rsid w:val="00AD21E1"/>
    <w:rsid w:val="00AD2200"/>
    <w:rsid w:val="00AD22BF"/>
    <w:rsid w:val="00AD2370"/>
    <w:rsid w:val="00AD2472"/>
    <w:rsid w:val="00AD24B9"/>
    <w:rsid w:val="00AD24C0"/>
    <w:rsid w:val="00AD24EA"/>
    <w:rsid w:val="00AD2508"/>
    <w:rsid w:val="00AD250D"/>
    <w:rsid w:val="00AD257E"/>
    <w:rsid w:val="00AD258C"/>
    <w:rsid w:val="00AD2613"/>
    <w:rsid w:val="00AD26B9"/>
    <w:rsid w:val="00AD27DA"/>
    <w:rsid w:val="00AD28A9"/>
    <w:rsid w:val="00AD28F4"/>
    <w:rsid w:val="00AD2A5A"/>
    <w:rsid w:val="00AD2A92"/>
    <w:rsid w:val="00AD2C95"/>
    <w:rsid w:val="00AD2D29"/>
    <w:rsid w:val="00AD2DFD"/>
    <w:rsid w:val="00AD2E7A"/>
    <w:rsid w:val="00AD2E82"/>
    <w:rsid w:val="00AD2F33"/>
    <w:rsid w:val="00AD2F35"/>
    <w:rsid w:val="00AD2FC9"/>
    <w:rsid w:val="00AD321D"/>
    <w:rsid w:val="00AD32F3"/>
    <w:rsid w:val="00AD337C"/>
    <w:rsid w:val="00AD3425"/>
    <w:rsid w:val="00AD34DA"/>
    <w:rsid w:val="00AD355B"/>
    <w:rsid w:val="00AD366E"/>
    <w:rsid w:val="00AD3680"/>
    <w:rsid w:val="00AD36EC"/>
    <w:rsid w:val="00AD36FD"/>
    <w:rsid w:val="00AD3724"/>
    <w:rsid w:val="00AD38F9"/>
    <w:rsid w:val="00AD397D"/>
    <w:rsid w:val="00AD3A30"/>
    <w:rsid w:val="00AD3A63"/>
    <w:rsid w:val="00AD3A6A"/>
    <w:rsid w:val="00AD3AF3"/>
    <w:rsid w:val="00AD3B33"/>
    <w:rsid w:val="00AD3B35"/>
    <w:rsid w:val="00AD3BDD"/>
    <w:rsid w:val="00AD3D82"/>
    <w:rsid w:val="00AD3FBB"/>
    <w:rsid w:val="00AD3FEB"/>
    <w:rsid w:val="00AD4315"/>
    <w:rsid w:val="00AD4345"/>
    <w:rsid w:val="00AD4422"/>
    <w:rsid w:val="00AD44F6"/>
    <w:rsid w:val="00AD4640"/>
    <w:rsid w:val="00AD4709"/>
    <w:rsid w:val="00AD4752"/>
    <w:rsid w:val="00AD48CD"/>
    <w:rsid w:val="00AD4978"/>
    <w:rsid w:val="00AD4A62"/>
    <w:rsid w:val="00AD4A89"/>
    <w:rsid w:val="00AD4B20"/>
    <w:rsid w:val="00AD4D1A"/>
    <w:rsid w:val="00AD4D4F"/>
    <w:rsid w:val="00AD4D54"/>
    <w:rsid w:val="00AD4DC5"/>
    <w:rsid w:val="00AD4E27"/>
    <w:rsid w:val="00AD4EA7"/>
    <w:rsid w:val="00AD4F6A"/>
    <w:rsid w:val="00AD4FB9"/>
    <w:rsid w:val="00AD500C"/>
    <w:rsid w:val="00AD5085"/>
    <w:rsid w:val="00AD5121"/>
    <w:rsid w:val="00AD51AD"/>
    <w:rsid w:val="00AD51C5"/>
    <w:rsid w:val="00AD522E"/>
    <w:rsid w:val="00AD5231"/>
    <w:rsid w:val="00AD54A5"/>
    <w:rsid w:val="00AD597F"/>
    <w:rsid w:val="00AD5AA1"/>
    <w:rsid w:val="00AD5B7C"/>
    <w:rsid w:val="00AD5B82"/>
    <w:rsid w:val="00AD5C02"/>
    <w:rsid w:val="00AD5D52"/>
    <w:rsid w:val="00AD5D71"/>
    <w:rsid w:val="00AD5E93"/>
    <w:rsid w:val="00AD5ED1"/>
    <w:rsid w:val="00AD5F2D"/>
    <w:rsid w:val="00AD5F74"/>
    <w:rsid w:val="00AD5F7C"/>
    <w:rsid w:val="00AD5FAB"/>
    <w:rsid w:val="00AD5FD6"/>
    <w:rsid w:val="00AD6032"/>
    <w:rsid w:val="00AD6066"/>
    <w:rsid w:val="00AD60A6"/>
    <w:rsid w:val="00AD60A8"/>
    <w:rsid w:val="00AD62F6"/>
    <w:rsid w:val="00AD6540"/>
    <w:rsid w:val="00AD6605"/>
    <w:rsid w:val="00AD67B5"/>
    <w:rsid w:val="00AD6869"/>
    <w:rsid w:val="00AD69AA"/>
    <w:rsid w:val="00AD6AF6"/>
    <w:rsid w:val="00AD6B2C"/>
    <w:rsid w:val="00AD6DFC"/>
    <w:rsid w:val="00AD6E9C"/>
    <w:rsid w:val="00AD6F57"/>
    <w:rsid w:val="00AD705B"/>
    <w:rsid w:val="00AD70B1"/>
    <w:rsid w:val="00AD7163"/>
    <w:rsid w:val="00AD73AA"/>
    <w:rsid w:val="00AD73E0"/>
    <w:rsid w:val="00AD741C"/>
    <w:rsid w:val="00AD7520"/>
    <w:rsid w:val="00AD77F2"/>
    <w:rsid w:val="00AD785D"/>
    <w:rsid w:val="00AD78E4"/>
    <w:rsid w:val="00AD78E6"/>
    <w:rsid w:val="00AD7911"/>
    <w:rsid w:val="00AD7B57"/>
    <w:rsid w:val="00AD7E20"/>
    <w:rsid w:val="00AD7E4B"/>
    <w:rsid w:val="00AD7E54"/>
    <w:rsid w:val="00AD7F27"/>
    <w:rsid w:val="00AD7F5E"/>
    <w:rsid w:val="00AE0031"/>
    <w:rsid w:val="00AE00E2"/>
    <w:rsid w:val="00AE01A3"/>
    <w:rsid w:val="00AE0349"/>
    <w:rsid w:val="00AE0410"/>
    <w:rsid w:val="00AE04B3"/>
    <w:rsid w:val="00AE05AE"/>
    <w:rsid w:val="00AE070C"/>
    <w:rsid w:val="00AE07A3"/>
    <w:rsid w:val="00AE09B9"/>
    <w:rsid w:val="00AE0AE3"/>
    <w:rsid w:val="00AE0BDF"/>
    <w:rsid w:val="00AE0C21"/>
    <w:rsid w:val="00AE0C52"/>
    <w:rsid w:val="00AE0CE9"/>
    <w:rsid w:val="00AE0DBC"/>
    <w:rsid w:val="00AE0DC6"/>
    <w:rsid w:val="00AE0DCE"/>
    <w:rsid w:val="00AE0E20"/>
    <w:rsid w:val="00AE0F52"/>
    <w:rsid w:val="00AE0F71"/>
    <w:rsid w:val="00AE12E7"/>
    <w:rsid w:val="00AE13B5"/>
    <w:rsid w:val="00AE13EF"/>
    <w:rsid w:val="00AE1410"/>
    <w:rsid w:val="00AE1584"/>
    <w:rsid w:val="00AE15AC"/>
    <w:rsid w:val="00AE15F0"/>
    <w:rsid w:val="00AE16A6"/>
    <w:rsid w:val="00AE16A9"/>
    <w:rsid w:val="00AE176C"/>
    <w:rsid w:val="00AE17C9"/>
    <w:rsid w:val="00AE17EA"/>
    <w:rsid w:val="00AE17F5"/>
    <w:rsid w:val="00AE1802"/>
    <w:rsid w:val="00AE1806"/>
    <w:rsid w:val="00AE18A7"/>
    <w:rsid w:val="00AE18D0"/>
    <w:rsid w:val="00AE18E5"/>
    <w:rsid w:val="00AE1938"/>
    <w:rsid w:val="00AE193D"/>
    <w:rsid w:val="00AE1966"/>
    <w:rsid w:val="00AE197B"/>
    <w:rsid w:val="00AE1AB0"/>
    <w:rsid w:val="00AE1B25"/>
    <w:rsid w:val="00AE1B31"/>
    <w:rsid w:val="00AE1C19"/>
    <w:rsid w:val="00AE1EE6"/>
    <w:rsid w:val="00AE1FD8"/>
    <w:rsid w:val="00AE2071"/>
    <w:rsid w:val="00AE211B"/>
    <w:rsid w:val="00AE2237"/>
    <w:rsid w:val="00AE2277"/>
    <w:rsid w:val="00AE2337"/>
    <w:rsid w:val="00AE2493"/>
    <w:rsid w:val="00AE24A5"/>
    <w:rsid w:val="00AE24B4"/>
    <w:rsid w:val="00AE24CD"/>
    <w:rsid w:val="00AE2527"/>
    <w:rsid w:val="00AE256A"/>
    <w:rsid w:val="00AE260A"/>
    <w:rsid w:val="00AE26B5"/>
    <w:rsid w:val="00AE2752"/>
    <w:rsid w:val="00AE2757"/>
    <w:rsid w:val="00AE2815"/>
    <w:rsid w:val="00AE284C"/>
    <w:rsid w:val="00AE2893"/>
    <w:rsid w:val="00AE2910"/>
    <w:rsid w:val="00AE2BD4"/>
    <w:rsid w:val="00AE2C4F"/>
    <w:rsid w:val="00AE2C7C"/>
    <w:rsid w:val="00AE2C9F"/>
    <w:rsid w:val="00AE2CC5"/>
    <w:rsid w:val="00AE2D53"/>
    <w:rsid w:val="00AE2DBA"/>
    <w:rsid w:val="00AE2ED3"/>
    <w:rsid w:val="00AE2F10"/>
    <w:rsid w:val="00AE2F73"/>
    <w:rsid w:val="00AE2F84"/>
    <w:rsid w:val="00AE2F89"/>
    <w:rsid w:val="00AE300B"/>
    <w:rsid w:val="00AE3033"/>
    <w:rsid w:val="00AE30D1"/>
    <w:rsid w:val="00AE30F1"/>
    <w:rsid w:val="00AE3110"/>
    <w:rsid w:val="00AE312D"/>
    <w:rsid w:val="00AE31BC"/>
    <w:rsid w:val="00AE3263"/>
    <w:rsid w:val="00AE348B"/>
    <w:rsid w:val="00AE3508"/>
    <w:rsid w:val="00AE3641"/>
    <w:rsid w:val="00AE3869"/>
    <w:rsid w:val="00AE3901"/>
    <w:rsid w:val="00AE3976"/>
    <w:rsid w:val="00AE39AC"/>
    <w:rsid w:val="00AE3A69"/>
    <w:rsid w:val="00AE3B60"/>
    <w:rsid w:val="00AE3B63"/>
    <w:rsid w:val="00AE3BA1"/>
    <w:rsid w:val="00AE3BE7"/>
    <w:rsid w:val="00AE3BFE"/>
    <w:rsid w:val="00AE3D97"/>
    <w:rsid w:val="00AE3D9E"/>
    <w:rsid w:val="00AE3F3F"/>
    <w:rsid w:val="00AE406F"/>
    <w:rsid w:val="00AE40F6"/>
    <w:rsid w:val="00AE4163"/>
    <w:rsid w:val="00AE42E4"/>
    <w:rsid w:val="00AE43EB"/>
    <w:rsid w:val="00AE4490"/>
    <w:rsid w:val="00AE4525"/>
    <w:rsid w:val="00AE4B5D"/>
    <w:rsid w:val="00AE4BFA"/>
    <w:rsid w:val="00AE4C09"/>
    <w:rsid w:val="00AE4E43"/>
    <w:rsid w:val="00AE4EFF"/>
    <w:rsid w:val="00AE4FE9"/>
    <w:rsid w:val="00AE5022"/>
    <w:rsid w:val="00AE5117"/>
    <w:rsid w:val="00AE5141"/>
    <w:rsid w:val="00AE51E7"/>
    <w:rsid w:val="00AE521D"/>
    <w:rsid w:val="00AE5252"/>
    <w:rsid w:val="00AE537D"/>
    <w:rsid w:val="00AE5550"/>
    <w:rsid w:val="00AE5583"/>
    <w:rsid w:val="00AE55AA"/>
    <w:rsid w:val="00AE55B9"/>
    <w:rsid w:val="00AE574E"/>
    <w:rsid w:val="00AE579B"/>
    <w:rsid w:val="00AE579D"/>
    <w:rsid w:val="00AE57AD"/>
    <w:rsid w:val="00AE5908"/>
    <w:rsid w:val="00AE5A58"/>
    <w:rsid w:val="00AE5A67"/>
    <w:rsid w:val="00AE5B27"/>
    <w:rsid w:val="00AE5E8E"/>
    <w:rsid w:val="00AE5EB8"/>
    <w:rsid w:val="00AE5F25"/>
    <w:rsid w:val="00AE60A3"/>
    <w:rsid w:val="00AE60A8"/>
    <w:rsid w:val="00AE615C"/>
    <w:rsid w:val="00AE62E2"/>
    <w:rsid w:val="00AE639B"/>
    <w:rsid w:val="00AE641E"/>
    <w:rsid w:val="00AE6451"/>
    <w:rsid w:val="00AE6457"/>
    <w:rsid w:val="00AE64B9"/>
    <w:rsid w:val="00AE64C3"/>
    <w:rsid w:val="00AE65C5"/>
    <w:rsid w:val="00AE6630"/>
    <w:rsid w:val="00AE66D3"/>
    <w:rsid w:val="00AE66FF"/>
    <w:rsid w:val="00AE6890"/>
    <w:rsid w:val="00AE690B"/>
    <w:rsid w:val="00AE6B55"/>
    <w:rsid w:val="00AE6BB1"/>
    <w:rsid w:val="00AE6BF6"/>
    <w:rsid w:val="00AE6CDD"/>
    <w:rsid w:val="00AE6CF8"/>
    <w:rsid w:val="00AE6CFB"/>
    <w:rsid w:val="00AE6D0D"/>
    <w:rsid w:val="00AE6DC8"/>
    <w:rsid w:val="00AE6FAA"/>
    <w:rsid w:val="00AE70C6"/>
    <w:rsid w:val="00AE711A"/>
    <w:rsid w:val="00AE71F1"/>
    <w:rsid w:val="00AE720B"/>
    <w:rsid w:val="00AE722A"/>
    <w:rsid w:val="00AE724D"/>
    <w:rsid w:val="00AE72A3"/>
    <w:rsid w:val="00AE7385"/>
    <w:rsid w:val="00AE7479"/>
    <w:rsid w:val="00AE7603"/>
    <w:rsid w:val="00AE76AA"/>
    <w:rsid w:val="00AE77E6"/>
    <w:rsid w:val="00AE7800"/>
    <w:rsid w:val="00AE7807"/>
    <w:rsid w:val="00AE7868"/>
    <w:rsid w:val="00AE792D"/>
    <w:rsid w:val="00AE798F"/>
    <w:rsid w:val="00AE7AB2"/>
    <w:rsid w:val="00AE7C88"/>
    <w:rsid w:val="00AE7E18"/>
    <w:rsid w:val="00AE7E6D"/>
    <w:rsid w:val="00AE969C"/>
    <w:rsid w:val="00AF015C"/>
    <w:rsid w:val="00AF03E2"/>
    <w:rsid w:val="00AF0433"/>
    <w:rsid w:val="00AF0476"/>
    <w:rsid w:val="00AF05D0"/>
    <w:rsid w:val="00AF06CD"/>
    <w:rsid w:val="00AF0864"/>
    <w:rsid w:val="00AF0872"/>
    <w:rsid w:val="00AF08B4"/>
    <w:rsid w:val="00AF0961"/>
    <w:rsid w:val="00AF09CD"/>
    <w:rsid w:val="00AF09EC"/>
    <w:rsid w:val="00AF0A4D"/>
    <w:rsid w:val="00AF0AB6"/>
    <w:rsid w:val="00AF0AF8"/>
    <w:rsid w:val="00AF0DFF"/>
    <w:rsid w:val="00AF0E36"/>
    <w:rsid w:val="00AF10D0"/>
    <w:rsid w:val="00AF114E"/>
    <w:rsid w:val="00AF12E7"/>
    <w:rsid w:val="00AF13E6"/>
    <w:rsid w:val="00AF13FE"/>
    <w:rsid w:val="00AF156E"/>
    <w:rsid w:val="00AF17DF"/>
    <w:rsid w:val="00AF1992"/>
    <w:rsid w:val="00AF1D22"/>
    <w:rsid w:val="00AF1D60"/>
    <w:rsid w:val="00AF1DD8"/>
    <w:rsid w:val="00AF1E5E"/>
    <w:rsid w:val="00AF1ED2"/>
    <w:rsid w:val="00AF2026"/>
    <w:rsid w:val="00AF2048"/>
    <w:rsid w:val="00AF20DE"/>
    <w:rsid w:val="00AF2139"/>
    <w:rsid w:val="00AF213A"/>
    <w:rsid w:val="00AF21A2"/>
    <w:rsid w:val="00AF21A4"/>
    <w:rsid w:val="00AF2227"/>
    <w:rsid w:val="00AF2239"/>
    <w:rsid w:val="00AF2274"/>
    <w:rsid w:val="00AF2381"/>
    <w:rsid w:val="00AF23BC"/>
    <w:rsid w:val="00AF2488"/>
    <w:rsid w:val="00AF248B"/>
    <w:rsid w:val="00AF24DD"/>
    <w:rsid w:val="00AF256B"/>
    <w:rsid w:val="00AF2588"/>
    <w:rsid w:val="00AF2643"/>
    <w:rsid w:val="00AF265C"/>
    <w:rsid w:val="00AF26D5"/>
    <w:rsid w:val="00AF2736"/>
    <w:rsid w:val="00AF2897"/>
    <w:rsid w:val="00AF28E2"/>
    <w:rsid w:val="00AF2ABC"/>
    <w:rsid w:val="00AF2AFF"/>
    <w:rsid w:val="00AF2BA1"/>
    <w:rsid w:val="00AF2C6A"/>
    <w:rsid w:val="00AF2CBD"/>
    <w:rsid w:val="00AF2D77"/>
    <w:rsid w:val="00AF2E66"/>
    <w:rsid w:val="00AF2F99"/>
    <w:rsid w:val="00AF30CD"/>
    <w:rsid w:val="00AF30E5"/>
    <w:rsid w:val="00AF310D"/>
    <w:rsid w:val="00AF3135"/>
    <w:rsid w:val="00AF31E9"/>
    <w:rsid w:val="00AF33D9"/>
    <w:rsid w:val="00AF3410"/>
    <w:rsid w:val="00AF3483"/>
    <w:rsid w:val="00AF34A6"/>
    <w:rsid w:val="00AF3593"/>
    <w:rsid w:val="00AF35CA"/>
    <w:rsid w:val="00AF3622"/>
    <w:rsid w:val="00AF366A"/>
    <w:rsid w:val="00AF3680"/>
    <w:rsid w:val="00AF3691"/>
    <w:rsid w:val="00AF37EB"/>
    <w:rsid w:val="00AF3870"/>
    <w:rsid w:val="00AF38D6"/>
    <w:rsid w:val="00AF3A26"/>
    <w:rsid w:val="00AF3AA5"/>
    <w:rsid w:val="00AF3AD2"/>
    <w:rsid w:val="00AF3B15"/>
    <w:rsid w:val="00AF3B24"/>
    <w:rsid w:val="00AF3B71"/>
    <w:rsid w:val="00AF3B75"/>
    <w:rsid w:val="00AF3C28"/>
    <w:rsid w:val="00AF3C7C"/>
    <w:rsid w:val="00AF3CBD"/>
    <w:rsid w:val="00AF3CE9"/>
    <w:rsid w:val="00AF3D31"/>
    <w:rsid w:val="00AF3D3D"/>
    <w:rsid w:val="00AF3D82"/>
    <w:rsid w:val="00AF3D8D"/>
    <w:rsid w:val="00AF3EBB"/>
    <w:rsid w:val="00AF3EED"/>
    <w:rsid w:val="00AF3F8F"/>
    <w:rsid w:val="00AF3F9C"/>
    <w:rsid w:val="00AF3FC6"/>
    <w:rsid w:val="00AF4017"/>
    <w:rsid w:val="00AF401A"/>
    <w:rsid w:val="00AF41CF"/>
    <w:rsid w:val="00AF4205"/>
    <w:rsid w:val="00AF42D7"/>
    <w:rsid w:val="00AF459E"/>
    <w:rsid w:val="00AF45AF"/>
    <w:rsid w:val="00AF45B0"/>
    <w:rsid w:val="00AF45E6"/>
    <w:rsid w:val="00AF46BF"/>
    <w:rsid w:val="00AF4846"/>
    <w:rsid w:val="00AF4949"/>
    <w:rsid w:val="00AF4969"/>
    <w:rsid w:val="00AF49AC"/>
    <w:rsid w:val="00AF4A50"/>
    <w:rsid w:val="00AF4A7D"/>
    <w:rsid w:val="00AF4BF6"/>
    <w:rsid w:val="00AF4CBE"/>
    <w:rsid w:val="00AF4D89"/>
    <w:rsid w:val="00AF4DCF"/>
    <w:rsid w:val="00AF4E54"/>
    <w:rsid w:val="00AF4E85"/>
    <w:rsid w:val="00AF4F9D"/>
    <w:rsid w:val="00AF4FF1"/>
    <w:rsid w:val="00AF5078"/>
    <w:rsid w:val="00AF5122"/>
    <w:rsid w:val="00AF51AF"/>
    <w:rsid w:val="00AF51F9"/>
    <w:rsid w:val="00AF53AE"/>
    <w:rsid w:val="00AF53ED"/>
    <w:rsid w:val="00AF53FA"/>
    <w:rsid w:val="00AF5422"/>
    <w:rsid w:val="00AF5467"/>
    <w:rsid w:val="00AF54F7"/>
    <w:rsid w:val="00AF550C"/>
    <w:rsid w:val="00AF5528"/>
    <w:rsid w:val="00AF5548"/>
    <w:rsid w:val="00AF561B"/>
    <w:rsid w:val="00AF56FE"/>
    <w:rsid w:val="00AF57F9"/>
    <w:rsid w:val="00AF588E"/>
    <w:rsid w:val="00AF58BD"/>
    <w:rsid w:val="00AF5987"/>
    <w:rsid w:val="00AF598B"/>
    <w:rsid w:val="00AF59F1"/>
    <w:rsid w:val="00AF5A92"/>
    <w:rsid w:val="00AF5A9B"/>
    <w:rsid w:val="00AF5C50"/>
    <w:rsid w:val="00AF5D42"/>
    <w:rsid w:val="00AF5DFF"/>
    <w:rsid w:val="00AF5E94"/>
    <w:rsid w:val="00AF5FBA"/>
    <w:rsid w:val="00AF603C"/>
    <w:rsid w:val="00AF6151"/>
    <w:rsid w:val="00AF6238"/>
    <w:rsid w:val="00AF6280"/>
    <w:rsid w:val="00AF62A5"/>
    <w:rsid w:val="00AF635D"/>
    <w:rsid w:val="00AF63C5"/>
    <w:rsid w:val="00AF64F0"/>
    <w:rsid w:val="00AF6522"/>
    <w:rsid w:val="00AF6545"/>
    <w:rsid w:val="00AF659A"/>
    <w:rsid w:val="00AF66A3"/>
    <w:rsid w:val="00AF66F8"/>
    <w:rsid w:val="00AF673A"/>
    <w:rsid w:val="00AF67C0"/>
    <w:rsid w:val="00AF67D0"/>
    <w:rsid w:val="00AF680E"/>
    <w:rsid w:val="00AF68A7"/>
    <w:rsid w:val="00AF6926"/>
    <w:rsid w:val="00AF6951"/>
    <w:rsid w:val="00AF699B"/>
    <w:rsid w:val="00AF6A31"/>
    <w:rsid w:val="00AF6A52"/>
    <w:rsid w:val="00AF6C40"/>
    <w:rsid w:val="00AF6E19"/>
    <w:rsid w:val="00AF6E7F"/>
    <w:rsid w:val="00AF6EBA"/>
    <w:rsid w:val="00AF6F1B"/>
    <w:rsid w:val="00AF6FF3"/>
    <w:rsid w:val="00AF70B0"/>
    <w:rsid w:val="00AF7135"/>
    <w:rsid w:val="00AF713C"/>
    <w:rsid w:val="00AF7170"/>
    <w:rsid w:val="00AF719F"/>
    <w:rsid w:val="00AF7300"/>
    <w:rsid w:val="00AF73B7"/>
    <w:rsid w:val="00AF7469"/>
    <w:rsid w:val="00AF74C0"/>
    <w:rsid w:val="00AF751F"/>
    <w:rsid w:val="00AF7531"/>
    <w:rsid w:val="00AF75FB"/>
    <w:rsid w:val="00AF7606"/>
    <w:rsid w:val="00AF76CA"/>
    <w:rsid w:val="00AF7716"/>
    <w:rsid w:val="00AF78A4"/>
    <w:rsid w:val="00AF7903"/>
    <w:rsid w:val="00AF796C"/>
    <w:rsid w:val="00AF7A97"/>
    <w:rsid w:val="00AF7AE8"/>
    <w:rsid w:val="00AF7B02"/>
    <w:rsid w:val="00AF7B08"/>
    <w:rsid w:val="00AF7C24"/>
    <w:rsid w:val="00AF7CA3"/>
    <w:rsid w:val="00AF7D64"/>
    <w:rsid w:val="00AF7D96"/>
    <w:rsid w:val="00AF7E6E"/>
    <w:rsid w:val="00AF7ED2"/>
    <w:rsid w:val="00AF7EE2"/>
    <w:rsid w:val="00AF7EF8"/>
    <w:rsid w:val="00AF7FA6"/>
    <w:rsid w:val="00B000C2"/>
    <w:rsid w:val="00B0010E"/>
    <w:rsid w:val="00B0021F"/>
    <w:rsid w:val="00B00489"/>
    <w:rsid w:val="00B004A1"/>
    <w:rsid w:val="00B0050F"/>
    <w:rsid w:val="00B007C2"/>
    <w:rsid w:val="00B00808"/>
    <w:rsid w:val="00B008F0"/>
    <w:rsid w:val="00B0093A"/>
    <w:rsid w:val="00B00ACB"/>
    <w:rsid w:val="00B00B97"/>
    <w:rsid w:val="00B00BC1"/>
    <w:rsid w:val="00B00BCD"/>
    <w:rsid w:val="00B00C3B"/>
    <w:rsid w:val="00B00C47"/>
    <w:rsid w:val="00B00D59"/>
    <w:rsid w:val="00B01009"/>
    <w:rsid w:val="00B011AA"/>
    <w:rsid w:val="00B01274"/>
    <w:rsid w:val="00B012D0"/>
    <w:rsid w:val="00B0136F"/>
    <w:rsid w:val="00B0176A"/>
    <w:rsid w:val="00B0180A"/>
    <w:rsid w:val="00B01888"/>
    <w:rsid w:val="00B018F7"/>
    <w:rsid w:val="00B01918"/>
    <w:rsid w:val="00B019EE"/>
    <w:rsid w:val="00B01A29"/>
    <w:rsid w:val="00B01A37"/>
    <w:rsid w:val="00B01AEB"/>
    <w:rsid w:val="00B01AF1"/>
    <w:rsid w:val="00B01B13"/>
    <w:rsid w:val="00B01C73"/>
    <w:rsid w:val="00B01DEC"/>
    <w:rsid w:val="00B01EB5"/>
    <w:rsid w:val="00B02093"/>
    <w:rsid w:val="00B022BB"/>
    <w:rsid w:val="00B022D8"/>
    <w:rsid w:val="00B023F4"/>
    <w:rsid w:val="00B024F8"/>
    <w:rsid w:val="00B0257E"/>
    <w:rsid w:val="00B025C3"/>
    <w:rsid w:val="00B025C6"/>
    <w:rsid w:val="00B026B0"/>
    <w:rsid w:val="00B0275D"/>
    <w:rsid w:val="00B028BD"/>
    <w:rsid w:val="00B0292A"/>
    <w:rsid w:val="00B02B76"/>
    <w:rsid w:val="00B02C2A"/>
    <w:rsid w:val="00B02D9F"/>
    <w:rsid w:val="00B02DA3"/>
    <w:rsid w:val="00B02DDB"/>
    <w:rsid w:val="00B02EAD"/>
    <w:rsid w:val="00B02F64"/>
    <w:rsid w:val="00B02FC0"/>
    <w:rsid w:val="00B03031"/>
    <w:rsid w:val="00B03128"/>
    <w:rsid w:val="00B0324B"/>
    <w:rsid w:val="00B034B7"/>
    <w:rsid w:val="00B03535"/>
    <w:rsid w:val="00B0355D"/>
    <w:rsid w:val="00B035B4"/>
    <w:rsid w:val="00B036EC"/>
    <w:rsid w:val="00B037F3"/>
    <w:rsid w:val="00B0397D"/>
    <w:rsid w:val="00B039C0"/>
    <w:rsid w:val="00B03B57"/>
    <w:rsid w:val="00B03B6D"/>
    <w:rsid w:val="00B03BB9"/>
    <w:rsid w:val="00B03C09"/>
    <w:rsid w:val="00B03C57"/>
    <w:rsid w:val="00B03C96"/>
    <w:rsid w:val="00B03E9D"/>
    <w:rsid w:val="00B03F24"/>
    <w:rsid w:val="00B03FB8"/>
    <w:rsid w:val="00B0401D"/>
    <w:rsid w:val="00B040CE"/>
    <w:rsid w:val="00B0414E"/>
    <w:rsid w:val="00B042CB"/>
    <w:rsid w:val="00B04352"/>
    <w:rsid w:val="00B043AD"/>
    <w:rsid w:val="00B04499"/>
    <w:rsid w:val="00B044AA"/>
    <w:rsid w:val="00B044EA"/>
    <w:rsid w:val="00B045E8"/>
    <w:rsid w:val="00B04614"/>
    <w:rsid w:val="00B04625"/>
    <w:rsid w:val="00B04626"/>
    <w:rsid w:val="00B047D5"/>
    <w:rsid w:val="00B047F3"/>
    <w:rsid w:val="00B048D7"/>
    <w:rsid w:val="00B04A55"/>
    <w:rsid w:val="00B04A6C"/>
    <w:rsid w:val="00B04DD6"/>
    <w:rsid w:val="00B04DE5"/>
    <w:rsid w:val="00B04E57"/>
    <w:rsid w:val="00B04E5F"/>
    <w:rsid w:val="00B04E70"/>
    <w:rsid w:val="00B04F69"/>
    <w:rsid w:val="00B050B8"/>
    <w:rsid w:val="00B0517F"/>
    <w:rsid w:val="00B051AF"/>
    <w:rsid w:val="00B052B4"/>
    <w:rsid w:val="00B05316"/>
    <w:rsid w:val="00B05388"/>
    <w:rsid w:val="00B0539C"/>
    <w:rsid w:val="00B0545D"/>
    <w:rsid w:val="00B055BB"/>
    <w:rsid w:val="00B0562C"/>
    <w:rsid w:val="00B05686"/>
    <w:rsid w:val="00B0589F"/>
    <w:rsid w:val="00B059D4"/>
    <w:rsid w:val="00B05A91"/>
    <w:rsid w:val="00B05B3F"/>
    <w:rsid w:val="00B05B81"/>
    <w:rsid w:val="00B05CD6"/>
    <w:rsid w:val="00B05D59"/>
    <w:rsid w:val="00B05D87"/>
    <w:rsid w:val="00B05F23"/>
    <w:rsid w:val="00B05F5C"/>
    <w:rsid w:val="00B05F71"/>
    <w:rsid w:val="00B05FD4"/>
    <w:rsid w:val="00B0621A"/>
    <w:rsid w:val="00B0627E"/>
    <w:rsid w:val="00B0628C"/>
    <w:rsid w:val="00B062A3"/>
    <w:rsid w:val="00B063BB"/>
    <w:rsid w:val="00B06406"/>
    <w:rsid w:val="00B0646C"/>
    <w:rsid w:val="00B066F9"/>
    <w:rsid w:val="00B067B7"/>
    <w:rsid w:val="00B0681B"/>
    <w:rsid w:val="00B068F6"/>
    <w:rsid w:val="00B06918"/>
    <w:rsid w:val="00B069B4"/>
    <w:rsid w:val="00B06A4C"/>
    <w:rsid w:val="00B06AC2"/>
    <w:rsid w:val="00B06AED"/>
    <w:rsid w:val="00B06B63"/>
    <w:rsid w:val="00B06F01"/>
    <w:rsid w:val="00B06F17"/>
    <w:rsid w:val="00B0708B"/>
    <w:rsid w:val="00B070AD"/>
    <w:rsid w:val="00B0715C"/>
    <w:rsid w:val="00B0741F"/>
    <w:rsid w:val="00B0748D"/>
    <w:rsid w:val="00B07521"/>
    <w:rsid w:val="00B075C3"/>
    <w:rsid w:val="00B075F5"/>
    <w:rsid w:val="00B07615"/>
    <w:rsid w:val="00B07635"/>
    <w:rsid w:val="00B07684"/>
    <w:rsid w:val="00B077A3"/>
    <w:rsid w:val="00B077D2"/>
    <w:rsid w:val="00B0783D"/>
    <w:rsid w:val="00B078E9"/>
    <w:rsid w:val="00B07A1D"/>
    <w:rsid w:val="00B07B06"/>
    <w:rsid w:val="00B07B15"/>
    <w:rsid w:val="00B07B53"/>
    <w:rsid w:val="00B07BA3"/>
    <w:rsid w:val="00B07BD2"/>
    <w:rsid w:val="00B07BE7"/>
    <w:rsid w:val="00B07EC9"/>
    <w:rsid w:val="00B10048"/>
    <w:rsid w:val="00B100AC"/>
    <w:rsid w:val="00B1031C"/>
    <w:rsid w:val="00B103B5"/>
    <w:rsid w:val="00B103B8"/>
    <w:rsid w:val="00B10470"/>
    <w:rsid w:val="00B104C6"/>
    <w:rsid w:val="00B104D6"/>
    <w:rsid w:val="00B10585"/>
    <w:rsid w:val="00B105D8"/>
    <w:rsid w:val="00B1061E"/>
    <w:rsid w:val="00B10778"/>
    <w:rsid w:val="00B10829"/>
    <w:rsid w:val="00B1094D"/>
    <w:rsid w:val="00B10977"/>
    <w:rsid w:val="00B109BA"/>
    <w:rsid w:val="00B10C27"/>
    <w:rsid w:val="00B10C39"/>
    <w:rsid w:val="00B10CFA"/>
    <w:rsid w:val="00B10D59"/>
    <w:rsid w:val="00B10EFD"/>
    <w:rsid w:val="00B11074"/>
    <w:rsid w:val="00B11123"/>
    <w:rsid w:val="00B111F4"/>
    <w:rsid w:val="00B11298"/>
    <w:rsid w:val="00B112ED"/>
    <w:rsid w:val="00B113CA"/>
    <w:rsid w:val="00B11455"/>
    <w:rsid w:val="00B1166D"/>
    <w:rsid w:val="00B11761"/>
    <w:rsid w:val="00B117CB"/>
    <w:rsid w:val="00B117DA"/>
    <w:rsid w:val="00B118BA"/>
    <w:rsid w:val="00B118C1"/>
    <w:rsid w:val="00B118D4"/>
    <w:rsid w:val="00B11948"/>
    <w:rsid w:val="00B11B20"/>
    <w:rsid w:val="00B11B2F"/>
    <w:rsid w:val="00B11CA9"/>
    <w:rsid w:val="00B11E75"/>
    <w:rsid w:val="00B120A2"/>
    <w:rsid w:val="00B12106"/>
    <w:rsid w:val="00B12167"/>
    <w:rsid w:val="00B1216D"/>
    <w:rsid w:val="00B1225E"/>
    <w:rsid w:val="00B122CD"/>
    <w:rsid w:val="00B122EE"/>
    <w:rsid w:val="00B1230C"/>
    <w:rsid w:val="00B12343"/>
    <w:rsid w:val="00B123D2"/>
    <w:rsid w:val="00B12656"/>
    <w:rsid w:val="00B12872"/>
    <w:rsid w:val="00B1296B"/>
    <w:rsid w:val="00B12B1B"/>
    <w:rsid w:val="00B12BA4"/>
    <w:rsid w:val="00B12C3E"/>
    <w:rsid w:val="00B12C64"/>
    <w:rsid w:val="00B12D29"/>
    <w:rsid w:val="00B12E2A"/>
    <w:rsid w:val="00B12EA5"/>
    <w:rsid w:val="00B12EBA"/>
    <w:rsid w:val="00B12F13"/>
    <w:rsid w:val="00B12F15"/>
    <w:rsid w:val="00B12F6C"/>
    <w:rsid w:val="00B12F8C"/>
    <w:rsid w:val="00B12FA6"/>
    <w:rsid w:val="00B12FBB"/>
    <w:rsid w:val="00B12FCE"/>
    <w:rsid w:val="00B130BA"/>
    <w:rsid w:val="00B1318B"/>
    <w:rsid w:val="00B1323F"/>
    <w:rsid w:val="00B133C2"/>
    <w:rsid w:val="00B1346F"/>
    <w:rsid w:val="00B134F7"/>
    <w:rsid w:val="00B135F3"/>
    <w:rsid w:val="00B13725"/>
    <w:rsid w:val="00B137A3"/>
    <w:rsid w:val="00B13802"/>
    <w:rsid w:val="00B13823"/>
    <w:rsid w:val="00B138D3"/>
    <w:rsid w:val="00B13939"/>
    <w:rsid w:val="00B13AA6"/>
    <w:rsid w:val="00B13AC0"/>
    <w:rsid w:val="00B13B11"/>
    <w:rsid w:val="00B13B86"/>
    <w:rsid w:val="00B13BBB"/>
    <w:rsid w:val="00B13C31"/>
    <w:rsid w:val="00B13D9F"/>
    <w:rsid w:val="00B13E5F"/>
    <w:rsid w:val="00B13F11"/>
    <w:rsid w:val="00B13F5C"/>
    <w:rsid w:val="00B14019"/>
    <w:rsid w:val="00B14060"/>
    <w:rsid w:val="00B140BC"/>
    <w:rsid w:val="00B141B0"/>
    <w:rsid w:val="00B141BA"/>
    <w:rsid w:val="00B141EC"/>
    <w:rsid w:val="00B14200"/>
    <w:rsid w:val="00B14218"/>
    <w:rsid w:val="00B1423D"/>
    <w:rsid w:val="00B1425D"/>
    <w:rsid w:val="00B14405"/>
    <w:rsid w:val="00B14453"/>
    <w:rsid w:val="00B144C1"/>
    <w:rsid w:val="00B144E1"/>
    <w:rsid w:val="00B14509"/>
    <w:rsid w:val="00B14557"/>
    <w:rsid w:val="00B14589"/>
    <w:rsid w:val="00B14625"/>
    <w:rsid w:val="00B14726"/>
    <w:rsid w:val="00B14884"/>
    <w:rsid w:val="00B14A1F"/>
    <w:rsid w:val="00B14AEB"/>
    <w:rsid w:val="00B14BC4"/>
    <w:rsid w:val="00B14BE9"/>
    <w:rsid w:val="00B14D10"/>
    <w:rsid w:val="00B14EAC"/>
    <w:rsid w:val="00B14F6E"/>
    <w:rsid w:val="00B15162"/>
    <w:rsid w:val="00B15210"/>
    <w:rsid w:val="00B15232"/>
    <w:rsid w:val="00B152E7"/>
    <w:rsid w:val="00B15334"/>
    <w:rsid w:val="00B1536D"/>
    <w:rsid w:val="00B15577"/>
    <w:rsid w:val="00B15675"/>
    <w:rsid w:val="00B15731"/>
    <w:rsid w:val="00B157BD"/>
    <w:rsid w:val="00B158E0"/>
    <w:rsid w:val="00B159A0"/>
    <w:rsid w:val="00B159EA"/>
    <w:rsid w:val="00B15A9F"/>
    <w:rsid w:val="00B15AC9"/>
    <w:rsid w:val="00B15B01"/>
    <w:rsid w:val="00B15B45"/>
    <w:rsid w:val="00B15B85"/>
    <w:rsid w:val="00B15B97"/>
    <w:rsid w:val="00B15C89"/>
    <w:rsid w:val="00B15C8E"/>
    <w:rsid w:val="00B15D4E"/>
    <w:rsid w:val="00B1608B"/>
    <w:rsid w:val="00B160CF"/>
    <w:rsid w:val="00B160DE"/>
    <w:rsid w:val="00B160E8"/>
    <w:rsid w:val="00B16104"/>
    <w:rsid w:val="00B16210"/>
    <w:rsid w:val="00B1621C"/>
    <w:rsid w:val="00B163EE"/>
    <w:rsid w:val="00B165D5"/>
    <w:rsid w:val="00B16683"/>
    <w:rsid w:val="00B167C2"/>
    <w:rsid w:val="00B16875"/>
    <w:rsid w:val="00B1689F"/>
    <w:rsid w:val="00B168B7"/>
    <w:rsid w:val="00B16AA3"/>
    <w:rsid w:val="00B16AEA"/>
    <w:rsid w:val="00B16B0C"/>
    <w:rsid w:val="00B16C25"/>
    <w:rsid w:val="00B16C5D"/>
    <w:rsid w:val="00B16CB0"/>
    <w:rsid w:val="00B16CE0"/>
    <w:rsid w:val="00B16D7B"/>
    <w:rsid w:val="00B16EA2"/>
    <w:rsid w:val="00B16ECF"/>
    <w:rsid w:val="00B17020"/>
    <w:rsid w:val="00B170B1"/>
    <w:rsid w:val="00B171EF"/>
    <w:rsid w:val="00B173DC"/>
    <w:rsid w:val="00B17416"/>
    <w:rsid w:val="00B17419"/>
    <w:rsid w:val="00B17424"/>
    <w:rsid w:val="00B1757F"/>
    <w:rsid w:val="00B175C3"/>
    <w:rsid w:val="00B1762E"/>
    <w:rsid w:val="00B17726"/>
    <w:rsid w:val="00B17746"/>
    <w:rsid w:val="00B1784F"/>
    <w:rsid w:val="00B17870"/>
    <w:rsid w:val="00B1789E"/>
    <w:rsid w:val="00B17936"/>
    <w:rsid w:val="00B17B8C"/>
    <w:rsid w:val="00B17BC6"/>
    <w:rsid w:val="00B17BC9"/>
    <w:rsid w:val="00B17C8F"/>
    <w:rsid w:val="00B17D3C"/>
    <w:rsid w:val="00B17DC5"/>
    <w:rsid w:val="00B17E1C"/>
    <w:rsid w:val="00B17E26"/>
    <w:rsid w:val="00B17E34"/>
    <w:rsid w:val="00B17F6C"/>
    <w:rsid w:val="00B17FA7"/>
    <w:rsid w:val="00B20021"/>
    <w:rsid w:val="00B201C8"/>
    <w:rsid w:val="00B20270"/>
    <w:rsid w:val="00B20292"/>
    <w:rsid w:val="00B203AB"/>
    <w:rsid w:val="00B2042D"/>
    <w:rsid w:val="00B20473"/>
    <w:rsid w:val="00B204A1"/>
    <w:rsid w:val="00B204F9"/>
    <w:rsid w:val="00B205D8"/>
    <w:rsid w:val="00B20646"/>
    <w:rsid w:val="00B2069F"/>
    <w:rsid w:val="00B20769"/>
    <w:rsid w:val="00B20796"/>
    <w:rsid w:val="00B208D0"/>
    <w:rsid w:val="00B209AD"/>
    <w:rsid w:val="00B209BD"/>
    <w:rsid w:val="00B20A11"/>
    <w:rsid w:val="00B20AFC"/>
    <w:rsid w:val="00B20C80"/>
    <w:rsid w:val="00B20CA9"/>
    <w:rsid w:val="00B20EA8"/>
    <w:rsid w:val="00B20F67"/>
    <w:rsid w:val="00B21016"/>
    <w:rsid w:val="00B21099"/>
    <w:rsid w:val="00B21157"/>
    <w:rsid w:val="00B211D9"/>
    <w:rsid w:val="00B212F5"/>
    <w:rsid w:val="00B212FD"/>
    <w:rsid w:val="00B21402"/>
    <w:rsid w:val="00B2142C"/>
    <w:rsid w:val="00B21462"/>
    <w:rsid w:val="00B21492"/>
    <w:rsid w:val="00B214F6"/>
    <w:rsid w:val="00B21631"/>
    <w:rsid w:val="00B216E3"/>
    <w:rsid w:val="00B217C0"/>
    <w:rsid w:val="00B217F1"/>
    <w:rsid w:val="00B2187C"/>
    <w:rsid w:val="00B218C3"/>
    <w:rsid w:val="00B21B27"/>
    <w:rsid w:val="00B21B2E"/>
    <w:rsid w:val="00B21B7A"/>
    <w:rsid w:val="00B21BF2"/>
    <w:rsid w:val="00B21C83"/>
    <w:rsid w:val="00B21D18"/>
    <w:rsid w:val="00B21D49"/>
    <w:rsid w:val="00B21D87"/>
    <w:rsid w:val="00B21F74"/>
    <w:rsid w:val="00B21FBF"/>
    <w:rsid w:val="00B22268"/>
    <w:rsid w:val="00B22300"/>
    <w:rsid w:val="00B22389"/>
    <w:rsid w:val="00B2252D"/>
    <w:rsid w:val="00B2259B"/>
    <w:rsid w:val="00B22645"/>
    <w:rsid w:val="00B22831"/>
    <w:rsid w:val="00B2290F"/>
    <w:rsid w:val="00B22962"/>
    <w:rsid w:val="00B229F1"/>
    <w:rsid w:val="00B22C53"/>
    <w:rsid w:val="00B22CDB"/>
    <w:rsid w:val="00B22E67"/>
    <w:rsid w:val="00B22EAD"/>
    <w:rsid w:val="00B22F32"/>
    <w:rsid w:val="00B2307D"/>
    <w:rsid w:val="00B23224"/>
    <w:rsid w:val="00B23273"/>
    <w:rsid w:val="00B2335C"/>
    <w:rsid w:val="00B2337E"/>
    <w:rsid w:val="00B233C1"/>
    <w:rsid w:val="00B235FC"/>
    <w:rsid w:val="00B236A7"/>
    <w:rsid w:val="00B236BF"/>
    <w:rsid w:val="00B238B6"/>
    <w:rsid w:val="00B238C6"/>
    <w:rsid w:val="00B23966"/>
    <w:rsid w:val="00B23A06"/>
    <w:rsid w:val="00B23A9E"/>
    <w:rsid w:val="00B23AE5"/>
    <w:rsid w:val="00B23B70"/>
    <w:rsid w:val="00B23BBA"/>
    <w:rsid w:val="00B23C22"/>
    <w:rsid w:val="00B23C4E"/>
    <w:rsid w:val="00B23C5B"/>
    <w:rsid w:val="00B23C6D"/>
    <w:rsid w:val="00B23CCD"/>
    <w:rsid w:val="00B23D29"/>
    <w:rsid w:val="00B23E84"/>
    <w:rsid w:val="00B23EC8"/>
    <w:rsid w:val="00B24020"/>
    <w:rsid w:val="00B2409D"/>
    <w:rsid w:val="00B2411E"/>
    <w:rsid w:val="00B2417D"/>
    <w:rsid w:val="00B2421F"/>
    <w:rsid w:val="00B24360"/>
    <w:rsid w:val="00B2437D"/>
    <w:rsid w:val="00B24439"/>
    <w:rsid w:val="00B24475"/>
    <w:rsid w:val="00B244EF"/>
    <w:rsid w:val="00B244F6"/>
    <w:rsid w:val="00B2461C"/>
    <w:rsid w:val="00B24832"/>
    <w:rsid w:val="00B248BE"/>
    <w:rsid w:val="00B24B23"/>
    <w:rsid w:val="00B24B5A"/>
    <w:rsid w:val="00B24B86"/>
    <w:rsid w:val="00B24C81"/>
    <w:rsid w:val="00B24CE3"/>
    <w:rsid w:val="00B24D5E"/>
    <w:rsid w:val="00B24DF3"/>
    <w:rsid w:val="00B24E36"/>
    <w:rsid w:val="00B24E45"/>
    <w:rsid w:val="00B24E97"/>
    <w:rsid w:val="00B24F1D"/>
    <w:rsid w:val="00B24FE1"/>
    <w:rsid w:val="00B25015"/>
    <w:rsid w:val="00B2514B"/>
    <w:rsid w:val="00B25165"/>
    <w:rsid w:val="00B25237"/>
    <w:rsid w:val="00B2523B"/>
    <w:rsid w:val="00B2536D"/>
    <w:rsid w:val="00B253F7"/>
    <w:rsid w:val="00B254ED"/>
    <w:rsid w:val="00B2576D"/>
    <w:rsid w:val="00B25A6D"/>
    <w:rsid w:val="00B25B9E"/>
    <w:rsid w:val="00B25D02"/>
    <w:rsid w:val="00B25D56"/>
    <w:rsid w:val="00B25DDB"/>
    <w:rsid w:val="00B25DE0"/>
    <w:rsid w:val="00B25E07"/>
    <w:rsid w:val="00B25F42"/>
    <w:rsid w:val="00B26083"/>
    <w:rsid w:val="00B2613E"/>
    <w:rsid w:val="00B26188"/>
    <w:rsid w:val="00B26422"/>
    <w:rsid w:val="00B264DD"/>
    <w:rsid w:val="00B26603"/>
    <w:rsid w:val="00B26691"/>
    <w:rsid w:val="00B266FE"/>
    <w:rsid w:val="00B26905"/>
    <w:rsid w:val="00B2691A"/>
    <w:rsid w:val="00B26986"/>
    <w:rsid w:val="00B26A9C"/>
    <w:rsid w:val="00B26C60"/>
    <w:rsid w:val="00B26D59"/>
    <w:rsid w:val="00B26DC4"/>
    <w:rsid w:val="00B26EAE"/>
    <w:rsid w:val="00B27019"/>
    <w:rsid w:val="00B270E9"/>
    <w:rsid w:val="00B270F8"/>
    <w:rsid w:val="00B27417"/>
    <w:rsid w:val="00B27498"/>
    <w:rsid w:val="00B276F8"/>
    <w:rsid w:val="00B27766"/>
    <w:rsid w:val="00B277B7"/>
    <w:rsid w:val="00B277E0"/>
    <w:rsid w:val="00B2780A"/>
    <w:rsid w:val="00B27903"/>
    <w:rsid w:val="00B27965"/>
    <w:rsid w:val="00B279B5"/>
    <w:rsid w:val="00B279D5"/>
    <w:rsid w:val="00B27A27"/>
    <w:rsid w:val="00B27A39"/>
    <w:rsid w:val="00B27A96"/>
    <w:rsid w:val="00B27B2A"/>
    <w:rsid w:val="00B27B2C"/>
    <w:rsid w:val="00B27BED"/>
    <w:rsid w:val="00B27C1F"/>
    <w:rsid w:val="00B27D59"/>
    <w:rsid w:val="00B27DA5"/>
    <w:rsid w:val="00B27E39"/>
    <w:rsid w:val="00B27F55"/>
    <w:rsid w:val="00B27FA5"/>
    <w:rsid w:val="00B300AA"/>
    <w:rsid w:val="00B300CA"/>
    <w:rsid w:val="00B300D4"/>
    <w:rsid w:val="00B30249"/>
    <w:rsid w:val="00B3026E"/>
    <w:rsid w:val="00B302B2"/>
    <w:rsid w:val="00B30313"/>
    <w:rsid w:val="00B30428"/>
    <w:rsid w:val="00B3056B"/>
    <w:rsid w:val="00B305C5"/>
    <w:rsid w:val="00B3061F"/>
    <w:rsid w:val="00B30757"/>
    <w:rsid w:val="00B30905"/>
    <w:rsid w:val="00B30960"/>
    <w:rsid w:val="00B30A16"/>
    <w:rsid w:val="00B30A1C"/>
    <w:rsid w:val="00B30ACA"/>
    <w:rsid w:val="00B30B4D"/>
    <w:rsid w:val="00B30B8E"/>
    <w:rsid w:val="00B30C10"/>
    <w:rsid w:val="00B30CC9"/>
    <w:rsid w:val="00B30D39"/>
    <w:rsid w:val="00B30D6B"/>
    <w:rsid w:val="00B30DE3"/>
    <w:rsid w:val="00B30E72"/>
    <w:rsid w:val="00B30F68"/>
    <w:rsid w:val="00B30FBC"/>
    <w:rsid w:val="00B31018"/>
    <w:rsid w:val="00B3102A"/>
    <w:rsid w:val="00B312F0"/>
    <w:rsid w:val="00B312FA"/>
    <w:rsid w:val="00B31378"/>
    <w:rsid w:val="00B3140D"/>
    <w:rsid w:val="00B314A1"/>
    <w:rsid w:val="00B314D4"/>
    <w:rsid w:val="00B31769"/>
    <w:rsid w:val="00B317AF"/>
    <w:rsid w:val="00B318A1"/>
    <w:rsid w:val="00B318A7"/>
    <w:rsid w:val="00B318B3"/>
    <w:rsid w:val="00B31918"/>
    <w:rsid w:val="00B31969"/>
    <w:rsid w:val="00B31B76"/>
    <w:rsid w:val="00B31BB4"/>
    <w:rsid w:val="00B31BC7"/>
    <w:rsid w:val="00B31BD6"/>
    <w:rsid w:val="00B31C5E"/>
    <w:rsid w:val="00B31D44"/>
    <w:rsid w:val="00B31E62"/>
    <w:rsid w:val="00B31EC6"/>
    <w:rsid w:val="00B31F30"/>
    <w:rsid w:val="00B31F64"/>
    <w:rsid w:val="00B32055"/>
    <w:rsid w:val="00B320E1"/>
    <w:rsid w:val="00B3211E"/>
    <w:rsid w:val="00B32161"/>
    <w:rsid w:val="00B321AB"/>
    <w:rsid w:val="00B32205"/>
    <w:rsid w:val="00B322BC"/>
    <w:rsid w:val="00B32468"/>
    <w:rsid w:val="00B324FA"/>
    <w:rsid w:val="00B32554"/>
    <w:rsid w:val="00B325D9"/>
    <w:rsid w:val="00B325DB"/>
    <w:rsid w:val="00B32620"/>
    <w:rsid w:val="00B32778"/>
    <w:rsid w:val="00B32805"/>
    <w:rsid w:val="00B328C8"/>
    <w:rsid w:val="00B32941"/>
    <w:rsid w:val="00B32BE4"/>
    <w:rsid w:val="00B32C2F"/>
    <w:rsid w:val="00B32E19"/>
    <w:rsid w:val="00B32E2B"/>
    <w:rsid w:val="00B32E80"/>
    <w:rsid w:val="00B32F14"/>
    <w:rsid w:val="00B3308E"/>
    <w:rsid w:val="00B33099"/>
    <w:rsid w:val="00B33158"/>
    <w:rsid w:val="00B331BF"/>
    <w:rsid w:val="00B33468"/>
    <w:rsid w:val="00B336A4"/>
    <w:rsid w:val="00B336CF"/>
    <w:rsid w:val="00B33773"/>
    <w:rsid w:val="00B337F3"/>
    <w:rsid w:val="00B33851"/>
    <w:rsid w:val="00B338DB"/>
    <w:rsid w:val="00B33A1C"/>
    <w:rsid w:val="00B33A2E"/>
    <w:rsid w:val="00B33BA2"/>
    <w:rsid w:val="00B33C08"/>
    <w:rsid w:val="00B33D94"/>
    <w:rsid w:val="00B33DED"/>
    <w:rsid w:val="00B33E88"/>
    <w:rsid w:val="00B33EB8"/>
    <w:rsid w:val="00B33ECF"/>
    <w:rsid w:val="00B33EE4"/>
    <w:rsid w:val="00B33F3E"/>
    <w:rsid w:val="00B33FE2"/>
    <w:rsid w:val="00B3415D"/>
    <w:rsid w:val="00B34275"/>
    <w:rsid w:val="00B34299"/>
    <w:rsid w:val="00B3431B"/>
    <w:rsid w:val="00B34335"/>
    <w:rsid w:val="00B3435B"/>
    <w:rsid w:val="00B34378"/>
    <w:rsid w:val="00B343F7"/>
    <w:rsid w:val="00B346DD"/>
    <w:rsid w:val="00B346F8"/>
    <w:rsid w:val="00B34712"/>
    <w:rsid w:val="00B34785"/>
    <w:rsid w:val="00B347E3"/>
    <w:rsid w:val="00B34A2A"/>
    <w:rsid w:val="00B34A3C"/>
    <w:rsid w:val="00B34B2E"/>
    <w:rsid w:val="00B34B78"/>
    <w:rsid w:val="00B34C69"/>
    <w:rsid w:val="00B34CD3"/>
    <w:rsid w:val="00B34D57"/>
    <w:rsid w:val="00B35037"/>
    <w:rsid w:val="00B35075"/>
    <w:rsid w:val="00B351CF"/>
    <w:rsid w:val="00B352AC"/>
    <w:rsid w:val="00B352DF"/>
    <w:rsid w:val="00B354AD"/>
    <w:rsid w:val="00B354C9"/>
    <w:rsid w:val="00B3555C"/>
    <w:rsid w:val="00B3569D"/>
    <w:rsid w:val="00B35709"/>
    <w:rsid w:val="00B3573B"/>
    <w:rsid w:val="00B35848"/>
    <w:rsid w:val="00B35966"/>
    <w:rsid w:val="00B359C4"/>
    <w:rsid w:val="00B35BA7"/>
    <w:rsid w:val="00B35C76"/>
    <w:rsid w:val="00B35D02"/>
    <w:rsid w:val="00B35D8D"/>
    <w:rsid w:val="00B35EA5"/>
    <w:rsid w:val="00B35F01"/>
    <w:rsid w:val="00B35F65"/>
    <w:rsid w:val="00B35FB5"/>
    <w:rsid w:val="00B36014"/>
    <w:rsid w:val="00B36017"/>
    <w:rsid w:val="00B3604D"/>
    <w:rsid w:val="00B3609E"/>
    <w:rsid w:val="00B36270"/>
    <w:rsid w:val="00B36510"/>
    <w:rsid w:val="00B36578"/>
    <w:rsid w:val="00B365A4"/>
    <w:rsid w:val="00B365B0"/>
    <w:rsid w:val="00B365B2"/>
    <w:rsid w:val="00B3662E"/>
    <w:rsid w:val="00B366FF"/>
    <w:rsid w:val="00B3694D"/>
    <w:rsid w:val="00B36976"/>
    <w:rsid w:val="00B369A0"/>
    <w:rsid w:val="00B369EC"/>
    <w:rsid w:val="00B36AD7"/>
    <w:rsid w:val="00B36D45"/>
    <w:rsid w:val="00B36F0C"/>
    <w:rsid w:val="00B36F58"/>
    <w:rsid w:val="00B36F9E"/>
    <w:rsid w:val="00B370D6"/>
    <w:rsid w:val="00B373A1"/>
    <w:rsid w:val="00B37423"/>
    <w:rsid w:val="00B374CD"/>
    <w:rsid w:val="00B3750C"/>
    <w:rsid w:val="00B37593"/>
    <w:rsid w:val="00B3761B"/>
    <w:rsid w:val="00B3768F"/>
    <w:rsid w:val="00B3771D"/>
    <w:rsid w:val="00B377CE"/>
    <w:rsid w:val="00B377D0"/>
    <w:rsid w:val="00B3782C"/>
    <w:rsid w:val="00B37838"/>
    <w:rsid w:val="00B37891"/>
    <w:rsid w:val="00B378E9"/>
    <w:rsid w:val="00B37BDC"/>
    <w:rsid w:val="00B37C6A"/>
    <w:rsid w:val="00B40002"/>
    <w:rsid w:val="00B4001C"/>
    <w:rsid w:val="00B4003A"/>
    <w:rsid w:val="00B40099"/>
    <w:rsid w:val="00B40106"/>
    <w:rsid w:val="00B402A0"/>
    <w:rsid w:val="00B402F3"/>
    <w:rsid w:val="00B4035F"/>
    <w:rsid w:val="00B40423"/>
    <w:rsid w:val="00B40433"/>
    <w:rsid w:val="00B40452"/>
    <w:rsid w:val="00B40583"/>
    <w:rsid w:val="00B40779"/>
    <w:rsid w:val="00B40925"/>
    <w:rsid w:val="00B4095A"/>
    <w:rsid w:val="00B40B2E"/>
    <w:rsid w:val="00B40B58"/>
    <w:rsid w:val="00B40B83"/>
    <w:rsid w:val="00B40C20"/>
    <w:rsid w:val="00B40D42"/>
    <w:rsid w:val="00B40D53"/>
    <w:rsid w:val="00B40DB2"/>
    <w:rsid w:val="00B40DDB"/>
    <w:rsid w:val="00B40E30"/>
    <w:rsid w:val="00B40FC2"/>
    <w:rsid w:val="00B41084"/>
    <w:rsid w:val="00B411F6"/>
    <w:rsid w:val="00B4122D"/>
    <w:rsid w:val="00B41290"/>
    <w:rsid w:val="00B412C7"/>
    <w:rsid w:val="00B412EA"/>
    <w:rsid w:val="00B4133E"/>
    <w:rsid w:val="00B41383"/>
    <w:rsid w:val="00B413A8"/>
    <w:rsid w:val="00B4145A"/>
    <w:rsid w:val="00B4146A"/>
    <w:rsid w:val="00B4148F"/>
    <w:rsid w:val="00B41634"/>
    <w:rsid w:val="00B4163F"/>
    <w:rsid w:val="00B416DB"/>
    <w:rsid w:val="00B416FF"/>
    <w:rsid w:val="00B4179D"/>
    <w:rsid w:val="00B41878"/>
    <w:rsid w:val="00B4188B"/>
    <w:rsid w:val="00B4191E"/>
    <w:rsid w:val="00B4192F"/>
    <w:rsid w:val="00B41988"/>
    <w:rsid w:val="00B4198E"/>
    <w:rsid w:val="00B41A02"/>
    <w:rsid w:val="00B41CBD"/>
    <w:rsid w:val="00B41E79"/>
    <w:rsid w:val="00B41E97"/>
    <w:rsid w:val="00B42068"/>
    <w:rsid w:val="00B420D3"/>
    <w:rsid w:val="00B42100"/>
    <w:rsid w:val="00B42173"/>
    <w:rsid w:val="00B421C3"/>
    <w:rsid w:val="00B421F7"/>
    <w:rsid w:val="00B423D5"/>
    <w:rsid w:val="00B4256D"/>
    <w:rsid w:val="00B42579"/>
    <w:rsid w:val="00B42726"/>
    <w:rsid w:val="00B42808"/>
    <w:rsid w:val="00B42815"/>
    <w:rsid w:val="00B428D1"/>
    <w:rsid w:val="00B429F1"/>
    <w:rsid w:val="00B42A4D"/>
    <w:rsid w:val="00B42EF1"/>
    <w:rsid w:val="00B42FA3"/>
    <w:rsid w:val="00B43161"/>
    <w:rsid w:val="00B431B7"/>
    <w:rsid w:val="00B431F5"/>
    <w:rsid w:val="00B43266"/>
    <w:rsid w:val="00B43334"/>
    <w:rsid w:val="00B43420"/>
    <w:rsid w:val="00B435D4"/>
    <w:rsid w:val="00B4365E"/>
    <w:rsid w:val="00B43678"/>
    <w:rsid w:val="00B437AC"/>
    <w:rsid w:val="00B4382B"/>
    <w:rsid w:val="00B4396B"/>
    <w:rsid w:val="00B43A04"/>
    <w:rsid w:val="00B43A16"/>
    <w:rsid w:val="00B43A60"/>
    <w:rsid w:val="00B43B02"/>
    <w:rsid w:val="00B43C02"/>
    <w:rsid w:val="00B43C49"/>
    <w:rsid w:val="00B43C5C"/>
    <w:rsid w:val="00B43CAB"/>
    <w:rsid w:val="00B43CDF"/>
    <w:rsid w:val="00B43F29"/>
    <w:rsid w:val="00B4416E"/>
    <w:rsid w:val="00B441E3"/>
    <w:rsid w:val="00B4424C"/>
    <w:rsid w:val="00B442E5"/>
    <w:rsid w:val="00B44498"/>
    <w:rsid w:val="00B444D1"/>
    <w:rsid w:val="00B44512"/>
    <w:rsid w:val="00B4455E"/>
    <w:rsid w:val="00B44563"/>
    <w:rsid w:val="00B446B0"/>
    <w:rsid w:val="00B446DE"/>
    <w:rsid w:val="00B44736"/>
    <w:rsid w:val="00B44778"/>
    <w:rsid w:val="00B44799"/>
    <w:rsid w:val="00B44851"/>
    <w:rsid w:val="00B4490B"/>
    <w:rsid w:val="00B4493C"/>
    <w:rsid w:val="00B44955"/>
    <w:rsid w:val="00B44A2A"/>
    <w:rsid w:val="00B44A9F"/>
    <w:rsid w:val="00B44B01"/>
    <w:rsid w:val="00B44B05"/>
    <w:rsid w:val="00B44BAC"/>
    <w:rsid w:val="00B44BCF"/>
    <w:rsid w:val="00B44C01"/>
    <w:rsid w:val="00B44C0C"/>
    <w:rsid w:val="00B44C33"/>
    <w:rsid w:val="00B44D4C"/>
    <w:rsid w:val="00B44D77"/>
    <w:rsid w:val="00B44DDA"/>
    <w:rsid w:val="00B44DF0"/>
    <w:rsid w:val="00B44E35"/>
    <w:rsid w:val="00B44EFB"/>
    <w:rsid w:val="00B45137"/>
    <w:rsid w:val="00B45241"/>
    <w:rsid w:val="00B452C9"/>
    <w:rsid w:val="00B4536C"/>
    <w:rsid w:val="00B453BA"/>
    <w:rsid w:val="00B453CD"/>
    <w:rsid w:val="00B45403"/>
    <w:rsid w:val="00B4544B"/>
    <w:rsid w:val="00B455FD"/>
    <w:rsid w:val="00B45725"/>
    <w:rsid w:val="00B4577C"/>
    <w:rsid w:val="00B45790"/>
    <w:rsid w:val="00B45806"/>
    <w:rsid w:val="00B45889"/>
    <w:rsid w:val="00B45920"/>
    <w:rsid w:val="00B45928"/>
    <w:rsid w:val="00B459A4"/>
    <w:rsid w:val="00B45A0F"/>
    <w:rsid w:val="00B45A4C"/>
    <w:rsid w:val="00B45BEE"/>
    <w:rsid w:val="00B45CBB"/>
    <w:rsid w:val="00B45EAD"/>
    <w:rsid w:val="00B45F80"/>
    <w:rsid w:val="00B45FA2"/>
    <w:rsid w:val="00B45FD6"/>
    <w:rsid w:val="00B46012"/>
    <w:rsid w:val="00B46084"/>
    <w:rsid w:val="00B461D1"/>
    <w:rsid w:val="00B461F7"/>
    <w:rsid w:val="00B4620A"/>
    <w:rsid w:val="00B462B7"/>
    <w:rsid w:val="00B4630B"/>
    <w:rsid w:val="00B4632C"/>
    <w:rsid w:val="00B46356"/>
    <w:rsid w:val="00B463CD"/>
    <w:rsid w:val="00B4653B"/>
    <w:rsid w:val="00B46669"/>
    <w:rsid w:val="00B466EA"/>
    <w:rsid w:val="00B466F9"/>
    <w:rsid w:val="00B468DD"/>
    <w:rsid w:val="00B4691B"/>
    <w:rsid w:val="00B46947"/>
    <w:rsid w:val="00B469C3"/>
    <w:rsid w:val="00B46A56"/>
    <w:rsid w:val="00B46C00"/>
    <w:rsid w:val="00B46C10"/>
    <w:rsid w:val="00B46C2A"/>
    <w:rsid w:val="00B46D30"/>
    <w:rsid w:val="00B46DD1"/>
    <w:rsid w:val="00B46E5B"/>
    <w:rsid w:val="00B46E90"/>
    <w:rsid w:val="00B46ED9"/>
    <w:rsid w:val="00B46F6E"/>
    <w:rsid w:val="00B471DF"/>
    <w:rsid w:val="00B472A7"/>
    <w:rsid w:val="00B472BC"/>
    <w:rsid w:val="00B473AB"/>
    <w:rsid w:val="00B47488"/>
    <w:rsid w:val="00B474AB"/>
    <w:rsid w:val="00B475AF"/>
    <w:rsid w:val="00B4765D"/>
    <w:rsid w:val="00B47676"/>
    <w:rsid w:val="00B47758"/>
    <w:rsid w:val="00B477F5"/>
    <w:rsid w:val="00B47835"/>
    <w:rsid w:val="00B47854"/>
    <w:rsid w:val="00B4799E"/>
    <w:rsid w:val="00B47A12"/>
    <w:rsid w:val="00B47B95"/>
    <w:rsid w:val="00B47D36"/>
    <w:rsid w:val="00B47D4F"/>
    <w:rsid w:val="00B47D56"/>
    <w:rsid w:val="00B47D93"/>
    <w:rsid w:val="00B47D94"/>
    <w:rsid w:val="00B47E55"/>
    <w:rsid w:val="00B47F1A"/>
    <w:rsid w:val="00B47F39"/>
    <w:rsid w:val="00B500BA"/>
    <w:rsid w:val="00B500C7"/>
    <w:rsid w:val="00B50141"/>
    <w:rsid w:val="00B50160"/>
    <w:rsid w:val="00B501AB"/>
    <w:rsid w:val="00B5020E"/>
    <w:rsid w:val="00B5024A"/>
    <w:rsid w:val="00B5039A"/>
    <w:rsid w:val="00B503FF"/>
    <w:rsid w:val="00B50417"/>
    <w:rsid w:val="00B5042F"/>
    <w:rsid w:val="00B5045F"/>
    <w:rsid w:val="00B505FE"/>
    <w:rsid w:val="00B50631"/>
    <w:rsid w:val="00B5079F"/>
    <w:rsid w:val="00B5099E"/>
    <w:rsid w:val="00B50B3A"/>
    <w:rsid w:val="00B50B4A"/>
    <w:rsid w:val="00B50B8A"/>
    <w:rsid w:val="00B50C8A"/>
    <w:rsid w:val="00B50E7E"/>
    <w:rsid w:val="00B51005"/>
    <w:rsid w:val="00B5109F"/>
    <w:rsid w:val="00B510D4"/>
    <w:rsid w:val="00B51254"/>
    <w:rsid w:val="00B51337"/>
    <w:rsid w:val="00B5137E"/>
    <w:rsid w:val="00B51410"/>
    <w:rsid w:val="00B5142C"/>
    <w:rsid w:val="00B51441"/>
    <w:rsid w:val="00B514AD"/>
    <w:rsid w:val="00B51581"/>
    <w:rsid w:val="00B515CA"/>
    <w:rsid w:val="00B516E5"/>
    <w:rsid w:val="00B517B0"/>
    <w:rsid w:val="00B517F2"/>
    <w:rsid w:val="00B518D4"/>
    <w:rsid w:val="00B519BD"/>
    <w:rsid w:val="00B519FD"/>
    <w:rsid w:val="00B51C24"/>
    <w:rsid w:val="00B51CA7"/>
    <w:rsid w:val="00B51DAA"/>
    <w:rsid w:val="00B51EF0"/>
    <w:rsid w:val="00B51F79"/>
    <w:rsid w:val="00B52057"/>
    <w:rsid w:val="00B5210C"/>
    <w:rsid w:val="00B522ED"/>
    <w:rsid w:val="00B52653"/>
    <w:rsid w:val="00B527EA"/>
    <w:rsid w:val="00B52842"/>
    <w:rsid w:val="00B5291E"/>
    <w:rsid w:val="00B5293B"/>
    <w:rsid w:val="00B529A0"/>
    <w:rsid w:val="00B529DB"/>
    <w:rsid w:val="00B529F8"/>
    <w:rsid w:val="00B52A12"/>
    <w:rsid w:val="00B52A2B"/>
    <w:rsid w:val="00B52B92"/>
    <w:rsid w:val="00B52CBB"/>
    <w:rsid w:val="00B52D10"/>
    <w:rsid w:val="00B52D3A"/>
    <w:rsid w:val="00B52D5B"/>
    <w:rsid w:val="00B52D65"/>
    <w:rsid w:val="00B52DAF"/>
    <w:rsid w:val="00B52EE6"/>
    <w:rsid w:val="00B52F68"/>
    <w:rsid w:val="00B52FCD"/>
    <w:rsid w:val="00B530A9"/>
    <w:rsid w:val="00B53189"/>
    <w:rsid w:val="00B532D2"/>
    <w:rsid w:val="00B53365"/>
    <w:rsid w:val="00B5336B"/>
    <w:rsid w:val="00B534E1"/>
    <w:rsid w:val="00B53562"/>
    <w:rsid w:val="00B5370A"/>
    <w:rsid w:val="00B537FC"/>
    <w:rsid w:val="00B53922"/>
    <w:rsid w:val="00B5398A"/>
    <w:rsid w:val="00B539D2"/>
    <w:rsid w:val="00B53A1E"/>
    <w:rsid w:val="00B53A2F"/>
    <w:rsid w:val="00B53ACA"/>
    <w:rsid w:val="00B53AF9"/>
    <w:rsid w:val="00B53BB1"/>
    <w:rsid w:val="00B53C0B"/>
    <w:rsid w:val="00B53CCF"/>
    <w:rsid w:val="00B53E8B"/>
    <w:rsid w:val="00B53EC4"/>
    <w:rsid w:val="00B53FBA"/>
    <w:rsid w:val="00B53FE3"/>
    <w:rsid w:val="00B5405E"/>
    <w:rsid w:val="00B5405F"/>
    <w:rsid w:val="00B540F4"/>
    <w:rsid w:val="00B5414B"/>
    <w:rsid w:val="00B54297"/>
    <w:rsid w:val="00B5429D"/>
    <w:rsid w:val="00B54311"/>
    <w:rsid w:val="00B5438B"/>
    <w:rsid w:val="00B543FA"/>
    <w:rsid w:val="00B5443F"/>
    <w:rsid w:val="00B54448"/>
    <w:rsid w:val="00B54487"/>
    <w:rsid w:val="00B546D8"/>
    <w:rsid w:val="00B54717"/>
    <w:rsid w:val="00B5496B"/>
    <w:rsid w:val="00B549CF"/>
    <w:rsid w:val="00B54AAC"/>
    <w:rsid w:val="00B54B29"/>
    <w:rsid w:val="00B54CD3"/>
    <w:rsid w:val="00B54DF4"/>
    <w:rsid w:val="00B54F44"/>
    <w:rsid w:val="00B54F7A"/>
    <w:rsid w:val="00B54FE4"/>
    <w:rsid w:val="00B55034"/>
    <w:rsid w:val="00B5504A"/>
    <w:rsid w:val="00B5509F"/>
    <w:rsid w:val="00B550BB"/>
    <w:rsid w:val="00B55134"/>
    <w:rsid w:val="00B5516E"/>
    <w:rsid w:val="00B551FB"/>
    <w:rsid w:val="00B55329"/>
    <w:rsid w:val="00B5538A"/>
    <w:rsid w:val="00B553BC"/>
    <w:rsid w:val="00B55434"/>
    <w:rsid w:val="00B55542"/>
    <w:rsid w:val="00B5566A"/>
    <w:rsid w:val="00B556BB"/>
    <w:rsid w:val="00B556CF"/>
    <w:rsid w:val="00B55732"/>
    <w:rsid w:val="00B55792"/>
    <w:rsid w:val="00B5579D"/>
    <w:rsid w:val="00B557CE"/>
    <w:rsid w:val="00B55BF3"/>
    <w:rsid w:val="00B55D09"/>
    <w:rsid w:val="00B55DED"/>
    <w:rsid w:val="00B55E31"/>
    <w:rsid w:val="00B55F59"/>
    <w:rsid w:val="00B56066"/>
    <w:rsid w:val="00B560E8"/>
    <w:rsid w:val="00B5613F"/>
    <w:rsid w:val="00B5623C"/>
    <w:rsid w:val="00B562E4"/>
    <w:rsid w:val="00B56360"/>
    <w:rsid w:val="00B56406"/>
    <w:rsid w:val="00B56581"/>
    <w:rsid w:val="00B566C8"/>
    <w:rsid w:val="00B56734"/>
    <w:rsid w:val="00B5677C"/>
    <w:rsid w:val="00B56780"/>
    <w:rsid w:val="00B567C4"/>
    <w:rsid w:val="00B56847"/>
    <w:rsid w:val="00B5692D"/>
    <w:rsid w:val="00B5697B"/>
    <w:rsid w:val="00B56A40"/>
    <w:rsid w:val="00B56AAB"/>
    <w:rsid w:val="00B56B77"/>
    <w:rsid w:val="00B56C04"/>
    <w:rsid w:val="00B56CA0"/>
    <w:rsid w:val="00B56DAC"/>
    <w:rsid w:val="00B56E38"/>
    <w:rsid w:val="00B56EB9"/>
    <w:rsid w:val="00B56F4C"/>
    <w:rsid w:val="00B56F6E"/>
    <w:rsid w:val="00B5700C"/>
    <w:rsid w:val="00B57017"/>
    <w:rsid w:val="00B570DA"/>
    <w:rsid w:val="00B57100"/>
    <w:rsid w:val="00B5720B"/>
    <w:rsid w:val="00B574A8"/>
    <w:rsid w:val="00B574A9"/>
    <w:rsid w:val="00B5753A"/>
    <w:rsid w:val="00B57723"/>
    <w:rsid w:val="00B577DE"/>
    <w:rsid w:val="00B5782E"/>
    <w:rsid w:val="00B57994"/>
    <w:rsid w:val="00B57A4D"/>
    <w:rsid w:val="00B57AE1"/>
    <w:rsid w:val="00B57B2E"/>
    <w:rsid w:val="00B57CBA"/>
    <w:rsid w:val="00B57D96"/>
    <w:rsid w:val="00B57DCD"/>
    <w:rsid w:val="00B57E12"/>
    <w:rsid w:val="00B57E47"/>
    <w:rsid w:val="00B57E72"/>
    <w:rsid w:val="00B57EE9"/>
    <w:rsid w:val="00B6000A"/>
    <w:rsid w:val="00B60060"/>
    <w:rsid w:val="00B60137"/>
    <w:rsid w:val="00B60224"/>
    <w:rsid w:val="00B602E9"/>
    <w:rsid w:val="00B603A8"/>
    <w:rsid w:val="00B603D2"/>
    <w:rsid w:val="00B603E3"/>
    <w:rsid w:val="00B605A7"/>
    <w:rsid w:val="00B605AC"/>
    <w:rsid w:val="00B6061B"/>
    <w:rsid w:val="00B6066B"/>
    <w:rsid w:val="00B60885"/>
    <w:rsid w:val="00B608A5"/>
    <w:rsid w:val="00B609FD"/>
    <w:rsid w:val="00B60A81"/>
    <w:rsid w:val="00B60AB9"/>
    <w:rsid w:val="00B60AF9"/>
    <w:rsid w:val="00B60B26"/>
    <w:rsid w:val="00B60BAB"/>
    <w:rsid w:val="00B60BBA"/>
    <w:rsid w:val="00B60C48"/>
    <w:rsid w:val="00B60CDF"/>
    <w:rsid w:val="00B60D29"/>
    <w:rsid w:val="00B60D6E"/>
    <w:rsid w:val="00B60DE2"/>
    <w:rsid w:val="00B60EC2"/>
    <w:rsid w:val="00B60F0A"/>
    <w:rsid w:val="00B60F66"/>
    <w:rsid w:val="00B60FEF"/>
    <w:rsid w:val="00B61050"/>
    <w:rsid w:val="00B610A9"/>
    <w:rsid w:val="00B610CF"/>
    <w:rsid w:val="00B61296"/>
    <w:rsid w:val="00B612EE"/>
    <w:rsid w:val="00B61313"/>
    <w:rsid w:val="00B61422"/>
    <w:rsid w:val="00B61446"/>
    <w:rsid w:val="00B61574"/>
    <w:rsid w:val="00B616F7"/>
    <w:rsid w:val="00B617C1"/>
    <w:rsid w:val="00B61971"/>
    <w:rsid w:val="00B619DE"/>
    <w:rsid w:val="00B61A58"/>
    <w:rsid w:val="00B61ACB"/>
    <w:rsid w:val="00B61D6B"/>
    <w:rsid w:val="00B61D88"/>
    <w:rsid w:val="00B61E82"/>
    <w:rsid w:val="00B61FD3"/>
    <w:rsid w:val="00B61FE5"/>
    <w:rsid w:val="00B6207B"/>
    <w:rsid w:val="00B620B6"/>
    <w:rsid w:val="00B6216F"/>
    <w:rsid w:val="00B62289"/>
    <w:rsid w:val="00B622AB"/>
    <w:rsid w:val="00B622DE"/>
    <w:rsid w:val="00B62372"/>
    <w:rsid w:val="00B623A3"/>
    <w:rsid w:val="00B623C0"/>
    <w:rsid w:val="00B624AB"/>
    <w:rsid w:val="00B624CF"/>
    <w:rsid w:val="00B62575"/>
    <w:rsid w:val="00B62671"/>
    <w:rsid w:val="00B626D6"/>
    <w:rsid w:val="00B6299B"/>
    <w:rsid w:val="00B62AA0"/>
    <w:rsid w:val="00B62BBA"/>
    <w:rsid w:val="00B62BF1"/>
    <w:rsid w:val="00B62C8F"/>
    <w:rsid w:val="00B62D62"/>
    <w:rsid w:val="00B62ED2"/>
    <w:rsid w:val="00B62EEA"/>
    <w:rsid w:val="00B62F19"/>
    <w:rsid w:val="00B62F29"/>
    <w:rsid w:val="00B63033"/>
    <w:rsid w:val="00B6307D"/>
    <w:rsid w:val="00B63236"/>
    <w:rsid w:val="00B63260"/>
    <w:rsid w:val="00B63297"/>
    <w:rsid w:val="00B63573"/>
    <w:rsid w:val="00B63640"/>
    <w:rsid w:val="00B6377F"/>
    <w:rsid w:val="00B637FB"/>
    <w:rsid w:val="00B63951"/>
    <w:rsid w:val="00B63BA0"/>
    <w:rsid w:val="00B63C2F"/>
    <w:rsid w:val="00B63CE9"/>
    <w:rsid w:val="00B63EFC"/>
    <w:rsid w:val="00B63F72"/>
    <w:rsid w:val="00B6405A"/>
    <w:rsid w:val="00B640A2"/>
    <w:rsid w:val="00B6412D"/>
    <w:rsid w:val="00B643BC"/>
    <w:rsid w:val="00B644A5"/>
    <w:rsid w:val="00B64591"/>
    <w:rsid w:val="00B64612"/>
    <w:rsid w:val="00B646D4"/>
    <w:rsid w:val="00B647B6"/>
    <w:rsid w:val="00B64810"/>
    <w:rsid w:val="00B64AC7"/>
    <w:rsid w:val="00B64B9E"/>
    <w:rsid w:val="00B64D8E"/>
    <w:rsid w:val="00B64DF8"/>
    <w:rsid w:val="00B64E00"/>
    <w:rsid w:val="00B64E9B"/>
    <w:rsid w:val="00B64EE5"/>
    <w:rsid w:val="00B64F47"/>
    <w:rsid w:val="00B64FB1"/>
    <w:rsid w:val="00B65055"/>
    <w:rsid w:val="00B650D3"/>
    <w:rsid w:val="00B6510A"/>
    <w:rsid w:val="00B651B9"/>
    <w:rsid w:val="00B65223"/>
    <w:rsid w:val="00B652D7"/>
    <w:rsid w:val="00B6533B"/>
    <w:rsid w:val="00B65367"/>
    <w:rsid w:val="00B65372"/>
    <w:rsid w:val="00B653B5"/>
    <w:rsid w:val="00B653EB"/>
    <w:rsid w:val="00B653F0"/>
    <w:rsid w:val="00B6543E"/>
    <w:rsid w:val="00B65471"/>
    <w:rsid w:val="00B65523"/>
    <w:rsid w:val="00B65633"/>
    <w:rsid w:val="00B656CC"/>
    <w:rsid w:val="00B65709"/>
    <w:rsid w:val="00B65779"/>
    <w:rsid w:val="00B65859"/>
    <w:rsid w:val="00B65945"/>
    <w:rsid w:val="00B65A0D"/>
    <w:rsid w:val="00B65A30"/>
    <w:rsid w:val="00B65C34"/>
    <w:rsid w:val="00B65C89"/>
    <w:rsid w:val="00B65CFC"/>
    <w:rsid w:val="00B65D60"/>
    <w:rsid w:val="00B65D86"/>
    <w:rsid w:val="00B66009"/>
    <w:rsid w:val="00B660A4"/>
    <w:rsid w:val="00B661A1"/>
    <w:rsid w:val="00B661E4"/>
    <w:rsid w:val="00B661FB"/>
    <w:rsid w:val="00B66230"/>
    <w:rsid w:val="00B66265"/>
    <w:rsid w:val="00B663C2"/>
    <w:rsid w:val="00B663FA"/>
    <w:rsid w:val="00B6660E"/>
    <w:rsid w:val="00B6661A"/>
    <w:rsid w:val="00B66781"/>
    <w:rsid w:val="00B667E9"/>
    <w:rsid w:val="00B667FA"/>
    <w:rsid w:val="00B66803"/>
    <w:rsid w:val="00B6692F"/>
    <w:rsid w:val="00B66A47"/>
    <w:rsid w:val="00B66A48"/>
    <w:rsid w:val="00B66A7B"/>
    <w:rsid w:val="00B66B12"/>
    <w:rsid w:val="00B66B53"/>
    <w:rsid w:val="00B66B60"/>
    <w:rsid w:val="00B66B7E"/>
    <w:rsid w:val="00B66C40"/>
    <w:rsid w:val="00B66C5D"/>
    <w:rsid w:val="00B66CF2"/>
    <w:rsid w:val="00B66DCD"/>
    <w:rsid w:val="00B66FE4"/>
    <w:rsid w:val="00B670BE"/>
    <w:rsid w:val="00B67120"/>
    <w:rsid w:val="00B67243"/>
    <w:rsid w:val="00B672B4"/>
    <w:rsid w:val="00B67343"/>
    <w:rsid w:val="00B67357"/>
    <w:rsid w:val="00B67427"/>
    <w:rsid w:val="00B67432"/>
    <w:rsid w:val="00B67518"/>
    <w:rsid w:val="00B6760E"/>
    <w:rsid w:val="00B677FB"/>
    <w:rsid w:val="00B67860"/>
    <w:rsid w:val="00B678B4"/>
    <w:rsid w:val="00B679D2"/>
    <w:rsid w:val="00B67A0A"/>
    <w:rsid w:val="00B67A4A"/>
    <w:rsid w:val="00B67AEA"/>
    <w:rsid w:val="00B67C10"/>
    <w:rsid w:val="00B67D25"/>
    <w:rsid w:val="00B67DA2"/>
    <w:rsid w:val="00B67E90"/>
    <w:rsid w:val="00B67F22"/>
    <w:rsid w:val="00B67F5D"/>
    <w:rsid w:val="00B67FA5"/>
    <w:rsid w:val="00B6E28B"/>
    <w:rsid w:val="00B7012B"/>
    <w:rsid w:val="00B701A3"/>
    <w:rsid w:val="00B7027D"/>
    <w:rsid w:val="00B7030D"/>
    <w:rsid w:val="00B70409"/>
    <w:rsid w:val="00B70422"/>
    <w:rsid w:val="00B704D9"/>
    <w:rsid w:val="00B705F2"/>
    <w:rsid w:val="00B70619"/>
    <w:rsid w:val="00B70643"/>
    <w:rsid w:val="00B7066D"/>
    <w:rsid w:val="00B70864"/>
    <w:rsid w:val="00B7086D"/>
    <w:rsid w:val="00B70886"/>
    <w:rsid w:val="00B70894"/>
    <w:rsid w:val="00B708B8"/>
    <w:rsid w:val="00B708EB"/>
    <w:rsid w:val="00B709E8"/>
    <w:rsid w:val="00B70A8D"/>
    <w:rsid w:val="00B70A9C"/>
    <w:rsid w:val="00B70ABA"/>
    <w:rsid w:val="00B70ACF"/>
    <w:rsid w:val="00B70B6A"/>
    <w:rsid w:val="00B70C05"/>
    <w:rsid w:val="00B70C46"/>
    <w:rsid w:val="00B70E27"/>
    <w:rsid w:val="00B71069"/>
    <w:rsid w:val="00B71086"/>
    <w:rsid w:val="00B711FE"/>
    <w:rsid w:val="00B7129C"/>
    <w:rsid w:val="00B712D6"/>
    <w:rsid w:val="00B71321"/>
    <w:rsid w:val="00B7132D"/>
    <w:rsid w:val="00B7133F"/>
    <w:rsid w:val="00B71355"/>
    <w:rsid w:val="00B71584"/>
    <w:rsid w:val="00B715D9"/>
    <w:rsid w:val="00B715E6"/>
    <w:rsid w:val="00B715F7"/>
    <w:rsid w:val="00B71798"/>
    <w:rsid w:val="00B7180D"/>
    <w:rsid w:val="00B71897"/>
    <w:rsid w:val="00B71920"/>
    <w:rsid w:val="00B71923"/>
    <w:rsid w:val="00B71928"/>
    <w:rsid w:val="00B71A6C"/>
    <w:rsid w:val="00B71A80"/>
    <w:rsid w:val="00B71C25"/>
    <w:rsid w:val="00B71C5F"/>
    <w:rsid w:val="00B71CD6"/>
    <w:rsid w:val="00B71CF1"/>
    <w:rsid w:val="00B71F17"/>
    <w:rsid w:val="00B71F9B"/>
    <w:rsid w:val="00B72049"/>
    <w:rsid w:val="00B72143"/>
    <w:rsid w:val="00B721C2"/>
    <w:rsid w:val="00B721EE"/>
    <w:rsid w:val="00B72245"/>
    <w:rsid w:val="00B722A0"/>
    <w:rsid w:val="00B722CE"/>
    <w:rsid w:val="00B7234E"/>
    <w:rsid w:val="00B72407"/>
    <w:rsid w:val="00B724A0"/>
    <w:rsid w:val="00B724D6"/>
    <w:rsid w:val="00B72500"/>
    <w:rsid w:val="00B7253C"/>
    <w:rsid w:val="00B7253E"/>
    <w:rsid w:val="00B72566"/>
    <w:rsid w:val="00B72724"/>
    <w:rsid w:val="00B72749"/>
    <w:rsid w:val="00B72771"/>
    <w:rsid w:val="00B727FD"/>
    <w:rsid w:val="00B7282C"/>
    <w:rsid w:val="00B7289C"/>
    <w:rsid w:val="00B728CE"/>
    <w:rsid w:val="00B72985"/>
    <w:rsid w:val="00B72A4E"/>
    <w:rsid w:val="00B72A94"/>
    <w:rsid w:val="00B72BDD"/>
    <w:rsid w:val="00B72D4B"/>
    <w:rsid w:val="00B72FCC"/>
    <w:rsid w:val="00B730CE"/>
    <w:rsid w:val="00B730E9"/>
    <w:rsid w:val="00B731A7"/>
    <w:rsid w:val="00B7335B"/>
    <w:rsid w:val="00B733EF"/>
    <w:rsid w:val="00B7348A"/>
    <w:rsid w:val="00B73529"/>
    <w:rsid w:val="00B73531"/>
    <w:rsid w:val="00B735C5"/>
    <w:rsid w:val="00B73637"/>
    <w:rsid w:val="00B73694"/>
    <w:rsid w:val="00B736D4"/>
    <w:rsid w:val="00B73739"/>
    <w:rsid w:val="00B7378F"/>
    <w:rsid w:val="00B73794"/>
    <w:rsid w:val="00B737DC"/>
    <w:rsid w:val="00B7380B"/>
    <w:rsid w:val="00B7384A"/>
    <w:rsid w:val="00B738E0"/>
    <w:rsid w:val="00B73946"/>
    <w:rsid w:val="00B739F4"/>
    <w:rsid w:val="00B73A05"/>
    <w:rsid w:val="00B73A63"/>
    <w:rsid w:val="00B73AF2"/>
    <w:rsid w:val="00B73B9F"/>
    <w:rsid w:val="00B73BD1"/>
    <w:rsid w:val="00B73C98"/>
    <w:rsid w:val="00B73D3A"/>
    <w:rsid w:val="00B73E33"/>
    <w:rsid w:val="00B73ECB"/>
    <w:rsid w:val="00B740D4"/>
    <w:rsid w:val="00B74118"/>
    <w:rsid w:val="00B7418F"/>
    <w:rsid w:val="00B7419C"/>
    <w:rsid w:val="00B7424E"/>
    <w:rsid w:val="00B74251"/>
    <w:rsid w:val="00B7429A"/>
    <w:rsid w:val="00B742A3"/>
    <w:rsid w:val="00B743B0"/>
    <w:rsid w:val="00B74474"/>
    <w:rsid w:val="00B745BF"/>
    <w:rsid w:val="00B74600"/>
    <w:rsid w:val="00B74610"/>
    <w:rsid w:val="00B7462F"/>
    <w:rsid w:val="00B746F4"/>
    <w:rsid w:val="00B74734"/>
    <w:rsid w:val="00B748A2"/>
    <w:rsid w:val="00B749AB"/>
    <w:rsid w:val="00B74A04"/>
    <w:rsid w:val="00B74A0C"/>
    <w:rsid w:val="00B74A65"/>
    <w:rsid w:val="00B74AF5"/>
    <w:rsid w:val="00B74B39"/>
    <w:rsid w:val="00B74C2E"/>
    <w:rsid w:val="00B74DAE"/>
    <w:rsid w:val="00B74E04"/>
    <w:rsid w:val="00B74E6E"/>
    <w:rsid w:val="00B74E96"/>
    <w:rsid w:val="00B74E98"/>
    <w:rsid w:val="00B74F35"/>
    <w:rsid w:val="00B74F7A"/>
    <w:rsid w:val="00B74FDF"/>
    <w:rsid w:val="00B7500A"/>
    <w:rsid w:val="00B75040"/>
    <w:rsid w:val="00B7517E"/>
    <w:rsid w:val="00B7523F"/>
    <w:rsid w:val="00B75242"/>
    <w:rsid w:val="00B75387"/>
    <w:rsid w:val="00B7538D"/>
    <w:rsid w:val="00B753D5"/>
    <w:rsid w:val="00B753EF"/>
    <w:rsid w:val="00B754C7"/>
    <w:rsid w:val="00B75608"/>
    <w:rsid w:val="00B7570C"/>
    <w:rsid w:val="00B75794"/>
    <w:rsid w:val="00B75948"/>
    <w:rsid w:val="00B759C7"/>
    <w:rsid w:val="00B75A46"/>
    <w:rsid w:val="00B75C37"/>
    <w:rsid w:val="00B75C89"/>
    <w:rsid w:val="00B75EDE"/>
    <w:rsid w:val="00B75FC1"/>
    <w:rsid w:val="00B76018"/>
    <w:rsid w:val="00B76059"/>
    <w:rsid w:val="00B76104"/>
    <w:rsid w:val="00B7616D"/>
    <w:rsid w:val="00B76295"/>
    <w:rsid w:val="00B7642F"/>
    <w:rsid w:val="00B764BB"/>
    <w:rsid w:val="00B765D4"/>
    <w:rsid w:val="00B7667D"/>
    <w:rsid w:val="00B766BF"/>
    <w:rsid w:val="00B7681A"/>
    <w:rsid w:val="00B76870"/>
    <w:rsid w:val="00B7697A"/>
    <w:rsid w:val="00B76B00"/>
    <w:rsid w:val="00B76C27"/>
    <w:rsid w:val="00B76D6D"/>
    <w:rsid w:val="00B76D7E"/>
    <w:rsid w:val="00B76EA0"/>
    <w:rsid w:val="00B770F0"/>
    <w:rsid w:val="00B77222"/>
    <w:rsid w:val="00B7724B"/>
    <w:rsid w:val="00B7727E"/>
    <w:rsid w:val="00B77383"/>
    <w:rsid w:val="00B77415"/>
    <w:rsid w:val="00B77448"/>
    <w:rsid w:val="00B77453"/>
    <w:rsid w:val="00B77519"/>
    <w:rsid w:val="00B7764D"/>
    <w:rsid w:val="00B77695"/>
    <w:rsid w:val="00B7769E"/>
    <w:rsid w:val="00B777F4"/>
    <w:rsid w:val="00B77972"/>
    <w:rsid w:val="00B77BA1"/>
    <w:rsid w:val="00B77BA7"/>
    <w:rsid w:val="00B77BC7"/>
    <w:rsid w:val="00B77C2A"/>
    <w:rsid w:val="00B77CE3"/>
    <w:rsid w:val="00B77D33"/>
    <w:rsid w:val="00B77D47"/>
    <w:rsid w:val="00B77E63"/>
    <w:rsid w:val="00B77E80"/>
    <w:rsid w:val="00B8022E"/>
    <w:rsid w:val="00B802E8"/>
    <w:rsid w:val="00B802F4"/>
    <w:rsid w:val="00B804E0"/>
    <w:rsid w:val="00B804EC"/>
    <w:rsid w:val="00B8076E"/>
    <w:rsid w:val="00B8079D"/>
    <w:rsid w:val="00B80934"/>
    <w:rsid w:val="00B8098F"/>
    <w:rsid w:val="00B80A98"/>
    <w:rsid w:val="00B80AC0"/>
    <w:rsid w:val="00B80B31"/>
    <w:rsid w:val="00B80BAC"/>
    <w:rsid w:val="00B80CBA"/>
    <w:rsid w:val="00B80D01"/>
    <w:rsid w:val="00B80E11"/>
    <w:rsid w:val="00B80E9E"/>
    <w:rsid w:val="00B80EE1"/>
    <w:rsid w:val="00B80EF6"/>
    <w:rsid w:val="00B80F51"/>
    <w:rsid w:val="00B80F90"/>
    <w:rsid w:val="00B80F92"/>
    <w:rsid w:val="00B81039"/>
    <w:rsid w:val="00B810C4"/>
    <w:rsid w:val="00B8113D"/>
    <w:rsid w:val="00B81156"/>
    <w:rsid w:val="00B811FA"/>
    <w:rsid w:val="00B812E3"/>
    <w:rsid w:val="00B81372"/>
    <w:rsid w:val="00B813D5"/>
    <w:rsid w:val="00B8142B"/>
    <w:rsid w:val="00B818A4"/>
    <w:rsid w:val="00B818F6"/>
    <w:rsid w:val="00B819ED"/>
    <w:rsid w:val="00B81A76"/>
    <w:rsid w:val="00B81AF7"/>
    <w:rsid w:val="00B81CAF"/>
    <w:rsid w:val="00B81DAD"/>
    <w:rsid w:val="00B81E27"/>
    <w:rsid w:val="00B81E5F"/>
    <w:rsid w:val="00B81E64"/>
    <w:rsid w:val="00B81EAD"/>
    <w:rsid w:val="00B81F1B"/>
    <w:rsid w:val="00B81F51"/>
    <w:rsid w:val="00B81F9A"/>
    <w:rsid w:val="00B82182"/>
    <w:rsid w:val="00B82292"/>
    <w:rsid w:val="00B82396"/>
    <w:rsid w:val="00B823B7"/>
    <w:rsid w:val="00B8274B"/>
    <w:rsid w:val="00B8275D"/>
    <w:rsid w:val="00B82824"/>
    <w:rsid w:val="00B82861"/>
    <w:rsid w:val="00B82888"/>
    <w:rsid w:val="00B82909"/>
    <w:rsid w:val="00B829A0"/>
    <w:rsid w:val="00B82A21"/>
    <w:rsid w:val="00B82AB7"/>
    <w:rsid w:val="00B82AD1"/>
    <w:rsid w:val="00B82DF2"/>
    <w:rsid w:val="00B82E97"/>
    <w:rsid w:val="00B8301F"/>
    <w:rsid w:val="00B8304C"/>
    <w:rsid w:val="00B83082"/>
    <w:rsid w:val="00B830DF"/>
    <w:rsid w:val="00B83205"/>
    <w:rsid w:val="00B83228"/>
    <w:rsid w:val="00B832F5"/>
    <w:rsid w:val="00B833CB"/>
    <w:rsid w:val="00B8349D"/>
    <w:rsid w:val="00B834D9"/>
    <w:rsid w:val="00B83512"/>
    <w:rsid w:val="00B83569"/>
    <w:rsid w:val="00B835D0"/>
    <w:rsid w:val="00B8363C"/>
    <w:rsid w:val="00B83653"/>
    <w:rsid w:val="00B83725"/>
    <w:rsid w:val="00B8377E"/>
    <w:rsid w:val="00B83832"/>
    <w:rsid w:val="00B839E8"/>
    <w:rsid w:val="00B83A82"/>
    <w:rsid w:val="00B83B2A"/>
    <w:rsid w:val="00B83B87"/>
    <w:rsid w:val="00B83C01"/>
    <w:rsid w:val="00B83F0D"/>
    <w:rsid w:val="00B83F39"/>
    <w:rsid w:val="00B83FF7"/>
    <w:rsid w:val="00B84031"/>
    <w:rsid w:val="00B840A8"/>
    <w:rsid w:val="00B84117"/>
    <w:rsid w:val="00B84167"/>
    <w:rsid w:val="00B841A0"/>
    <w:rsid w:val="00B8429E"/>
    <w:rsid w:val="00B842A5"/>
    <w:rsid w:val="00B8432C"/>
    <w:rsid w:val="00B84360"/>
    <w:rsid w:val="00B8436F"/>
    <w:rsid w:val="00B844C3"/>
    <w:rsid w:val="00B845E0"/>
    <w:rsid w:val="00B8461C"/>
    <w:rsid w:val="00B84635"/>
    <w:rsid w:val="00B8466E"/>
    <w:rsid w:val="00B84682"/>
    <w:rsid w:val="00B846BE"/>
    <w:rsid w:val="00B8484C"/>
    <w:rsid w:val="00B848EE"/>
    <w:rsid w:val="00B84916"/>
    <w:rsid w:val="00B84A58"/>
    <w:rsid w:val="00B84B6A"/>
    <w:rsid w:val="00B84B77"/>
    <w:rsid w:val="00B84B9E"/>
    <w:rsid w:val="00B84BB5"/>
    <w:rsid w:val="00B84D08"/>
    <w:rsid w:val="00B84DA8"/>
    <w:rsid w:val="00B84DDD"/>
    <w:rsid w:val="00B84DE4"/>
    <w:rsid w:val="00B84E92"/>
    <w:rsid w:val="00B84FF9"/>
    <w:rsid w:val="00B85017"/>
    <w:rsid w:val="00B851EE"/>
    <w:rsid w:val="00B85254"/>
    <w:rsid w:val="00B8536A"/>
    <w:rsid w:val="00B8547F"/>
    <w:rsid w:val="00B8554D"/>
    <w:rsid w:val="00B85555"/>
    <w:rsid w:val="00B85807"/>
    <w:rsid w:val="00B8583C"/>
    <w:rsid w:val="00B858CC"/>
    <w:rsid w:val="00B858D1"/>
    <w:rsid w:val="00B85A08"/>
    <w:rsid w:val="00B85A77"/>
    <w:rsid w:val="00B85B86"/>
    <w:rsid w:val="00B85C90"/>
    <w:rsid w:val="00B85D69"/>
    <w:rsid w:val="00B85DEE"/>
    <w:rsid w:val="00B85E63"/>
    <w:rsid w:val="00B85F0C"/>
    <w:rsid w:val="00B85F71"/>
    <w:rsid w:val="00B85F89"/>
    <w:rsid w:val="00B85F95"/>
    <w:rsid w:val="00B85FD8"/>
    <w:rsid w:val="00B85FF8"/>
    <w:rsid w:val="00B86099"/>
    <w:rsid w:val="00B862A2"/>
    <w:rsid w:val="00B862BA"/>
    <w:rsid w:val="00B86493"/>
    <w:rsid w:val="00B86539"/>
    <w:rsid w:val="00B8653F"/>
    <w:rsid w:val="00B86551"/>
    <w:rsid w:val="00B86652"/>
    <w:rsid w:val="00B86778"/>
    <w:rsid w:val="00B86794"/>
    <w:rsid w:val="00B8687C"/>
    <w:rsid w:val="00B869CD"/>
    <w:rsid w:val="00B86B8C"/>
    <w:rsid w:val="00B86C4B"/>
    <w:rsid w:val="00B86C4D"/>
    <w:rsid w:val="00B86C59"/>
    <w:rsid w:val="00B86DEB"/>
    <w:rsid w:val="00B86E2D"/>
    <w:rsid w:val="00B8705A"/>
    <w:rsid w:val="00B870D2"/>
    <w:rsid w:val="00B870E9"/>
    <w:rsid w:val="00B87234"/>
    <w:rsid w:val="00B87282"/>
    <w:rsid w:val="00B872B0"/>
    <w:rsid w:val="00B87465"/>
    <w:rsid w:val="00B87471"/>
    <w:rsid w:val="00B8750E"/>
    <w:rsid w:val="00B8751C"/>
    <w:rsid w:val="00B87600"/>
    <w:rsid w:val="00B8774B"/>
    <w:rsid w:val="00B87859"/>
    <w:rsid w:val="00B87876"/>
    <w:rsid w:val="00B87886"/>
    <w:rsid w:val="00B878CB"/>
    <w:rsid w:val="00B87927"/>
    <w:rsid w:val="00B87A66"/>
    <w:rsid w:val="00B87B4A"/>
    <w:rsid w:val="00B87B70"/>
    <w:rsid w:val="00B87BB8"/>
    <w:rsid w:val="00B87C14"/>
    <w:rsid w:val="00B87C89"/>
    <w:rsid w:val="00B87E9F"/>
    <w:rsid w:val="00B87EE5"/>
    <w:rsid w:val="00B87F0F"/>
    <w:rsid w:val="00B87F50"/>
    <w:rsid w:val="00B87FB9"/>
    <w:rsid w:val="00B90028"/>
    <w:rsid w:val="00B900DF"/>
    <w:rsid w:val="00B90169"/>
    <w:rsid w:val="00B9021A"/>
    <w:rsid w:val="00B90270"/>
    <w:rsid w:val="00B902EC"/>
    <w:rsid w:val="00B90347"/>
    <w:rsid w:val="00B903EA"/>
    <w:rsid w:val="00B90401"/>
    <w:rsid w:val="00B90545"/>
    <w:rsid w:val="00B90654"/>
    <w:rsid w:val="00B907D2"/>
    <w:rsid w:val="00B90870"/>
    <w:rsid w:val="00B90939"/>
    <w:rsid w:val="00B909A4"/>
    <w:rsid w:val="00B90A55"/>
    <w:rsid w:val="00B90AC8"/>
    <w:rsid w:val="00B90BBC"/>
    <w:rsid w:val="00B90C81"/>
    <w:rsid w:val="00B90F22"/>
    <w:rsid w:val="00B90FD3"/>
    <w:rsid w:val="00B9101A"/>
    <w:rsid w:val="00B91075"/>
    <w:rsid w:val="00B9112B"/>
    <w:rsid w:val="00B9125D"/>
    <w:rsid w:val="00B91567"/>
    <w:rsid w:val="00B916FA"/>
    <w:rsid w:val="00B91704"/>
    <w:rsid w:val="00B91927"/>
    <w:rsid w:val="00B9198C"/>
    <w:rsid w:val="00B91999"/>
    <w:rsid w:val="00B91AAC"/>
    <w:rsid w:val="00B91B3B"/>
    <w:rsid w:val="00B91B6D"/>
    <w:rsid w:val="00B91B7E"/>
    <w:rsid w:val="00B91CB3"/>
    <w:rsid w:val="00B91CFB"/>
    <w:rsid w:val="00B91D0B"/>
    <w:rsid w:val="00B91D5B"/>
    <w:rsid w:val="00B91DD2"/>
    <w:rsid w:val="00B91E60"/>
    <w:rsid w:val="00B91F62"/>
    <w:rsid w:val="00B91FF6"/>
    <w:rsid w:val="00B92013"/>
    <w:rsid w:val="00B92127"/>
    <w:rsid w:val="00B922FB"/>
    <w:rsid w:val="00B92530"/>
    <w:rsid w:val="00B925C2"/>
    <w:rsid w:val="00B92605"/>
    <w:rsid w:val="00B927E9"/>
    <w:rsid w:val="00B928F7"/>
    <w:rsid w:val="00B9291C"/>
    <w:rsid w:val="00B929FB"/>
    <w:rsid w:val="00B92B54"/>
    <w:rsid w:val="00B92CD7"/>
    <w:rsid w:val="00B92D1C"/>
    <w:rsid w:val="00B92DF4"/>
    <w:rsid w:val="00B92EB3"/>
    <w:rsid w:val="00B92EEC"/>
    <w:rsid w:val="00B92F0D"/>
    <w:rsid w:val="00B92FF3"/>
    <w:rsid w:val="00B93258"/>
    <w:rsid w:val="00B9328C"/>
    <w:rsid w:val="00B93350"/>
    <w:rsid w:val="00B93387"/>
    <w:rsid w:val="00B933FF"/>
    <w:rsid w:val="00B93407"/>
    <w:rsid w:val="00B9343E"/>
    <w:rsid w:val="00B93488"/>
    <w:rsid w:val="00B9356A"/>
    <w:rsid w:val="00B935F3"/>
    <w:rsid w:val="00B93640"/>
    <w:rsid w:val="00B936DD"/>
    <w:rsid w:val="00B9370D"/>
    <w:rsid w:val="00B9374B"/>
    <w:rsid w:val="00B9386C"/>
    <w:rsid w:val="00B93877"/>
    <w:rsid w:val="00B938CC"/>
    <w:rsid w:val="00B939B1"/>
    <w:rsid w:val="00B939B6"/>
    <w:rsid w:val="00B93C3E"/>
    <w:rsid w:val="00B93C8C"/>
    <w:rsid w:val="00B93D3B"/>
    <w:rsid w:val="00B93D66"/>
    <w:rsid w:val="00B93DAC"/>
    <w:rsid w:val="00B93DD6"/>
    <w:rsid w:val="00B93E2C"/>
    <w:rsid w:val="00B93E3D"/>
    <w:rsid w:val="00B93EB5"/>
    <w:rsid w:val="00B93EDC"/>
    <w:rsid w:val="00B93F95"/>
    <w:rsid w:val="00B9408E"/>
    <w:rsid w:val="00B94242"/>
    <w:rsid w:val="00B94360"/>
    <w:rsid w:val="00B944FD"/>
    <w:rsid w:val="00B94585"/>
    <w:rsid w:val="00B948DB"/>
    <w:rsid w:val="00B948EF"/>
    <w:rsid w:val="00B9493A"/>
    <w:rsid w:val="00B9495A"/>
    <w:rsid w:val="00B94A27"/>
    <w:rsid w:val="00B94A90"/>
    <w:rsid w:val="00B94C51"/>
    <w:rsid w:val="00B94C5D"/>
    <w:rsid w:val="00B94DCA"/>
    <w:rsid w:val="00B94F0F"/>
    <w:rsid w:val="00B950CE"/>
    <w:rsid w:val="00B95206"/>
    <w:rsid w:val="00B95298"/>
    <w:rsid w:val="00B9537A"/>
    <w:rsid w:val="00B95409"/>
    <w:rsid w:val="00B958E3"/>
    <w:rsid w:val="00B958EB"/>
    <w:rsid w:val="00B9595C"/>
    <w:rsid w:val="00B959C4"/>
    <w:rsid w:val="00B95B0F"/>
    <w:rsid w:val="00B95B30"/>
    <w:rsid w:val="00B95DB3"/>
    <w:rsid w:val="00B95E48"/>
    <w:rsid w:val="00B95E57"/>
    <w:rsid w:val="00B95F4B"/>
    <w:rsid w:val="00B95FB0"/>
    <w:rsid w:val="00B96011"/>
    <w:rsid w:val="00B96069"/>
    <w:rsid w:val="00B9619F"/>
    <w:rsid w:val="00B96216"/>
    <w:rsid w:val="00B962BF"/>
    <w:rsid w:val="00B9635E"/>
    <w:rsid w:val="00B963FF"/>
    <w:rsid w:val="00B96441"/>
    <w:rsid w:val="00B96442"/>
    <w:rsid w:val="00B964E1"/>
    <w:rsid w:val="00B96614"/>
    <w:rsid w:val="00B96734"/>
    <w:rsid w:val="00B96755"/>
    <w:rsid w:val="00B96780"/>
    <w:rsid w:val="00B96876"/>
    <w:rsid w:val="00B968F6"/>
    <w:rsid w:val="00B9694C"/>
    <w:rsid w:val="00B96AF4"/>
    <w:rsid w:val="00B96D8B"/>
    <w:rsid w:val="00B96E2F"/>
    <w:rsid w:val="00B96EEC"/>
    <w:rsid w:val="00B96F50"/>
    <w:rsid w:val="00B96FBA"/>
    <w:rsid w:val="00B97263"/>
    <w:rsid w:val="00B972F8"/>
    <w:rsid w:val="00B9733F"/>
    <w:rsid w:val="00B9739C"/>
    <w:rsid w:val="00B973A7"/>
    <w:rsid w:val="00B9750A"/>
    <w:rsid w:val="00B97513"/>
    <w:rsid w:val="00B97530"/>
    <w:rsid w:val="00B97587"/>
    <w:rsid w:val="00B9758E"/>
    <w:rsid w:val="00B97751"/>
    <w:rsid w:val="00B977A9"/>
    <w:rsid w:val="00B9789C"/>
    <w:rsid w:val="00B978A8"/>
    <w:rsid w:val="00B9792C"/>
    <w:rsid w:val="00B97979"/>
    <w:rsid w:val="00B979B2"/>
    <w:rsid w:val="00B979B9"/>
    <w:rsid w:val="00B97B81"/>
    <w:rsid w:val="00B97C09"/>
    <w:rsid w:val="00B97C19"/>
    <w:rsid w:val="00B97C24"/>
    <w:rsid w:val="00B97CAC"/>
    <w:rsid w:val="00BA0018"/>
    <w:rsid w:val="00BA0133"/>
    <w:rsid w:val="00BA0227"/>
    <w:rsid w:val="00BA02A0"/>
    <w:rsid w:val="00BA02A5"/>
    <w:rsid w:val="00BA02D5"/>
    <w:rsid w:val="00BA02EE"/>
    <w:rsid w:val="00BA0311"/>
    <w:rsid w:val="00BA04E2"/>
    <w:rsid w:val="00BA0542"/>
    <w:rsid w:val="00BA05BB"/>
    <w:rsid w:val="00BA06C3"/>
    <w:rsid w:val="00BA074C"/>
    <w:rsid w:val="00BA0759"/>
    <w:rsid w:val="00BA0795"/>
    <w:rsid w:val="00BA082A"/>
    <w:rsid w:val="00BA0A4F"/>
    <w:rsid w:val="00BA0A81"/>
    <w:rsid w:val="00BA0C90"/>
    <w:rsid w:val="00BA0E0E"/>
    <w:rsid w:val="00BA0F36"/>
    <w:rsid w:val="00BA0FA6"/>
    <w:rsid w:val="00BA1036"/>
    <w:rsid w:val="00BA103C"/>
    <w:rsid w:val="00BA10C4"/>
    <w:rsid w:val="00BA1113"/>
    <w:rsid w:val="00BA1341"/>
    <w:rsid w:val="00BA1376"/>
    <w:rsid w:val="00BA1451"/>
    <w:rsid w:val="00BA157E"/>
    <w:rsid w:val="00BA161A"/>
    <w:rsid w:val="00BA1637"/>
    <w:rsid w:val="00BA1668"/>
    <w:rsid w:val="00BA16D5"/>
    <w:rsid w:val="00BA1707"/>
    <w:rsid w:val="00BA1764"/>
    <w:rsid w:val="00BA1793"/>
    <w:rsid w:val="00BA17C6"/>
    <w:rsid w:val="00BA17E9"/>
    <w:rsid w:val="00BA1878"/>
    <w:rsid w:val="00BA189B"/>
    <w:rsid w:val="00BA18B7"/>
    <w:rsid w:val="00BA191C"/>
    <w:rsid w:val="00BA1A53"/>
    <w:rsid w:val="00BA1A77"/>
    <w:rsid w:val="00BA1B00"/>
    <w:rsid w:val="00BA1B08"/>
    <w:rsid w:val="00BA1D1E"/>
    <w:rsid w:val="00BA1D42"/>
    <w:rsid w:val="00BA1D7D"/>
    <w:rsid w:val="00BA1D85"/>
    <w:rsid w:val="00BA1D8D"/>
    <w:rsid w:val="00BA1E18"/>
    <w:rsid w:val="00BA1E7D"/>
    <w:rsid w:val="00BA1E89"/>
    <w:rsid w:val="00BA1F16"/>
    <w:rsid w:val="00BA2180"/>
    <w:rsid w:val="00BA22FD"/>
    <w:rsid w:val="00BA2300"/>
    <w:rsid w:val="00BA23A0"/>
    <w:rsid w:val="00BA246F"/>
    <w:rsid w:val="00BA24B2"/>
    <w:rsid w:val="00BA24BD"/>
    <w:rsid w:val="00BA24F6"/>
    <w:rsid w:val="00BA2566"/>
    <w:rsid w:val="00BA25DD"/>
    <w:rsid w:val="00BA26FF"/>
    <w:rsid w:val="00BA2848"/>
    <w:rsid w:val="00BA2B56"/>
    <w:rsid w:val="00BA2B66"/>
    <w:rsid w:val="00BA2B75"/>
    <w:rsid w:val="00BA2B9E"/>
    <w:rsid w:val="00BA2BB2"/>
    <w:rsid w:val="00BA2CC8"/>
    <w:rsid w:val="00BA2CCC"/>
    <w:rsid w:val="00BA2CEA"/>
    <w:rsid w:val="00BA2D29"/>
    <w:rsid w:val="00BA30B5"/>
    <w:rsid w:val="00BA33CD"/>
    <w:rsid w:val="00BA3416"/>
    <w:rsid w:val="00BA3685"/>
    <w:rsid w:val="00BA3741"/>
    <w:rsid w:val="00BA387A"/>
    <w:rsid w:val="00BA38D5"/>
    <w:rsid w:val="00BA38D6"/>
    <w:rsid w:val="00BA398A"/>
    <w:rsid w:val="00BA3A83"/>
    <w:rsid w:val="00BA3A84"/>
    <w:rsid w:val="00BA3B22"/>
    <w:rsid w:val="00BA3D64"/>
    <w:rsid w:val="00BA3EB7"/>
    <w:rsid w:val="00BA3F64"/>
    <w:rsid w:val="00BA3F7B"/>
    <w:rsid w:val="00BA404B"/>
    <w:rsid w:val="00BA414C"/>
    <w:rsid w:val="00BA423F"/>
    <w:rsid w:val="00BA42BB"/>
    <w:rsid w:val="00BA4393"/>
    <w:rsid w:val="00BA448C"/>
    <w:rsid w:val="00BA4510"/>
    <w:rsid w:val="00BA4695"/>
    <w:rsid w:val="00BA47DB"/>
    <w:rsid w:val="00BA481B"/>
    <w:rsid w:val="00BA48AA"/>
    <w:rsid w:val="00BA4A6F"/>
    <w:rsid w:val="00BA4ACE"/>
    <w:rsid w:val="00BA4AF4"/>
    <w:rsid w:val="00BA4AFF"/>
    <w:rsid w:val="00BA4DEB"/>
    <w:rsid w:val="00BA4FC1"/>
    <w:rsid w:val="00BA503D"/>
    <w:rsid w:val="00BA50E5"/>
    <w:rsid w:val="00BA514E"/>
    <w:rsid w:val="00BA5208"/>
    <w:rsid w:val="00BA523F"/>
    <w:rsid w:val="00BA5305"/>
    <w:rsid w:val="00BA5376"/>
    <w:rsid w:val="00BA55FE"/>
    <w:rsid w:val="00BA5689"/>
    <w:rsid w:val="00BA57B0"/>
    <w:rsid w:val="00BA583B"/>
    <w:rsid w:val="00BA593B"/>
    <w:rsid w:val="00BA598E"/>
    <w:rsid w:val="00BA59E5"/>
    <w:rsid w:val="00BA5AAE"/>
    <w:rsid w:val="00BA5B4D"/>
    <w:rsid w:val="00BA5B92"/>
    <w:rsid w:val="00BA5BFC"/>
    <w:rsid w:val="00BA5C0F"/>
    <w:rsid w:val="00BA5C60"/>
    <w:rsid w:val="00BA5CE0"/>
    <w:rsid w:val="00BA5D26"/>
    <w:rsid w:val="00BA5E25"/>
    <w:rsid w:val="00BA5F0B"/>
    <w:rsid w:val="00BA6025"/>
    <w:rsid w:val="00BA6074"/>
    <w:rsid w:val="00BA60C3"/>
    <w:rsid w:val="00BA61E3"/>
    <w:rsid w:val="00BA6229"/>
    <w:rsid w:val="00BA6240"/>
    <w:rsid w:val="00BA627D"/>
    <w:rsid w:val="00BA6299"/>
    <w:rsid w:val="00BA62E1"/>
    <w:rsid w:val="00BA631E"/>
    <w:rsid w:val="00BA632B"/>
    <w:rsid w:val="00BA6427"/>
    <w:rsid w:val="00BA647D"/>
    <w:rsid w:val="00BA6524"/>
    <w:rsid w:val="00BA658C"/>
    <w:rsid w:val="00BA66B5"/>
    <w:rsid w:val="00BA66E5"/>
    <w:rsid w:val="00BA6844"/>
    <w:rsid w:val="00BA6871"/>
    <w:rsid w:val="00BA6960"/>
    <w:rsid w:val="00BA697B"/>
    <w:rsid w:val="00BA697D"/>
    <w:rsid w:val="00BA6989"/>
    <w:rsid w:val="00BA69CC"/>
    <w:rsid w:val="00BA6A48"/>
    <w:rsid w:val="00BA6B51"/>
    <w:rsid w:val="00BA6B6E"/>
    <w:rsid w:val="00BA6D75"/>
    <w:rsid w:val="00BA6DAC"/>
    <w:rsid w:val="00BA6EBD"/>
    <w:rsid w:val="00BA702E"/>
    <w:rsid w:val="00BA7077"/>
    <w:rsid w:val="00BA7314"/>
    <w:rsid w:val="00BA7455"/>
    <w:rsid w:val="00BA7466"/>
    <w:rsid w:val="00BA764E"/>
    <w:rsid w:val="00BA7653"/>
    <w:rsid w:val="00BA77BA"/>
    <w:rsid w:val="00BA780A"/>
    <w:rsid w:val="00BA786A"/>
    <w:rsid w:val="00BA7960"/>
    <w:rsid w:val="00BA796D"/>
    <w:rsid w:val="00BA7995"/>
    <w:rsid w:val="00BA799E"/>
    <w:rsid w:val="00BA7A00"/>
    <w:rsid w:val="00BA7B4B"/>
    <w:rsid w:val="00BA7BF7"/>
    <w:rsid w:val="00BA7D26"/>
    <w:rsid w:val="00BA7D74"/>
    <w:rsid w:val="00BA7EEE"/>
    <w:rsid w:val="00BA7FBD"/>
    <w:rsid w:val="00BB024E"/>
    <w:rsid w:val="00BB0293"/>
    <w:rsid w:val="00BB02E7"/>
    <w:rsid w:val="00BB0653"/>
    <w:rsid w:val="00BB0767"/>
    <w:rsid w:val="00BB0817"/>
    <w:rsid w:val="00BB0820"/>
    <w:rsid w:val="00BB08D5"/>
    <w:rsid w:val="00BB0985"/>
    <w:rsid w:val="00BB0A0E"/>
    <w:rsid w:val="00BB0A1B"/>
    <w:rsid w:val="00BB0AB5"/>
    <w:rsid w:val="00BB0C4D"/>
    <w:rsid w:val="00BB0D49"/>
    <w:rsid w:val="00BB0EC2"/>
    <w:rsid w:val="00BB0F55"/>
    <w:rsid w:val="00BB0FB3"/>
    <w:rsid w:val="00BB1038"/>
    <w:rsid w:val="00BB10CB"/>
    <w:rsid w:val="00BB10D4"/>
    <w:rsid w:val="00BB10DF"/>
    <w:rsid w:val="00BB113B"/>
    <w:rsid w:val="00BB120D"/>
    <w:rsid w:val="00BB12C2"/>
    <w:rsid w:val="00BB1459"/>
    <w:rsid w:val="00BB1492"/>
    <w:rsid w:val="00BB14AE"/>
    <w:rsid w:val="00BB14CB"/>
    <w:rsid w:val="00BB14F6"/>
    <w:rsid w:val="00BB1542"/>
    <w:rsid w:val="00BB1593"/>
    <w:rsid w:val="00BB1757"/>
    <w:rsid w:val="00BB175A"/>
    <w:rsid w:val="00BB1948"/>
    <w:rsid w:val="00BB1A7E"/>
    <w:rsid w:val="00BB1AC2"/>
    <w:rsid w:val="00BB1AF0"/>
    <w:rsid w:val="00BB1B6D"/>
    <w:rsid w:val="00BB1B99"/>
    <w:rsid w:val="00BB1C1D"/>
    <w:rsid w:val="00BB1C82"/>
    <w:rsid w:val="00BB1E49"/>
    <w:rsid w:val="00BB1EE5"/>
    <w:rsid w:val="00BB1FE9"/>
    <w:rsid w:val="00BB2007"/>
    <w:rsid w:val="00BB23FC"/>
    <w:rsid w:val="00BB2431"/>
    <w:rsid w:val="00BB256A"/>
    <w:rsid w:val="00BB25AA"/>
    <w:rsid w:val="00BB25B2"/>
    <w:rsid w:val="00BB25F3"/>
    <w:rsid w:val="00BB25FC"/>
    <w:rsid w:val="00BB2641"/>
    <w:rsid w:val="00BB264A"/>
    <w:rsid w:val="00BB2880"/>
    <w:rsid w:val="00BB28B0"/>
    <w:rsid w:val="00BB28BB"/>
    <w:rsid w:val="00BB2B01"/>
    <w:rsid w:val="00BB2BCD"/>
    <w:rsid w:val="00BB2C13"/>
    <w:rsid w:val="00BB2CE4"/>
    <w:rsid w:val="00BB2D04"/>
    <w:rsid w:val="00BB2D82"/>
    <w:rsid w:val="00BB2FFD"/>
    <w:rsid w:val="00BB3085"/>
    <w:rsid w:val="00BB30FF"/>
    <w:rsid w:val="00BB311C"/>
    <w:rsid w:val="00BB31B3"/>
    <w:rsid w:val="00BB31FB"/>
    <w:rsid w:val="00BB3202"/>
    <w:rsid w:val="00BB3232"/>
    <w:rsid w:val="00BB3429"/>
    <w:rsid w:val="00BB349F"/>
    <w:rsid w:val="00BB34D8"/>
    <w:rsid w:val="00BB34EF"/>
    <w:rsid w:val="00BB3508"/>
    <w:rsid w:val="00BB3565"/>
    <w:rsid w:val="00BB356B"/>
    <w:rsid w:val="00BB35B0"/>
    <w:rsid w:val="00BB35D7"/>
    <w:rsid w:val="00BB35F1"/>
    <w:rsid w:val="00BB3821"/>
    <w:rsid w:val="00BB387D"/>
    <w:rsid w:val="00BB3940"/>
    <w:rsid w:val="00BB39C3"/>
    <w:rsid w:val="00BB3A1C"/>
    <w:rsid w:val="00BB3A3E"/>
    <w:rsid w:val="00BB3A45"/>
    <w:rsid w:val="00BB3B52"/>
    <w:rsid w:val="00BB3BB5"/>
    <w:rsid w:val="00BB3BE2"/>
    <w:rsid w:val="00BB3C6D"/>
    <w:rsid w:val="00BB3CC1"/>
    <w:rsid w:val="00BB3CCE"/>
    <w:rsid w:val="00BB3D41"/>
    <w:rsid w:val="00BB3FDF"/>
    <w:rsid w:val="00BB411A"/>
    <w:rsid w:val="00BB41A5"/>
    <w:rsid w:val="00BB42D0"/>
    <w:rsid w:val="00BB4400"/>
    <w:rsid w:val="00BB4496"/>
    <w:rsid w:val="00BB44D9"/>
    <w:rsid w:val="00BB44F4"/>
    <w:rsid w:val="00BB45DE"/>
    <w:rsid w:val="00BB4711"/>
    <w:rsid w:val="00BB4714"/>
    <w:rsid w:val="00BB47D4"/>
    <w:rsid w:val="00BB4841"/>
    <w:rsid w:val="00BB4880"/>
    <w:rsid w:val="00BB490C"/>
    <w:rsid w:val="00BB4ADC"/>
    <w:rsid w:val="00BB4C36"/>
    <w:rsid w:val="00BB4C68"/>
    <w:rsid w:val="00BB4CE2"/>
    <w:rsid w:val="00BB4D75"/>
    <w:rsid w:val="00BB4F11"/>
    <w:rsid w:val="00BB4F55"/>
    <w:rsid w:val="00BB4FAB"/>
    <w:rsid w:val="00BB4FD0"/>
    <w:rsid w:val="00BB50FB"/>
    <w:rsid w:val="00BB5104"/>
    <w:rsid w:val="00BB5108"/>
    <w:rsid w:val="00BB52B5"/>
    <w:rsid w:val="00BB53B1"/>
    <w:rsid w:val="00BB5410"/>
    <w:rsid w:val="00BB5474"/>
    <w:rsid w:val="00BB56FA"/>
    <w:rsid w:val="00BB5900"/>
    <w:rsid w:val="00BB5A6F"/>
    <w:rsid w:val="00BB5B81"/>
    <w:rsid w:val="00BB5C01"/>
    <w:rsid w:val="00BB5C1D"/>
    <w:rsid w:val="00BB5C79"/>
    <w:rsid w:val="00BB5CAA"/>
    <w:rsid w:val="00BB5D54"/>
    <w:rsid w:val="00BB5DC9"/>
    <w:rsid w:val="00BB5EF4"/>
    <w:rsid w:val="00BB6087"/>
    <w:rsid w:val="00BB6182"/>
    <w:rsid w:val="00BB626F"/>
    <w:rsid w:val="00BB647A"/>
    <w:rsid w:val="00BB663B"/>
    <w:rsid w:val="00BB6685"/>
    <w:rsid w:val="00BB6740"/>
    <w:rsid w:val="00BB6843"/>
    <w:rsid w:val="00BB6924"/>
    <w:rsid w:val="00BB69C0"/>
    <w:rsid w:val="00BB69EF"/>
    <w:rsid w:val="00BB6AA3"/>
    <w:rsid w:val="00BB6B68"/>
    <w:rsid w:val="00BB6C49"/>
    <w:rsid w:val="00BB6D19"/>
    <w:rsid w:val="00BB6E2A"/>
    <w:rsid w:val="00BB6F54"/>
    <w:rsid w:val="00BB6FDB"/>
    <w:rsid w:val="00BB7018"/>
    <w:rsid w:val="00BB7050"/>
    <w:rsid w:val="00BB71A9"/>
    <w:rsid w:val="00BB71C5"/>
    <w:rsid w:val="00BB725E"/>
    <w:rsid w:val="00BB72C9"/>
    <w:rsid w:val="00BB72F4"/>
    <w:rsid w:val="00BB7367"/>
    <w:rsid w:val="00BB7594"/>
    <w:rsid w:val="00BB75AE"/>
    <w:rsid w:val="00BB772D"/>
    <w:rsid w:val="00BB77A6"/>
    <w:rsid w:val="00BB77A8"/>
    <w:rsid w:val="00BB7899"/>
    <w:rsid w:val="00BB79C0"/>
    <w:rsid w:val="00BB7A42"/>
    <w:rsid w:val="00BB7A5A"/>
    <w:rsid w:val="00BB7B06"/>
    <w:rsid w:val="00BB7BD9"/>
    <w:rsid w:val="00BB7CE9"/>
    <w:rsid w:val="00BB7D7E"/>
    <w:rsid w:val="00BB7E0D"/>
    <w:rsid w:val="00BB7F03"/>
    <w:rsid w:val="00BC00D2"/>
    <w:rsid w:val="00BC014B"/>
    <w:rsid w:val="00BC022F"/>
    <w:rsid w:val="00BC0290"/>
    <w:rsid w:val="00BC02BA"/>
    <w:rsid w:val="00BC035A"/>
    <w:rsid w:val="00BC03BD"/>
    <w:rsid w:val="00BC07AB"/>
    <w:rsid w:val="00BC08AC"/>
    <w:rsid w:val="00BC08BA"/>
    <w:rsid w:val="00BC08D7"/>
    <w:rsid w:val="00BC093E"/>
    <w:rsid w:val="00BC0940"/>
    <w:rsid w:val="00BC0A2E"/>
    <w:rsid w:val="00BC0A44"/>
    <w:rsid w:val="00BC0A99"/>
    <w:rsid w:val="00BC0B33"/>
    <w:rsid w:val="00BC0B63"/>
    <w:rsid w:val="00BC0C87"/>
    <w:rsid w:val="00BC0DFB"/>
    <w:rsid w:val="00BC0E08"/>
    <w:rsid w:val="00BC0E19"/>
    <w:rsid w:val="00BC0EB9"/>
    <w:rsid w:val="00BC0F6E"/>
    <w:rsid w:val="00BC0F9A"/>
    <w:rsid w:val="00BC10A3"/>
    <w:rsid w:val="00BC10D9"/>
    <w:rsid w:val="00BC112B"/>
    <w:rsid w:val="00BC12AB"/>
    <w:rsid w:val="00BC12DB"/>
    <w:rsid w:val="00BC130E"/>
    <w:rsid w:val="00BC1370"/>
    <w:rsid w:val="00BC1395"/>
    <w:rsid w:val="00BC13E4"/>
    <w:rsid w:val="00BC1494"/>
    <w:rsid w:val="00BC159A"/>
    <w:rsid w:val="00BC15A3"/>
    <w:rsid w:val="00BC1622"/>
    <w:rsid w:val="00BC166B"/>
    <w:rsid w:val="00BC168E"/>
    <w:rsid w:val="00BC1749"/>
    <w:rsid w:val="00BC17AE"/>
    <w:rsid w:val="00BC189E"/>
    <w:rsid w:val="00BC197A"/>
    <w:rsid w:val="00BC198D"/>
    <w:rsid w:val="00BC1A2E"/>
    <w:rsid w:val="00BC1A76"/>
    <w:rsid w:val="00BC1AC5"/>
    <w:rsid w:val="00BC1AC7"/>
    <w:rsid w:val="00BC1C66"/>
    <w:rsid w:val="00BC1C7B"/>
    <w:rsid w:val="00BC1D3E"/>
    <w:rsid w:val="00BC1D59"/>
    <w:rsid w:val="00BC1E76"/>
    <w:rsid w:val="00BC1EE4"/>
    <w:rsid w:val="00BC1F55"/>
    <w:rsid w:val="00BC1F70"/>
    <w:rsid w:val="00BC1F81"/>
    <w:rsid w:val="00BC1FEA"/>
    <w:rsid w:val="00BC21BD"/>
    <w:rsid w:val="00BC220B"/>
    <w:rsid w:val="00BC2264"/>
    <w:rsid w:val="00BC226C"/>
    <w:rsid w:val="00BC229A"/>
    <w:rsid w:val="00BC2348"/>
    <w:rsid w:val="00BC2482"/>
    <w:rsid w:val="00BC25D3"/>
    <w:rsid w:val="00BC261F"/>
    <w:rsid w:val="00BC264F"/>
    <w:rsid w:val="00BC270A"/>
    <w:rsid w:val="00BC2854"/>
    <w:rsid w:val="00BC2942"/>
    <w:rsid w:val="00BC294E"/>
    <w:rsid w:val="00BC299E"/>
    <w:rsid w:val="00BC29F2"/>
    <w:rsid w:val="00BC2A8F"/>
    <w:rsid w:val="00BC2B40"/>
    <w:rsid w:val="00BC2B47"/>
    <w:rsid w:val="00BC2BEB"/>
    <w:rsid w:val="00BC2EEF"/>
    <w:rsid w:val="00BC2F93"/>
    <w:rsid w:val="00BC3023"/>
    <w:rsid w:val="00BC3066"/>
    <w:rsid w:val="00BC30DD"/>
    <w:rsid w:val="00BC30E7"/>
    <w:rsid w:val="00BC31A7"/>
    <w:rsid w:val="00BC32CD"/>
    <w:rsid w:val="00BC32CE"/>
    <w:rsid w:val="00BC32DC"/>
    <w:rsid w:val="00BC333F"/>
    <w:rsid w:val="00BC3389"/>
    <w:rsid w:val="00BC3580"/>
    <w:rsid w:val="00BC3596"/>
    <w:rsid w:val="00BC3598"/>
    <w:rsid w:val="00BC3634"/>
    <w:rsid w:val="00BC3692"/>
    <w:rsid w:val="00BC36E2"/>
    <w:rsid w:val="00BC36EE"/>
    <w:rsid w:val="00BC3708"/>
    <w:rsid w:val="00BC3767"/>
    <w:rsid w:val="00BC3785"/>
    <w:rsid w:val="00BC3786"/>
    <w:rsid w:val="00BC3881"/>
    <w:rsid w:val="00BC392D"/>
    <w:rsid w:val="00BC3AF5"/>
    <w:rsid w:val="00BC3B54"/>
    <w:rsid w:val="00BC3B9E"/>
    <w:rsid w:val="00BC3CB2"/>
    <w:rsid w:val="00BC3CD0"/>
    <w:rsid w:val="00BC3DDB"/>
    <w:rsid w:val="00BC3DEE"/>
    <w:rsid w:val="00BC3ED5"/>
    <w:rsid w:val="00BC3EFE"/>
    <w:rsid w:val="00BC3F70"/>
    <w:rsid w:val="00BC40E4"/>
    <w:rsid w:val="00BC415D"/>
    <w:rsid w:val="00BC4169"/>
    <w:rsid w:val="00BC41F9"/>
    <w:rsid w:val="00BC4311"/>
    <w:rsid w:val="00BC47D4"/>
    <w:rsid w:val="00BC497B"/>
    <w:rsid w:val="00BC4A10"/>
    <w:rsid w:val="00BC4A4C"/>
    <w:rsid w:val="00BC4B54"/>
    <w:rsid w:val="00BC4BFB"/>
    <w:rsid w:val="00BC4C27"/>
    <w:rsid w:val="00BC4CCA"/>
    <w:rsid w:val="00BC4DCC"/>
    <w:rsid w:val="00BC4E3A"/>
    <w:rsid w:val="00BC4E58"/>
    <w:rsid w:val="00BC52A3"/>
    <w:rsid w:val="00BC5350"/>
    <w:rsid w:val="00BC53E4"/>
    <w:rsid w:val="00BC5505"/>
    <w:rsid w:val="00BC56E5"/>
    <w:rsid w:val="00BC57EF"/>
    <w:rsid w:val="00BC589F"/>
    <w:rsid w:val="00BC5982"/>
    <w:rsid w:val="00BC59EE"/>
    <w:rsid w:val="00BC5A16"/>
    <w:rsid w:val="00BC5A66"/>
    <w:rsid w:val="00BC5A87"/>
    <w:rsid w:val="00BC5A91"/>
    <w:rsid w:val="00BC5B27"/>
    <w:rsid w:val="00BC5C1E"/>
    <w:rsid w:val="00BC5D04"/>
    <w:rsid w:val="00BC5D1E"/>
    <w:rsid w:val="00BC5D4F"/>
    <w:rsid w:val="00BC5D9B"/>
    <w:rsid w:val="00BC5E9F"/>
    <w:rsid w:val="00BC5ED1"/>
    <w:rsid w:val="00BC5F9D"/>
    <w:rsid w:val="00BC5FBB"/>
    <w:rsid w:val="00BC5FF2"/>
    <w:rsid w:val="00BC6082"/>
    <w:rsid w:val="00BC6093"/>
    <w:rsid w:val="00BC60DE"/>
    <w:rsid w:val="00BC6124"/>
    <w:rsid w:val="00BC613A"/>
    <w:rsid w:val="00BC61E0"/>
    <w:rsid w:val="00BC62DE"/>
    <w:rsid w:val="00BC631A"/>
    <w:rsid w:val="00BC657B"/>
    <w:rsid w:val="00BC665A"/>
    <w:rsid w:val="00BC66B3"/>
    <w:rsid w:val="00BC66C3"/>
    <w:rsid w:val="00BC67ED"/>
    <w:rsid w:val="00BC6841"/>
    <w:rsid w:val="00BC6846"/>
    <w:rsid w:val="00BC68CD"/>
    <w:rsid w:val="00BC6910"/>
    <w:rsid w:val="00BC69DC"/>
    <w:rsid w:val="00BC6A3B"/>
    <w:rsid w:val="00BC6A41"/>
    <w:rsid w:val="00BC6BA3"/>
    <w:rsid w:val="00BC6CB6"/>
    <w:rsid w:val="00BC6CC5"/>
    <w:rsid w:val="00BC6CCF"/>
    <w:rsid w:val="00BC6CDC"/>
    <w:rsid w:val="00BC6D9E"/>
    <w:rsid w:val="00BC6DB9"/>
    <w:rsid w:val="00BC6F0C"/>
    <w:rsid w:val="00BC6F44"/>
    <w:rsid w:val="00BC702D"/>
    <w:rsid w:val="00BC709A"/>
    <w:rsid w:val="00BC718E"/>
    <w:rsid w:val="00BC71AA"/>
    <w:rsid w:val="00BC71C9"/>
    <w:rsid w:val="00BC7274"/>
    <w:rsid w:val="00BC7312"/>
    <w:rsid w:val="00BC7377"/>
    <w:rsid w:val="00BC7440"/>
    <w:rsid w:val="00BC7496"/>
    <w:rsid w:val="00BC751E"/>
    <w:rsid w:val="00BC75E6"/>
    <w:rsid w:val="00BC776B"/>
    <w:rsid w:val="00BC77FE"/>
    <w:rsid w:val="00BC7804"/>
    <w:rsid w:val="00BC78EB"/>
    <w:rsid w:val="00BC79FB"/>
    <w:rsid w:val="00BC7A84"/>
    <w:rsid w:val="00BC7ABC"/>
    <w:rsid w:val="00BC7B48"/>
    <w:rsid w:val="00BC7B63"/>
    <w:rsid w:val="00BC7B6F"/>
    <w:rsid w:val="00BC7BF6"/>
    <w:rsid w:val="00BC7C62"/>
    <w:rsid w:val="00BC7C78"/>
    <w:rsid w:val="00BC7CFF"/>
    <w:rsid w:val="00BC7D34"/>
    <w:rsid w:val="00BC7D4C"/>
    <w:rsid w:val="00BC7D69"/>
    <w:rsid w:val="00BC7E6E"/>
    <w:rsid w:val="00BC7EFC"/>
    <w:rsid w:val="00BC7F3D"/>
    <w:rsid w:val="00BC7F61"/>
    <w:rsid w:val="00BC7FAC"/>
    <w:rsid w:val="00BC7FBA"/>
    <w:rsid w:val="00BD0017"/>
    <w:rsid w:val="00BD0137"/>
    <w:rsid w:val="00BD02C2"/>
    <w:rsid w:val="00BD0318"/>
    <w:rsid w:val="00BD0358"/>
    <w:rsid w:val="00BD037E"/>
    <w:rsid w:val="00BD039C"/>
    <w:rsid w:val="00BD055D"/>
    <w:rsid w:val="00BD0574"/>
    <w:rsid w:val="00BD070D"/>
    <w:rsid w:val="00BD0727"/>
    <w:rsid w:val="00BD07EB"/>
    <w:rsid w:val="00BD083F"/>
    <w:rsid w:val="00BD091D"/>
    <w:rsid w:val="00BD0B0B"/>
    <w:rsid w:val="00BD0B9B"/>
    <w:rsid w:val="00BD0BCD"/>
    <w:rsid w:val="00BD0C50"/>
    <w:rsid w:val="00BD0CBD"/>
    <w:rsid w:val="00BD0CF6"/>
    <w:rsid w:val="00BD0D17"/>
    <w:rsid w:val="00BD0E85"/>
    <w:rsid w:val="00BD0E8D"/>
    <w:rsid w:val="00BD0EC3"/>
    <w:rsid w:val="00BD0FD7"/>
    <w:rsid w:val="00BD10DD"/>
    <w:rsid w:val="00BD1150"/>
    <w:rsid w:val="00BD1178"/>
    <w:rsid w:val="00BD11F6"/>
    <w:rsid w:val="00BD1342"/>
    <w:rsid w:val="00BD13F9"/>
    <w:rsid w:val="00BD13FC"/>
    <w:rsid w:val="00BD1529"/>
    <w:rsid w:val="00BD1564"/>
    <w:rsid w:val="00BD1585"/>
    <w:rsid w:val="00BD1658"/>
    <w:rsid w:val="00BD1674"/>
    <w:rsid w:val="00BD1706"/>
    <w:rsid w:val="00BD1733"/>
    <w:rsid w:val="00BD1850"/>
    <w:rsid w:val="00BD18C8"/>
    <w:rsid w:val="00BD18D5"/>
    <w:rsid w:val="00BD1936"/>
    <w:rsid w:val="00BD1999"/>
    <w:rsid w:val="00BD1ACE"/>
    <w:rsid w:val="00BD1C11"/>
    <w:rsid w:val="00BD1C77"/>
    <w:rsid w:val="00BD1C99"/>
    <w:rsid w:val="00BD1F86"/>
    <w:rsid w:val="00BD1FCD"/>
    <w:rsid w:val="00BD2183"/>
    <w:rsid w:val="00BD22A5"/>
    <w:rsid w:val="00BD2517"/>
    <w:rsid w:val="00BD2698"/>
    <w:rsid w:val="00BD2721"/>
    <w:rsid w:val="00BD2827"/>
    <w:rsid w:val="00BD28A8"/>
    <w:rsid w:val="00BD294B"/>
    <w:rsid w:val="00BD29FA"/>
    <w:rsid w:val="00BD2A3B"/>
    <w:rsid w:val="00BD2A81"/>
    <w:rsid w:val="00BD2B28"/>
    <w:rsid w:val="00BD2B6D"/>
    <w:rsid w:val="00BD2B8D"/>
    <w:rsid w:val="00BD2D94"/>
    <w:rsid w:val="00BD2D9B"/>
    <w:rsid w:val="00BD2DC6"/>
    <w:rsid w:val="00BD2EA8"/>
    <w:rsid w:val="00BD2EF1"/>
    <w:rsid w:val="00BD2FB3"/>
    <w:rsid w:val="00BD2FFC"/>
    <w:rsid w:val="00BD3222"/>
    <w:rsid w:val="00BD3236"/>
    <w:rsid w:val="00BD3380"/>
    <w:rsid w:val="00BD35DD"/>
    <w:rsid w:val="00BD364D"/>
    <w:rsid w:val="00BD366A"/>
    <w:rsid w:val="00BD37AF"/>
    <w:rsid w:val="00BD384A"/>
    <w:rsid w:val="00BD38B4"/>
    <w:rsid w:val="00BD3941"/>
    <w:rsid w:val="00BD3991"/>
    <w:rsid w:val="00BD3A46"/>
    <w:rsid w:val="00BD3DA0"/>
    <w:rsid w:val="00BD3EE0"/>
    <w:rsid w:val="00BD3FCF"/>
    <w:rsid w:val="00BD401F"/>
    <w:rsid w:val="00BD40CB"/>
    <w:rsid w:val="00BD40E3"/>
    <w:rsid w:val="00BD41E9"/>
    <w:rsid w:val="00BD4200"/>
    <w:rsid w:val="00BD42B7"/>
    <w:rsid w:val="00BD4416"/>
    <w:rsid w:val="00BD442B"/>
    <w:rsid w:val="00BD4455"/>
    <w:rsid w:val="00BD4480"/>
    <w:rsid w:val="00BD44AE"/>
    <w:rsid w:val="00BD44E5"/>
    <w:rsid w:val="00BD450C"/>
    <w:rsid w:val="00BD4551"/>
    <w:rsid w:val="00BD45C0"/>
    <w:rsid w:val="00BD4858"/>
    <w:rsid w:val="00BD487B"/>
    <w:rsid w:val="00BD49A3"/>
    <w:rsid w:val="00BD4A32"/>
    <w:rsid w:val="00BD4AA5"/>
    <w:rsid w:val="00BD4AF0"/>
    <w:rsid w:val="00BD4BEC"/>
    <w:rsid w:val="00BD4C84"/>
    <w:rsid w:val="00BD4C8E"/>
    <w:rsid w:val="00BD4CEF"/>
    <w:rsid w:val="00BD4D3F"/>
    <w:rsid w:val="00BD4D6E"/>
    <w:rsid w:val="00BD4EDA"/>
    <w:rsid w:val="00BD4F5C"/>
    <w:rsid w:val="00BD4F8E"/>
    <w:rsid w:val="00BD4FB7"/>
    <w:rsid w:val="00BD50DB"/>
    <w:rsid w:val="00BD50F0"/>
    <w:rsid w:val="00BD5136"/>
    <w:rsid w:val="00BD527F"/>
    <w:rsid w:val="00BD52F1"/>
    <w:rsid w:val="00BD5385"/>
    <w:rsid w:val="00BD55DE"/>
    <w:rsid w:val="00BD560E"/>
    <w:rsid w:val="00BD5890"/>
    <w:rsid w:val="00BD58D2"/>
    <w:rsid w:val="00BD58F7"/>
    <w:rsid w:val="00BD5926"/>
    <w:rsid w:val="00BD59F9"/>
    <w:rsid w:val="00BD5A75"/>
    <w:rsid w:val="00BD5AC4"/>
    <w:rsid w:val="00BD5B5E"/>
    <w:rsid w:val="00BD5CD7"/>
    <w:rsid w:val="00BD5D3B"/>
    <w:rsid w:val="00BD5D92"/>
    <w:rsid w:val="00BD5E10"/>
    <w:rsid w:val="00BD5E31"/>
    <w:rsid w:val="00BD5E93"/>
    <w:rsid w:val="00BD5F57"/>
    <w:rsid w:val="00BD5FAC"/>
    <w:rsid w:val="00BD6154"/>
    <w:rsid w:val="00BD61BA"/>
    <w:rsid w:val="00BD61D6"/>
    <w:rsid w:val="00BD6408"/>
    <w:rsid w:val="00BD6423"/>
    <w:rsid w:val="00BD65B7"/>
    <w:rsid w:val="00BD66FE"/>
    <w:rsid w:val="00BD688C"/>
    <w:rsid w:val="00BD6898"/>
    <w:rsid w:val="00BD6939"/>
    <w:rsid w:val="00BD6A89"/>
    <w:rsid w:val="00BD6CA3"/>
    <w:rsid w:val="00BD6D4F"/>
    <w:rsid w:val="00BD6DBA"/>
    <w:rsid w:val="00BD6E95"/>
    <w:rsid w:val="00BD6ECA"/>
    <w:rsid w:val="00BD6F1B"/>
    <w:rsid w:val="00BD6FA3"/>
    <w:rsid w:val="00BD6FC4"/>
    <w:rsid w:val="00BD704C"/>
    <w:rsid w:val="00BD70DA"/>
    <w:rsid w:val="00BD72E7"/>
    <w:rsid w:val="00BD7335"/>
    <w:rsid w:val="00BD73E8"/>
    <w:rsid w:val="00BD748C"/>
    <w:rsid w:val="00BD758A"/>
    <w:rsid w:val="00BD7596"/>
    <w:rsid w:val="00BD7662"/>
    <w:rsid w:val="00BD76DC"/>
    <w:rsid w:val="00BD7712"/>
    <w:rsid w:val="00BD781B"/>
    <w:rsid w:val="00BD7952"/>
    <w:rsid w:val="00BD7A68"/>
    <w:rsid w:val="00BD7AB7"/>
    <w:rsid w:val="00BD7E75"/>
    <w:rsid w:val="00BD7FDD"/>
    <w:rsid w:val="00BE0083"/>
    <w:rsid w:val="00BE00E9"/>
    <w:rsid w:val="00BE0282"/>
    <w:rsid w:val="00BE0388"/>
    <w:rsid w:val="00BE0414"/>
    <w:rsid w:val="00BE0419"/>
    <w:rsid w:val="00BE0493"/>
    <w:rsid w:val="00BE04BF"/>
    <w:rsid w:val="00BE0689"/>
    <w:rsid w:val="00BE081A"/>
    <w:rsid w:val="00BE08FB"/>
    <w:rsid w:val="00BE0993"/>
    <w:rsid w:val="00BE0ADC"/>
    <w:rsid w:val="00BE0B9A"/>
    <w:rsid w:val="00BE0E2B"/>
    <w:rsid w:val="00BE0F0C"/>
    <w:rsid w:val="00BE0F8A"/>
    <w:rsid w:val="00BE0FFF"/>
    <w:rsid w:val="00BE10EB"/>
    <w:rsid w:val="00BE1171"/>
    <w:rsid w:val="00BE1184"/>
    <w:rsid w:val="00BE11DF"/>
    <w:rsid w:val="00BE132E"/>
    <w:rsid w:val="00BE1352"/>
    <w:rsid w:val="00BE14B3"/>
    <w:rsid w:val="00BE15E9"/>
    <w:rsid w:val="00BE15EF"/>
    <w:rsid w:val="00BE17FF"/>
    <w:rsid w:val="00BE18B7"/>
    <w:rsid w:val="00BE18F6"/>
    <w:rsid w:val="00BE1A30"/>
    <w:rsid w:val="00BE1ADB"/>
    <w:rsid w:val="00BE1B59"/>
    <w:rsid w:val="00BE1BDC"/>
    <w:rsid w:val="00BE1D55"/>
    <w:rsid w:val="00BE1D85"/>
    <w:rsid w:val="00BE1E29"/>
    <w:rsid w:val="00BE1E6D"/>
    <w:rsid w:val="00BE1E87"/>
    <w:rsid w:val="00BE2046"/>
    <w:rsid w:val="00BE217F"/>
    <w:rsid w:val="00BE21C2"/>
    <w:rsid w:val="00BE2200"/>
    <w:rsid w:val="00BE2213"/>
    <w:rsid w:val="00BE24D6"/>
    <w:rsid w:val="00BE2810"/>
    <w:rsid w:val="00BE286B"/>
    <w:rsid w:val="00BE291F"/>
    <w:rsid w:val="00BE2959"/>
    <w:rsid w:val="00BE2A39"/>
    <w:rsid w:val="00BE2B67"/>
    <w:rsid w:val="00BE2BC7"/>
    <w:rsid w:val="00BE2CB0"/>
    <w:rsid w:val="00BE2D21"/>
    <w:rsid w:val="00BE2D4A"/>
    <w:rsid w:val="00BE2F70"/>
    <w:rsid w:val="00BE2F90"/>
    <w:rsid w:val="00BE3003"/>
    <w:rsid w:val="00BE3016"/>
    <w:rsid w:val="00BE31B5"/>
    <w:rsid w:val="00BE32A1"/>
    <w:rsid w:val="00BE33DF"/>
    <w:rsid w:val="00BE345C"/>
    <w:rsid w:val="00BE34BE"/>
    <w:rsid w:val="00BE3536"/>
    <w:rsid w:val="00BE3655"/>
    <w:rsid w:val="00BE3686"/>
    <w:rsid w:val="00BE3712"/>
    <w:rsid w:val="00BE372B"/>
    <w:rsid w:val="00BE373D"/>
    <w:rsid w:val="00BE377E"/>
    <w:rsid w:val="00BE385A"/>
    <w:rsid w:val="00BE3891"/>
    <w:rsid w:val="00BE3899"/>
    <w:rsid w:val="00BE3A86"/>
    <w:rsid w:val="00BE3B41"/>
    <w:rsid w:val="00BE3BD8"/>
    <w:rsid w:val="00BE3D95"/>
    <w:rsid w:val="00BE3E30"/>
    <w:rsid w:val="00BE3EC5"/>
    <w:rsid w:val="00BE402D"/>
    <w:rsid w:val="00BE40FF"/>
    <w:rsid w:val="00BE4104"/>
    <w:rsid w:val="00BE4210"/>
    <w:rsid w:val="00BE4216"/>
    <w:rsid w:val="00BE42C3"/>
    <w:rsid w:val="00BE45DC"/>
    <w:rsid w:val="00BE471F"/>
    <w:rsid w:val="00BE480C"/>
    <w:rsid w:val="00BE4892"/>
    <w:rsid w:val="00BE4907"/>
    <w:rsid w:val="00BE49B3"/>
    <w:rsid w:val="00BE4A19"/>
    <w:rsid w:val="00BE4B11"/>
    <w:rsid w:val="00BE4B1C"/>
    <w:rsid w:val="00BE4BB6"/>
    <w:rsid w:val="00BE4D92"/>
    <w:rsid w:val="00BE4DAC"/>
    <w:rsid w:val="00BE4E9E"/>
    <w:rsid w:val="00BE4F47"/>
    <w:rsid w:val="00BE50EA"/>
    <w:rsid w:val="00BE5130"/>
    <w:rsid w:val="00BE51C2"/>
    <w:rsid w:val="00BE51EC"/>
    <w:rsid w:val="00BE53D9"/>
    <w:rsid w:val="00BE5582"/>
    <w:rsid w:val="00BE5592"/>
    <w:rsid w:val="00BE55CE"/>
    <w:rsid w:val="00BE5667"/>
    <w:rsid w:val="00BE56B7"/>
    <w:rsid w:val="00BE56F5"/>
    <w:rsid w:val="00BE56FC"/>
    <w:rsid w:val="00BE5753"/>
    <w:rsid w:val="00BE57BE"/>
    <w:rsid w:val="00BE57FD"/>
    <w:rsid w:val="00BE5866"/>
    <w:rsid w:val="00BE5988"/>
    <w:rsid w:val="00BE5A45"/>
    <w:rsid w:val="00BE5A47"/>
    <w:rsid w:val="00BE5A95"/>
    <w:rsid w:val="00BE5B49"/>
    <w:rsid w:val="00BE5B8C"/>
    <w:rsid w:val="00BE5C04"/>
    <w:rsid w:val="00BE5CD0"/>
    <w:rsid w:val="00BE5DB2"/>
    <w:rsid w:val="00BE5F22"/>
    <w:rsid w:val="00BE5FCE"/>
    <w:rsid w:val="00BE602A"/>
    <w:rsid w:val="00BE6075"/>
    <w:rsid w:val="00BE607A"/>
    <w:rsid w:val="00BE6157"/>
    <w:rsid w:val="00BE61FB"/>
    <w:rsid w:val="00BE621A"/>
    <w:rsid w:val="00BE6277"/>
    <w:rsid w:val="00BE639E"/>
    <w:rsid w:val="00BE6480"/>
    <w:rsid w:val="00BE64DD"/>
    <w:rsid w:val="00BE6508"/>
    <w:rsid w:val="00BE652F"/>
    <w:rsid w:val="00BE6533"/>
    <w:rsid w:val="00BE67B3"/>
    <w:rsid w:val="00BE6909"/>
    <w:rsid w:val="00BE6A64"/>
    <w:rsid w:val="00BE6A8C"/>
    <w:rsid w:val="00BE6C1C"/>
    <w:rsid w:val="00BE6D14"/>
    <w:rsid w:val="00BE6D1B"/>
    <w:rsid w:val="00BE6E3C"/>
    <w:rsid w:val="00BE6E64"/>
    <w:rsid w:val="00BE6E79"/>
    <w:rsid w:val="00BE6F0E"/>
    <w:rsid w:val="00BE6F78"/>
    <w:rsid w:val="00BE6FEA"/>
    <w:rsid w:val="00BE7050"/>
    <w:rsid w:val="00BE70B4"/>
    <w:rsid w:val="00BE7184"/>
    <w:rsid w:val="00BE71EE"/>
    <w:rsid w:val="00BE727D"/>
    <w:rsid w:val="00BE72DD"/>
    <w:rsid w:val="00BE73CC"/>
    <w:rsid w:val="00BE7406"/>
    <w:rsid w:val="00BE7413"/>
    <w:rsid w:val="00BE7483"/>
    <w:rsid w:val="00BE7500"/>
    <w:rsid w:val="00BE7657"/>
    <w:rsid w:val="00BE773D"/>
    <w:rsid w:val="00BE7756"/>
    <w:rsid w:val="00BE7932"/>
    <w:rsid w:val="00BE79DE"/>
    <w:rsid w:val="00BE7A2B"/>
    <w:rsid w:val="00BE7A71"/>
    <w:rsid w:val="00BE7B2C"/>
    <w:rsid w:val="00BE7CA0"/>
    <w:rsid w:val="00BE7E36"/>
    <w:rsid w:val="00BE7F73"/>
    <w:rsid w:val="00BF00A8"/>
    <w:rsid w:val="00BF00CC"/>
    <w:rsid w:val="00BF00E7"/>
    <w:rsid w:val="00BF020C"/>
    <w:rsid w:val="00BF021A"/>
    <w:rsid w:val="00BF026B"/>
    <w:rsid w:val="00BF030B"/>
    <w:rsid w:val="00BF0357"/>
    <w:rsid w:val="00BF0360"/>
    <w:rsid w:val="00BF0398"/>
    <w:rsid w:val="00BF03EC"/>
    <w:rsid w:val="00BF0459"/>
    <w:rsid w:val="00BF04D4"/>
    <w:rsid w:val="00BF0589"/>
    <w:rsid w:val="00BF05E3"/>
    <w:rsid w:val="00BF06B8"/>
    <w:rsid w:val="00BF0709"/>
    <w:rsid w:val="00BF07D5"/>
    <w:rsid w:val="00BF088B"/>
    <w:rsid w:val="00BF08EA"/>
    <w:rsid w:val="00BF09D3"/>
    <w:rsid w:val="00BF0A6D"/>
    <w:rsid w:val="00BF0AA5"/>
    <w:rsid w:val="00BF0AB7"/>
    <w:rsid w:val="00BF0B31"/>
    <w:rsid w:val="00BF0BC7"/>
    <w:rsid w:val="00BF0C18"/>
    <w:rsid w:val="00BF0C4A"/>
    <w:rsid w:val="00BF0D14"/>
    <w:rsid w:val="00BF0D88"/>
    <w:rsid w:val="00BF0DAB"/>
    <w:rsid w:val="00BF130E"/>
    <w:rsid w:val="00BF1312"/>
    <w:rsid w:val="00BF1359"/>
    <w:rsid w:val="00BF13E5"/>
    <w:rsid w:val="00BF14D1"/>
    <w:rsid w:val="00BF1601"/>
    <w:rsid w:val="00BF1648"/>
    <w:rsid w:val="00BF167A"/>
    <w:rsid w:val="00BF16B2"/>
    <w:rsid w:val="00BF1750"/>
    <w:rsid w:val="00BF18E0"/>
    <w:rsid w:val="00BF19F5"/>
    <w:rsid w:val="00BF1AFF"/>
    <w:rsid w:val="00BF1B10"/>
    <w:rsid w:val="00BF1BD5"/>
    <w:rsid w:val="00BF1CD3"/>
    <w:rsid w:val="00BF1E34"/>
    <w:rsid w:val="00BF1EC4"/>
    <w:rsid w:val="00BF1EFE"/>
    <w:rsid w:val="00BF202B"/>
    <w:rsid w:val="00BF20BA"/>
    <w:rsid w:val="00BF20EC"/>
    <w:rsid w:val="00BF215B"/>
    <w:rsid w:val="00BF2195"/>
    <w:rsid w:val="00BF21C6"/>
    <w:rsid w:val="00BF21FC"/>
    <w:rsid w:val="00BF2289"/>
    <w:rsid w:val="00BF228C"/>
    <w:rsid w:val="00BF2422"/>
    <w:rsid w:val="00BF2424"/>
    <w:rsid w:val="00BF24FD"/>
    <w:rsid w:val="00BF250F"/>
    <w:rsid w:val="00BF2752"/>
    <w:rsid w:val="00BF27FB"/>
    <w:rsid w:val="00BF28DF"/>
    <w:rsid w:val="00BF2A50"/>
    <w:rsid w:val="00BF2BC0"/>
    <w:rsid w:val="00BF2E28"/>
    <w:rsid w:val="00BF2E9E"/>
    <w:rsid w:val="00BF2E9F"/>
    <w:rsid w:val="00BF2EFF"/>
    <w:rsid w:val="00BF304B"/>
    <w:rsid w:val="00BF305D"/>
    <w:rsid w:val="00BF315C"/>
    <w:rsid w:val="00BF31C5"/>
    <w:rsid w:val="00BF3259"/>
    <w:rsid w:val="00BF3260"/>
    <w:rsid w:val="00BF33B5"/>
    <w:rsid w:val="00BF343B"/>
    <w:rsid w:val="00BF366E"/>
    <w:rsid w:val="00BF3826"/>
    <w:rsid w:val="00BF383F"/>
    <w:rsid w:val="00BF3844"/>
    <w:rsid w:val="00BF385A"/>
    <w:rsid w:val="00BF3860"/>
    <w:rsid w:val="00BF38DB"/>
    <w:rsid w:val="00BF3A1C"/>
    <w:rsid w:val="00BF3AAC"/>
    <w:rsid w:val="00BF3FA3"/>
    <w:rsid w:val="00BF401B"/>
    <w:rsid w:val="00BF408E"/>
    <w:rsid w:val="00BF41E7"/>
    <w:rsid w:val="00BF42A7"/>
    <w:rsid w:val="00BF438D"/>
    <w:rsid w:val="00BF43A9"/>
    <w:rsid w:val="00BF43F8"/>
    <w:rsid w:val="00BF443F"/>
    <w:rsid w:val="00BF444F"/>
    <w:rsid w:val="00BF4489"/>
    <w:rsid w:val="00BF4630"/>
    <w:rsid w:val="00BF473B"/>
    <w:rsid w:val="00BF48B9"/>
    <w:rsid w:val="00BF48FD"/>
    <w:rsid w:val="00BF4905"/>
    <w:rsid w:val="00BF49E9"/>
    <w:rsid w:val="00BF49F0"/>
    <w:rsid w:val="00BF4B0A"/>
    <w:rsid w:val="00BF4BA4"/>
    <w:rsid w:val="00BF4C50"/>
    <w:rsid w:val="00BF4C76"/>
    <w:rsid w:val="00BF4CA3"/>
    <w:rsid w:val="00BF50E5"/>
    <w:rsid w:val="00BF5161"/>
    <w:rsid w:val="00BF5233"/>
    <w:rsid w:val="00BF524B"/>
    <w:rsid w:val="00BF5329"/>
    <w:rsid w:val="00BF55A2"/>
    <w:rsid w:val="00BF55C1"/>
    <w:rsid w:val="00BF569A"/>
    <w:rsid w:val="00BF5819"/>
    <w:rsid w:val="00BF595D"/>
    <w:rsid w:val="00BF5B24"/>
    <w:rsid w:val="00BF5B3B"/>
    <w:rsid w:val="00BF5CE7"/>
    <w:rsid w:val="00BF5D0C"/>
    <w:rsid w:val="00BF5DA0"/>
    <w:rsid w:val="00BF5DA8"/>
    <w:rsid w:val="00BF5DAD"/>
    <w:rsid w:val="00BF5F3D"/>
    <w:rsid w:val="00BF6007"/>
    <w:rsid w:val="00BF6116"/>
    <w:rsid w:val="00BF6213"/>
    <w:rsid w:val="00BF65E7"/>
    <w:rsid w:val="00BF66A3"/>
    <w:rsid w:val="00BF670A"/>
    <w:rsid w:val="00BF688F"/>
    <w:rsid w:val="00BF69D5"/>
    <w:rsid w:val="00BF6A19"/>
    <w:rsid w:val="00BF6AB4"/>
    <w:rsid w:val="00BF6AF1"/>
    <w:rsid w:val="00BF6B8A"/>
    <w:rsid w:val="00BF6C14"/>
    <w:rsid w:val="00BF6C93"/>
    <w:rsid w:val="00BF6CCD"/>
    <w:rsid w:val="00BF6D4D"/>
    <w:rsid w:val="00BF6DBB"/>
    <w:rsid w:val="00BF6DD7"/>
    <w:rsid w:val="00BF6EEC"/>
    <w:rsid w:val="00BF6F0A"/>
    <w:rsid w:val="00BF6FC7"/>
    <w:rsid w:val="00BF705B"/>
    <w:rsid w:val="00BF7165"/>
    <w:rsid w:val="00BF73BD"/>
    <w:rsid w:val="00BF73E3"/>
    <w:rsid w:val="00BF7437"/>
    <w:rsid w:val="00BF7441"/>
    <w:rsid w:val="00BF746A"/>
    <w:rsid w:val="00BF7891"/>
    <w:rsid w:val="00BF7936"/>
    <w:rsid w:val="00BF7A36"/>
    <w:rsid w:val="00BF7AAC"/>
    <w:rsid w:val="00BF7AEB"/>
    <w:rsid w:val="00BF7B23"/>
    <w:rsid w:val="00BF7B9E"/>
    <w:rsid w:val="00BF7BE0"/>
    <w:rsid w:val="00BF7C0E"/>
    <w:rsid w:val="00BF7D60"/>
    <w:rsid w:val="00BF7D9E"/>
    <w:rsid w:val="00BF7E52"/>
    <w:rsid w:val="00C00000"/>
    <w:rsid w:val="00C0004F"/>
    <w:rsid w:val="00C0014A"/>
    <w:rsid w:val="00C001E9"/>
    <w:rsid w:val="00C002B4"/>
    <w:rsid w:val="00C0031A"/>
    <w:rsid w:val="00C0032B"/>
    <w:rsid w:val="00C005A0"/>
    <w:rsid w:val="00C0064F"/>
    <w:rsid w:val="00C00685"/>
    <w:rsid w:val="00C006BD"/>
    <w:rsid w:val="00C006C6"/>
    <w:rsid w:val="00C0078C"/>
    <w:rsid w:val="00C007FC"/>
    <w:rsid w:val="00C0093B"/>
    <w:rsid w:val="00C009C1"/>
    <w:rsid w:val="00C00A10"/>
    <w:rsid w:val="00C00AC6"/>
    <w:rsid w:val="00C00B48"/>
    <w:rsid w:val="00C00B8B"/>
    <w:rsid w:val="00C00BBC"/>
    <w:rsid w:val="00C00CE0"/>
    <w:rsid w:val="00C00F16"/>
    <w:rsid w:val="00C0100E"/>
    <w:rsid w:val="00C010CD"/>
    <w:rsid w:val="00C010D2"/>
    <w:rsid w:val="00C01112"/>
    <w:rsid w:val="00C01114"/>
    <w:rsid w:val="00C01159"/>
    <w:rsid w:val="00C01296"/>
    <w:rsid w:val="00C0133B"/>
    <w:rsid w:val="00C013FE"/>
    <w:rsid w:val="00C014B2"/>
    <w:rsid w:val="00C014D9"/>
    <w:rsid w:val="00C01570"/>
    <w:rsid w:val="00C016F7"/>
    <w:rsid w:val="00C016FA"/>
    <w:rsid w:val="00C0171B"/>
    <w:rsid w:val="00C0171C"/>
    <w:rsid w:val="00C01773"/>
    <w:rsid w:val="00C017BB"/>
    <w:rsid w:val="00C01849"/>
    <w:rsid w:val="00C01895"/>
    <w:rsid w:val="00C0190F"/>
    <w:rsid w:val="00C0197C"/>
    <w:rsid w:val="00C01993"/>
    <w:rsid w:val="00C019F1"/>
    <w:rsid w:val="00C01AB4"/>
    <w:rsid w:val="00C01B03"/>
    <w:rsid w:val="00C01C8F"/>
    <w:rsid w:val="00C01CA3"/>
    <w:rsid w:val="00C01CD8"/>
    <w:rsid w:val="00C01D62"/>
    <w:rsid w:val="00C01D7D"/>
    <w:rsid w:val="00C020BE"/>
    <w:rsid w:val="00C0228B"/>
    <w:rsid w:val="00C0233F"/>
    <w:rsid w:val="00C02434"/>
    <w:rsid w:val="00C025F9"/>
    <w:rsid w:val="00C028B3"/>
    <w:rsid w:val="00C028B7"/>
    <w:rsid w:val="00C0292A"/>
    <w:rsid w:val="00C0293F"/>
    <w:rsid w:val="00C02958"/>
    <w:rsid w:val="00C0295D"/>
    <w:rsid w:val="00C0296E"/>
    <w:rsid w:val="00C029D8"/>
    <w:rsid w:val="00C029DC"/>
    <w:rsid w:val="00C02BA2"/>
    <w:rsid w:val="00C02C07"/>
    <w:rsid w:val="00C02C94"/>
    <w:rsid w:val="00C02CF6"/>
    <w:rsid w:val="00C02DBA"/>
    <w:rsid w:val="00C02DD2"/>
    <w:rsid w:val="00C02EB8"/>
    <w:rsid w:val="00C02F12"/>
    <w:rsid w:val="00C02FB5"/>
    <w:rsid w:val="00C03046"/>
    <w:rsid w:val="00C0307A"/>
    <w:rsid w:val="00C032AB"/>
    <w:rsid w:val="00C03306"/>
    <w:rsid w:val="00C0330B"/>
    <w:rsid w:val="00C033A8"/>
    <w:rsid w:val="00C033FF"/>
    <w:rsid w:val="00C03636"/>
    <w:rsid w:val="00C0371E"/>
    <w:rsid w:val="00C03854"/>
    <w:rsid w:val="00C03869"/>
    <w:rsid w:val="00C0387C"/>
    <w:rsid w:val="00C038B7"/>
    <w:rsid w:val="00C038D4"/>
    <w:rsid w:val="00C03A81"/>
    <w:rsid w:val="00C03AB4"/>
    <w:rsid w:val="00C03B96"/>
    <w:rsid w:val="00C03BAE"/>
    <w:rsid w:val="00C03CD9"/>
    <w:rsid w:val="00C03CEA"/>
    <w:rsid w:val="00C03CFF"/>
    <w:rsid w:val="00C03D27"/>
    <w:rsid w:val="00C03D6D"/>
    <w:rsid w:val="00C03E40"/>
    <w:rsid w:val="00C03EEF"/>
    <w:rsid w:val="00C03FAC"/>
    <w:rsid w:val="00C03FC1"/>
    <w:rsid w:val="00C03FCD"/>
    <w:rsid w:val="00C04076"/>
    <w:rsid w:val="00C040A0"/>
    <w:rsid w:val="00C0417F"/>
    <w:rsid w:val="00C041F0"/>
    <w:rsid w:val="00C0459A"/>
    <w:rsid w:val="00C045D8"/>
    <w:rsid w:val="00C045EF"/>
    <w:rsid w:val="00C04621"/>
    <w:rsid w:val="00C04692"/>
    <w:rsid w:val="00C047D8"/>
    <w:rsid w:val="00C047E5"/>
    <w:rsid w:val="00C049BB"/>
    <w:rsid w:val="00C04A46"/>
    <w:rsid w:val="00C04ACD"/>
    <w:rsid w:val="00C04C55"/>
    <w:rsid w:val="00C04CDA"/>
    <w:rsid w:val="00C04D3F"/>
    <w:rsid w:val="00C04D43"/>
    <w:rsid w:val="00C04E7C"/>
    <w:rsid w:val="00C04FA9"/>
    <w:rsid w:val="00C04FB7"/>
    <w:rsid w:val="00C05036"/>
    <w:rsid w:val="00C0504E"/>
    <w:rsid w:val="00C051D9"/>
    <w:rsid w:val="00C05568"/>
    <w:rsid w:val="00C0562D"/>
    <w:rsid w:val="00C05634"/>
    <w:rsid w:val="00C0565A"/>
    <w:rsid w:val="00C056D1"/>
    <w:rsid w:val="00C05719"/>
    <w:rsid w:val="00C057A2"/>
    <w:rsid w:val="00C0598A"/>
    <w:rsid w:val="00C059CE"/>
    <w:rsid w:val="00C05A0E"/>
    <w:rsid w:val="00C05A6C"/>
    <w:rsid w:val="00C05AAA"/>
    <w:rsid w:val="00C05B4F"/>
    <w:rsid w:val="00C05B8F"/>
    <w:rsid w:val="00C05BA1"/>
    <w:rsid w:val="00C05BDE"/>
    <w:rsid w:val="00C05BE3"/>
    <w:rsid w:val="00C05C08"/>
    <w:rsid w:val="00C05CF6"/>
    <w:rsid w:val="00C05D67"/>
    <w:rsid w:val="00C05D69"/>
    <w:rsid w:val="00C05E5F"/>
    <w:rsid w:val="00C05ED7"/>
    <w:rsid w:val="00C05F2E"/>
    <w:rsid w:val="00C05F56"/>
    <w:rsid w:val="00C061B6"/>
    <w:rsid w:val="00C06351"/>
    <w:rsid w:val="00C06363"/>
    <w:rsid w:val="00C063BA"/>
    <w:rsid w:val="00C06441"/>
    <w:rsid w:val="00C065DF"/>
    <w:rsid w:val="00C066F3"/>
    <w:rsid w:val="00C06700"/>
    <w:rsid w:val="00C06710"/>
    <w:rsid w:val="00C06873"/>
    <w:rsid w:val="00C0688E"/>
    <w:rsid w:val="00C06927"/>
    <w:rsid w:val="00C06A85"/>
    <w:rsid w:val="00C06AC6"/>
    <w:rsid w:val="00C06C21"/>
    <w:rsid w:val="00C06D00"/>
    <w:rsid w:val="00C06D6A"/>
    <w:rsid w:val="00C06D8E"/>
    <w:rsid w:val="00C06E09"/>
    <w:rsid w:val="00C06E76"/>
    <w:rsid w:val="00C06E83"/>
    <w:rsid w:val="00C07060"/>
    <w:rsid w:val="00C07126"/>
    <w:rsid w:val="00C0715E"/>
    <w:rsid w:val="00C0746F"/>
    <w:rsid w:val="00C07520"/>
    <w:rsid w:val="00C0754B"/>
    <w:rsid w:val="00C0755C"/>
    <w:rsid w:val="00C0766C"/>
    <w:rsid w:val="00C07755"/>
    <w:rsid w:val="00C077AC"/>
    <w:rsid w:val="00C07951"/>
    <w:rsid w:val="00C07B04"/>
    <w:rsid w:val="00C07B09"/>
    <w:rsid w:val="00C07B55"/>
    <w:rsid w:val="00C07BBB"/>
    <w:rsid w:val="00C07BF1"/>
    <w:rsid w:val="00C07C12"/>
    <w:rsid w:val="00C07C9E"/>
    <w:rsid w:val="00C07D6F"/>
    <w:rsid w:val="00C07E25"/>
    <w:rsid w:val="00C07F4A"/>
    <w:rsid w:val="00C07F75"/>
    <w:rsid w:val="00C07FD1"/>
    <w:rsid w:val="00C1000C"/>
    <w:rsid w:val="00C10014"/>
    <w:rsid w:val="00C1001B"/>
    <w:rsid w:val="00C10070"/>
    <w:rsid w:val="00C100DE"/>
    <w:rsid w:val="00C1011D"/>
    <w:rsid w:val="00C101F1"/>
    <w:rsid w:val="00C10350"/>
    <w:rsid w:val="00C1041A"/>
    <w:rsid w:val="00C10639"/>
    <w:rsid w:val="00C106ED"/>
    <w:rsid w:val="00C10778"/>
    <w:rsid w:val="00C109D1"/>
    <w:rsid w:val="00C10B2B"/>
    <w:rsid w:val="00C10BEE"/>
    <w:rsid w:val="00C10C58"/>
    <w:rsid w:val="00C10C69"/>
    <w:rsid w:val="00C10C88"/>
    <w:rsid w:val="00C10CBA"/>
    <w:rsid w:val="00C10D19"/>
    <w:rsid w:val="00C10E68"/>
    <w:rsid w:val="00C10F3A"/>
    <w:rsid w:val="00C110CB"/>
    <w:rsid w:val="00C11214"/>
    <w:rsid w:val="00C1123E"/>
    <w:rsid w:val="00C11283"/>
    <w:rsid w:val="00C11435"/>
    <w:rsid w:val="00C11491"/>
    <w:rsid w:val="00C114C6"/>
    <w:rsid w:val="00C114D2"/>
    <w:rsid w:val="00C1150A"/>
    <w:rsid w:val="00C11575"/>
    <w:rsid w:val="00C115E0"/>
    <w:rsid w:val="00C1162E"/>
    <w:rsid w:val="00C11642"/>
    <w:rsid w:val="00C118D4"/>
    <w:rsid w:val="00C119C5"/>
    <w:rsid w:val="00C119FE"/>
    <w:rsid w:val="00C11B09"/>
    <w:rsid w:val="00C11B10"/>
    <w:rsid w:val="00C11C4A"/>
    <w:rsid w:val="00C11C8B"/>
    <w:rsid w:val="00C11CEA"/>
    <w:rsid w:val="00C11F6B"/>
    <w:rsid w:val="00C11FC4"/>
    <w:rsid w:val="00C1204E"/>
    <w:rsid w:val="00C120FD"/>
    <w:rsid w:val="00C1215F"/>
    <w:rsid w:val="00C12165"/>
    <w:rsid w:val="00C1244A"/>
    <w:rsid w:val="00C1244F"/>
    <w:rsid w:val="00C1246D"/>
    <w:rsid w:val="00C12529"/>
    <w:rsid w:val="00C125BF"/>
    <w:rsid w:val="00C125F0"/>
    <w:rsid w:val="00C127AB"/>
    <w:rsid w:val="00C12A7E"/>
    <w:rsid w:val="00C12AA6"/>
    <w:rsid w:val="00C12BC5"/>
    <w:rsid w:val="00C12C1D"/>
    <w:rsid w:val="00C12C35"/>
    <w:rsid w:val="00C12D58"/>
    <w:rsid w:val="00C12DD8"/>
    <w:rsid w:val="00C12E62"/>
    <w:rsid w:val="00C12F39"/>
    <w:rsid w:val="00C13044"/>
    <w:rsid w:val="00C13058"/>
    <w:rsid w:val="00C13116"/>
    <w:rsid w:val="00C131C7"/>
    <w:rsid w:val="00C131EB"/>
    <w:rsid w:val="00C13221"/>
    <w:rsid w:val="00C132C8"/>
    <w:rsid w:val="00C13368"/>
    <w:rsid w:val="00C134C8"/>
    <w:rsid w:val="00C13796"/>
    <w:rsid w:val="00C137BF"/>
    <w:rsid w:val="00C137E7"/>
    <w:rsid w:val="00C13884"/>
    <w:rsid w:val="00C138C9"/>
    <w:rsid w:val="00C138F0"/>
    <w:rsid w:val="00C139D2"/>
    <w:rsid w:val="00C139FD"/>
    <w:rsid w:val="00C13A6B"/>
    <w:rsid w:val="00C13B16"/>
    <w:rsid w:val="00C13C0D"/>
    <w:rsid w:val="00C13CE1"/>
    <w:rsid w:val="00C13D5D"/>
    <w:rsid w:val="00C13F0F"/>
    <w:rsid w:val="00C13F10"/>
    <w:rsid w:val="00C13FEB"/>
    <w:rsid w:val="00C14079"/>
    <w:rsid w:val="00C140E8"/>
    <w:rsid w:val="00C14155"/>
    <w:rsid w:val="00C1419C"/>
    <w:rsid w:val="00C141C2"/>
    <w:rsid w:val="00C14234"/>
    <w:rsid w:val="00C1425E"/>
    <w:rsid w:val="00C14316"/>
    <w:rsid w:val="00C143DC"/>
    <w:rsid w:val="00C145A2"/>
    <w:rsid w:val="00C1465A"/>
    <w:rsid w:val="00C146E4"/>
    <w:rsid w:val="00C146F7"/>
    <w:rsid w:val="00C14755"/>
    <w:rsid w:val="00C1476E"/>
    <w:rsid w:val="00C148AB"/>
    <w:rsid w:val="00C14A31"/>
    <w:rsid w:val="00C14A60"/>
    <w:rsid w:val="00C14AFD"/>
    <w:rsid w:val="00C14C16"/>
    <w:rsid w:val="00C14C82"/>
    <w:rsid w:val="00C14DA3"/>
    <w:rsid w:val="00C14E28"/>
    <w:rsid w:val="00C14FA4"/>
    <w:rsid w:val="00C150A0"/>
    <w:rsid w:val="00C150EF"/>
    <w:rsid w:val="00C1511F"/>
    <w:rsid w:val="00C1512A"/>
    <w:rsid w:val="00C15139"/>
    <w:rsid w:val="00C1518E"/>
    <w:rsid w:val="00C151D8"/>
    <w:rsid w:val="00C15350"/>
    <w:rsid w:val="00C153A9"/>
    <w:rsid w:val="00C153E3"/>
    <w:rsid w:val="00C1553E"/>
    <w:rsid w:val="00C15546"/>
    <w:rsid w:val="00C15566"/>
    <w:rsid w:val="00C15663"/>
    <w:rsid w:val="00C1567E"/>
    <w:rsid w:val="00C15761"/>
    <w:rsid w:val="00C15906"/>
    <w:rsid w:val="00C1594F"/>
    <w:rsid w:val="00C159C6"/>
    <w:rsid w:val="00C15A67"/>
    <w:rsid w:val="00C15BA3"/>
    <w:rsid w:val="00C15C10"/>
    <w:rsid w:val="00C15C34"/>
    <w:rsid w:val="00C15D33"/>
    <w:rsid w:val="00C15D45"/>
    <w:rsid w:val="00C15D4F"/>
    <w:rsid w:val="00C15DD0"/>
    <w:rsid w:val="00C15F9F"/>
    <w:rsid w:val="00C15FB3"/>
    <w:rsid w:val="00C15FFC"/>
    <w:rsid w:val="00C16015"/>
    <w:rsid w:val="00C16089"/>
    <w:rsid w:val="00C160CD"/>
    <w:rsid w:val="00C1612D"/>
    <w:rsid w:val="00C16242"/>
    <w:rsid w:val="00C16288"/>
    <w:rsid w:val="00C1633E"/>
    <w:rsid w:val="00C163EA"/>
    <w:rsid w:val="00C16484"/>
    <w:rsid w:val="00C1650B"/>
    <w:rsid w:val="00C16540"/>
    <w:rsid w:val="00C166BA"/>
    <w:rsid w:val="00C166FC"/>
    <w:rsid w:val="00C16725"/>
    <w:rsid w:val="00C16946"/>
    <w:rsid w:val="00C169C4"/>
    <w:rsid w:val="00C169C9"/>
    <w:rsid w:val="00C16A6D"/>
    <w:rsid w:val="00C16A9E"/>
    <w:rsid w:val="00C16DC3"/>
    <w:rsid w:val="00C16E19"/>
    <w:rsid w:val="00C16E56"/>
    <w:rsid w:val="00C16F05"/>
    <w:rsid w:val="00C1705E"/>
    <w:rsid w:val="00C170A1"/>
    <w:rsid w:val="00C170E5"/>
    <w:rsid w:val="00C17118"/>
    <w:rsid w:val="00C17152"/>
    <w:rsid w:val="00C17217"/>
    <w:rsid w:val="00C172CA"/>
    <w:rsid w:val="00C17379"/>
    <w:rsid w:val="00C1739C"/>
    <w:rsid w:val="00C173E7"/>
    <w:rsid w:val="00C1743C"/>
    <w:rsid w:val="00C174AE"/>
    <w:rsid w:val="00C17593"/>
    <w:rsid w:val="00C175E2"/>
    <w:rsid w:val="00C1777C"/>
    <w:rsid w:val="00C17892"/>
    <w:rsid w:val="00C1789B"/>
    <w:rsid w:val="00C178B1"/>
    <w:rsid w:val="00C178B6"/>
    <w:rsid w:val="00C1794C"/>
    <w:rsid w:val="00C1795D"/>
    <w:rsid w:val="00C17A26"/>
    <w:rsid w:val="00C17A4D"/>
    <w:rsid w:val="00C17B6E"/>
    <w:rsid w:val="00C17C61"/>
    <w:rsid w:val="00C17C8B"/>
    <w:rsid w:val="00C17CCC"/>
    <w:rsid w:val="00C17D69"/>
    <w:rsid w:val="00C17D76"/>
    <w:rsid w:val="00C17DD8"/>
    <w:rsid w:val="00C17E58"/>
    <w:rsid w:val="00C17EA8"/>
    <w:rsid w:val="00C17EAE"/>
    <w:rsid w:val="00C17F34"/>
    <w:rsid w:val="00C17F56"/>
    <w:rsid w:val="00C17F7E"/>
    <w:rsid w:val="00C17F8E"/>
    <w:rsid w:val="00C17F98"/>
    <w:rsid w:val="00C2006A"/>
    <w:rsid w:val="00C200AC"/>
    <w:rsid w:val="00C200BE"/>
    <w:rsid w:val="00C20298"/>
    <w:rsid w:val="00C20350"/>
    <w:rsid w:val="00C2040C"/>
    <w:rsid w:val="00C20594"/>
    <w:rsid w:val="00C2059F"/>
    <w:rsid w:val="00C20729"/>
    <w:rsid w:val="00C20745"/>
    <w:rsid w:val="00C20848"/>
    <w:rsid w:val="00C209A6"/>
    <w:rsid w:val="00C20A99"/>
    <w:rsid w:val="00C20AE2"/>
    <w:rsid w:val="00C20B88"/>
    <w:rsid w:val="00C20BF8"/>
    <w:rsid w:val="00C20C40"/>
    <w:rsid w:val="00C20C83"/>
    <w:rsid w:val="00C20CB1"/>
    <w:rsid w:val="00C20CBE"/>
    <w:rsid w:val="00C20FFF"/>
    <w:rsid w:val="00C2104B"/>
    <w:rsid w:val="00C2119D"/>
    <w:rsid w:val="00C212D2"/>
    <w:rsid w:val="00C212E4"/>
    <w:rsid w:val="00C21379"/>
    <w:rsid w:val="00C21409"/>
    <w:rsid w:val="00C214EA"/>
    <w:rsid w:val="00C21689"/>
    <w:rsid w:val="00C2171E"/>
    <w:rsid w:val="00C2193B"/>
    <w:rsid w:val="00C21AFE"/>
    <w:rsid w:val="00C21C3C"/>
    <w:rsid w:val="00C21C89"/>
    <w:rsid w:val="00C21CB3"/>
    <w:rsid w:val="00C21D54"/>
    <w:rsid w:val="00C21E24"/>
    <w:rsid w:val="00C21EE3"/>
    <w:rsid w:val="00C21F06"/>
    <w:rsid w:val="00C21F35"/>
    <w:rsid w:val="00C21F6C"/>
    <w:rsid w:val="00C21FC3"/>
    <w:rsid w:val="00C22090"/>
    <w:rsid w:val="00C220BF"/>
    <w:rsid w:val="00C2223B"/>
    <w:rsid w:val="00C22256"/>
    <w:rsid w:val="00C2235C"/>
    <w:rsid w:val="00C2242B"/>
    <w:rsid w:val="00C22438"/>
    <w:rsid w:val="00C2247E"/>
    <w:rsid w:val="00C224B0"/>
    <w:rsid w:val="00C225A0"/>
    <w:rsid w:val="00C2269E"/>
    <w:rsid w:val="00C227F0"/>
    <w:rsid w:val="00C22874"/>
    <w:rsid w:val="00C22A2E"/>
    <w:rsid w:val="00C22AA9"/>
    <w:rsid w:val="00C22B52"/>
    <w:rsid w:val="00C22B9F"/>
    <w:rsid w:val="00C22C95"/>
    <w:rsid w:val="00C22CC5"/>
    <w:rsid w:val="00C22CC9"/>
    <w:rsid w:val="00C22D36"/>
    <w:rsid w:val="00C22D47"/>
    <w:rsid w:val="00C22DB7"/>
    <w:rsid w:val="00C22EA3"/>
    <w:rsid w:val="00C2301E"/>
    <w:rsid w:val="00C2319C"/>
    <w:rsid w:val="00C23405"/>
    <w:rsid w:val="00C23421"/>
    <w:rsid w:val="00C234AF"/>
    <w:rsid w:val="00C23524"/>
    <w:rsid w:val="00C2354E"/>
    <w:rsid w:val="00C235F6"/>
    <w:rsid w:val="00C23645"/>
    <w:rsid w:val="00C2365E"/>
    <w:rsid w:val="00C2368A"/>
    <w:rsid w:val="00C2368B"/>
    <w:rsid w:val="00C2386A"/>
    <w:rsid w:val="00C23913"/>
    <w:rsid w:val="00C23926"/>
    <w:rsid w:val="00C2394E"/>
    <w:rsid w:val="00C23986"/>
    <w:rsid w:val="00C239FE"/>
    <w:rsid w:val="00C23A6C"/>
    <w:rsid w:val="00C23AE0"/>
    <w:rsid w:val="00C23AE9"/>
    <w:rsid w:val="00C23AFF"/>
    <w:rsid w:val="00C23C08"/>
    <w:rsid w:val="00C23C65"/>
    <w:rsid w:val="00C23D6B"/>
    <w:rsid w:val="00C23E64"/>
    <w:rsid w:val="00C23F8C"/>
    <w:rsid w:val="00C23FBD"/>
    <w:rsid w:val="00C2407F"/>
    <w:rsid w:val="00C240EB"/>
    <w:rsid w:val="00C242CC"/>
    <w:rsid w:val="00C243AE"/>
    <w:rsid w:val="00C2442A"/>
    <w:rsid w:val="00C2449C"/>
    <w:rsid w:val="00C24564"/>
    <w:rsid w:val="00C245AE"/>
    <w:rsid w:val="00C245E8"/>
    <w:rsid w:val="00C2466D"/>
    <w:rsid w:val="00C24676"/>
    <w:rsid w:val="00C247C4"/>
    <w:rsid w:val="00C247C6"/>
    <w:rsid w:val="00C249D3"/>
    <w:rsid w:val="00C24B26"/>
    <w:rsid w:val="00C24B3D"/>
    <w:rsid w:val="00C24B95"/>
    <w:rsid w:val="00C24C10"/>
    <w:rsid w:val="00C24C3F"/>
    <w:rsid w:val="00C24CCD"/>
    <w:rsid w:val="00C24D08"/>
    <w:rsid w:val="00C24D5C"/>
    <w:rsid w:val="00C24DCA"/>
    <w:rsid w:val="00C24DFE"/>
    <w:rsid w:val="00C24F3F"/>
    <w:rsid w:val="00C25043"/>
    <w:rsid w:val="00C250DA"/>
    <w:rsid w:val="00C251C8"/>
    <w:rsid w:val="00C251E6"/>
    <w:rsid w:val="00C2522E"/>
    <w:rsid w:val="00C25238"/>
    <w:rsid w:val="00C2542C"/>
    <w:rsid w:val="00C2545F"/>
    <w:rsid w:val="00C25507"/>
    <w:rsid w:val="00C255BA"/>
    <w:rsid w:val="00C25679"/>
    <w:rsid w:val="00C256E5"/>
    <w:rsid w:val="00C257FE"/>
    <w:rsid w:val="00C2581D"/>
    <w:rsid w:val="00C25867"/>
    <w:rsid w:val="00C25896"/>
    <w:rsid w:val="00C25A6B"/>
    <w:rsid w:val="00C25B55"/>
    <w:rsid w:val="00C25BD5"/>
    <w:rsid w:val="00C25DD7"/>
    <w:rsid w:val="00C2615B"/>
    <w:rsid w:val="00C2632A"/>
    <w:rsid w:val="00C265AD"/>
    <w:rsid w:val="00C265E8"/>
    <w:rsid w:val="00C2675F"/>
    <w:rsid w:val="00C267D1"/>
    <w:rsid w:val="00C267F5"/>
    <w:rsid w:val="00C268C2"/>
    <w:rsid w:val="00C269AF"/>
    <w:rsid w:val="00C269CA"/>
    <w:rsid w:val="00C26ABB"/>
    <w:rsid w:val="00C26AC3"/>
    <w:rsid w:val="00C26B3F"/>
    <w:rsid w:val="00C26C7F"/>
    <w:rsid w:val="00C26CDA"/>
    <w:rsid w:val="00C26EA1"/>
    <w:rsid w:val="00C26F96"/>
    <w:rsid w:val="00C270EE"/>
    <w:rsid w:val="00C2710B"/>
    <w:rsid w:val="00C27264"/>
    <w:rsid w:val="00C27291"/>
    <w:rsid w:val="00C272D8"/>
    <w:rsid w:val="00C27353"/>
    <w:rsid w:val="00C2739B"/>
    <w:rsid w:val="00C273A3"/>
    <w:rsid w:val="00C273C1"/>
    <w:rsid w:val="00C274DA"/>
    <w:rsid w:val="00C274DF"/>
    <w:rsid w:val="00C27502"/>
    <w:rsid w:val="00C27587"/>
    <w:rsid w:val="00C276D7"/>
    <w:rsid w:val="00C276F2"/>
    <w:rsid w:val="00C276F6"/>
    <w:rsid w:val="00C27754"/>
    <w:rsid w:val="00C27775"/>
    <w:rsid w:val="00C279CF"/>
    <w:rsid w:val="00C27B2B"/>
    <w:rsid w:val="00C27BEC"/>
    <w:rsid w:val="00C27C4A"/>
    <w:rsid w:val="00C27D76"/>
    <w:rsid w:val="00C27DEF"/>
    <w:rsid w:val="00C27E3F"/>
    <w:rsid w:val="00C300C6"/>
    <w:rsid w:val="00C300E4"/>
    <w:rsid w:val="00C30223"/>
    <w:rsid w:val="00C302B6"/>
    <w:rsid w:val="00C304DE"/>
    <w:rsid w:val="00C30708"/>
    <w:rsid w:val="00C309C9"/>
    <w:rsid w:val="00C30B33"/>
    <w:rsid w:val="00C30D21"/>
    <w:rsid w:val="00C30D95"/>
    <w:rsid w:val="00C30E2B"/>
    <w:rsid w:val="00C30E51"/>
    <w:rsid w:val="00C30FF6"/>
    <w:rsid w:val="00C31037"/>
    <w:rsid w:val="00C31159"/>
    <w:rsid w:val="00C311E4"/>
    <w:rsid w:val="00C31246"/>
    <w:rsid w:val="00C31270"/>
    <w:rsid w:val="00C3132A"/>
    <w:rsid w:val="00C3132B"/>
    <w:rsid w:val="00C3132C"/>
    <w:rsid w:val="00C313ED"/>
    <w:rsid w:val="00C31544"/>
    <w:rsid w:val="00C31587"/>
    <w:rsid w:val="00C3158F"/>
    <w:rsid w:val="00C315F4"/>
    <w:rsid w:val="00C3163D"/>
    <w:rsid w:val="00C31888"/>
    <w:rsid w:val="00C3197F"/>
    <w:rsid w:val="00C31A3B"/>
    <w:rsid w:val="00C31A5D"/>
    <w:rsid w:val="00C31AA3"/>
    <w:rsid w:val="00C31AD0"/>
    <w:rsid w:val="00C31BA9"/>
    <w:rsid w:val="00C31C36"/>
    <w:rsid w:val="00C31C60"/>
    <w:rsid w:val="00C31C7F"/>
    <w:rsid w:val="00C31CBD"/>
    <w:rsid w:val="00C31D7E"/>
    <w:rsid w:val="00C31DCB"/>
    <w:rsid w:val="00C31E64"/>
    <w:rsid w:val="00C31EDD"/>
    <w:rsid w:val="00C32045"/>
    <w:rsid w:val="00C320A6"/>
    <w:rsid w:val="00C320AC"/>
    <w:rsid w:val="00C321DE"/>
    <w:rsid w:val="00C3222A"/>
    <w:rsid w:val="00C3222D"/>
    <w:rsid w:val="00C3226E"/>
    <w:rsid w:val="00C3227E"/>
    <w:rsid w:val="00C3228C"/>
    <w:rsid w:val="00C322D3"/>
    <w:rsid w:val="00C32381"/>
    <w:rsid w:val="00C323EF"/>
    <w:rsid w:val="00C323F6"/>
    <w:rsid w:val="00C32429"/>
    <w:rsid w:val="00C32680"/>
    <w:rsid w:val="00C3278A"/>
    <w:rsid w:val="00C327DF"/>
    <w:rsid w:val="00C3293A"/>
    <w:rsid w:val="00C329AF"/>
    <w:rsid w:val="00C32A2A"/>
    <w:rsid w:val="00C32A92"/>
    <w:rsid w:val="00C32BCB"/>
    <w:rsid w:val="00C32C6D"/>
    <w:rsid w:val="00C32C7A"/>
    <w:rsid w:val="00C32D6B"/>
    <w:rsid w:val="00C32DB5"/>
    <w:rsid w:val="00C32E7D"/>
    <w:rsid w:val="00C33093"/>
    <w:rsid w:val="00C330BB"/>
    <w:rsid w:val="00C33113"/>
    <w:rsid w:val="00C3312D"/>
    <w:rsid w:val="00C3318E"/>
    <w:rsid w:val="00C331A1"/>
    <w:rsid w:val="00C3335A"/>
    <w:rsid w:val="00C33362"/>
    <w:rsid w:val="00C3343F"/>
    <w:rsid w:val="00C3347B"/>
    <w:rsid w:val="00C33534"/>
    <w:rsid w:val="00C33594"/>
    <w:rsid w:val="00C338B9"/>
    <w:rsid w:val="00C338EC"/>
    <w:rsid w:val="00C33A9C"/>
    <w:rsid w:val="00C33ACE"/>
    <w:rsid w:val="00C33B27"/>
    <w:rsid w:val="00C33B43"/>
    <w:rsid w:val="00C33B5C"/>
    <w:rsid w:val="00C33B76"/>
    <w:rsid w:val="00C33BCF"/>
    <w:rsid w:val="00C33E4D"/>
    <w:rsid w:val="00C33EBD"/>
    <w:rsid w:val="00C33EE6"/>
    <w:rsid w:val="00C33FB6"/>
    <w:rsid w:val="00C3405C"/>
    <w:rsid w:val="00C34082"/>
    <w:rsid w:val="00C340AD"/>
    <w:rsid w:val="00C34168"/>
    <w:rsid w:val="00C34285"/>
    <w:rsid w:val="00C342A9"/>
    <w:rsid w:val="00C342AB"/>
    <w:rsid w:val="00C3444A"/>
    <w:rsid w:val="00C3448A"/>
    <w:rsid w:val="00C3459A"/>
    <w:rsid w:val="00C347A2"/>
    <w:rsid w:val="00C34811"/>
    <w:rsid w:val="00C3482A"/>
    <w:rsid w:val="00C34883"/>
    <w:rsid w:val="00C34888"/>
    <w:rsid w:val="00C3499F"/>
    <w:rsid w:val="00C34C39"/>
    <w:rsid w:val="00C34CF0"/>
    <w:rsid w:val="00C34F2F"/>
    <w:rsid w:val="00C34FD7"/>
    <w:rsid w:val="00C35114"/>
    <w:rsid w:val="00C35295"/>
    <w:rsid w:val="00C3541F"/>
    <w:rsid w:val="00C35453"/>
    <w:rsid w:val="00C35541"/>
    <w:rsid w:val="00C3557F"/>
    <w:rsid w:val="00C356E0"/>
    <w:rsid w:val="00C3587A"/>
    <w:rsid w:val="00C358DA"/>
    <w:rsid w:val="00C359B4"/>
    <w:rsid w:val="00C359FB"/>
    <w:rsid w:val="00C35B1C"/>
    <w:rsid w:val="00C35B77"/>
    <w:rsid w:val="00C35BFA"/>
    <w:rsid w:val="00C35C01"/>
    <w:rsid w:val="00C35C56"/>
    <w:rsid w:val="00C35C80"/>
    <w:rsid w:val="00C35CF0"/>
    <w:rsid w:val="00C35D02"/>
    <w:rsid w:val="00C35D3F"/>
    <w:rsid w:val="00C35D79"/>
    <w:rsid w:val="00C35EE3"/>
    <w:rsid w:val="00C35F92"/>
    <w:rsid w:val="00C35F9F"/>
    <w:rsid w:val="00C36053"/>
    <w:rsid w:val="00C36187"/>
    <w:rsid w:val="00C361BA"/>
    <w:rsid w:val="00C361D5"/>
    <w:rsid w:val="00C361D6"/>
    <w:rsid w:val="00C362C9"/>
    <w:rsid w:val="00C362EA"/>
    <w:rsid w:val="00C36311"/>
    <w:rsid w:val="00C363CC"/>
    <w:rsid w:val="00C364B6"/>
    <w:rsid w:val="00C364B9"/>
    <w:rsid w:val="00C364CB"/>
    <w:rsid w:val="00C36856"/>
    <w:rsid w:val="00C36914"/>
    <w:rsid w:val="00C3698F"/>
    <w:rsid w:val="00C36B55"/>
    <w:rsid w:val="00C36C2D"/>
    <w:rsid w:val="00C36C5F"/>
    <w:rsid w:val="00C36CE5"/>
    <w:rsid w:val="00C36D5A"/>
    <w:rsid w:val="00C36DDA"/>
    <w:rsid w:val="00C36E4B"/>
    <w:rsid w:val="00C36E4F"/>
    <w:rsid w:val="00C36E77"/>
    <w:rsid w:val="00C36E9C"/>
    <w:rsid w:val="00C36EEA"/>
    <w:rsid w:val="00C36FA4"/>
    <w:rsid w:val="00C3701F"/>
    <w:rsid w:val="00C3702F"/>
    <w:rsid w:val="00C37148"/>
    <w:rsid w:val="00C3716E"/>
    <w:rsid w:val="00C37305"/>
    <w:rsid w:val="00C3731F"/>
    <w:rsid w:val="00C373A8"/>
    <w:rsid w:val="00C373F6"/>
    <w:rsid w:val="00C3743E"/>
    <w:rsid w:val="00C378B2"/>
    <w:rsid w:val="00C378FC"/>
    <w:rsid w:val="00C37957"/>
    <w:rsid w:val="00C37B00"/>
    <w:rsid w:val="00C37B39"/>
    <w:rsid w:val="00C37B43"/>
    <w:rsid w:val="00C37B83"/>
    <w:rsid w:val="00C37BAE"/>
    <w:rsid w:val="00C37BDA"/>
    <w:rsid w:val="00C37D66"/>
    <w:rsid w:val="00C37E2E"/>
    <w:rsid w:val="00C37E6E"/>
    <w:rsid w:val="00C37E7C"/>
    <w:rsid w:val="00C37FAF"/>
    <w:rsid w:val="00C40090"/>
    <w:rsid w:val="00C40110"/>
    <w:rsid w:val="00C40175"/>
    <w:rsid w:val="00C401E0"/>
    <w:rsid w:val="00C402EF"/>
    <w:rsid w:val="00C403C2"/>
    <w:rsid w:val="00C404C1"/>
    <w:rsid w:val="00C40508"/>
    <w:rsid w:val="00C40719"/>
    <w:rsid w:val="00C4074F"/>
    <w:rsid w:val="00C408BD"/>
    <w:rsid w:val="00C40986"/>
    <w:rsid w:val="00C40A0C"/>
    <w:rsid w:val="00C40A6E"/>
    <w:rsid w:val="00C40AFE"/>
    <w:rsid w:val="00C40BE9"/>
    <w:rsid w:val="00C40BF1"/>
    <w:rsid w:val="00C40C13"/>
    <w:rsid w:val="00C40C74"/>
    <w:rsid w:val="00C40C8E"/>
    <w:rsid w:val="00C40CA1"/>
    <w:rsid w:val="00C40E55"/>
    <w:rsid w:val="00C40ED6"/>
    <w:rsid w:val="00C40FE4"/>
    <w:rsid w:val="00C41062"/>
    <w:rsid w:val="00C410ED"/>
    <w:rsid w:val="00C41252"/>
    <w:rsid w:val="00C412C2"/>
    <w:rsid w:val="00C4137B"/>
    <w:rsid w:val="00C41497"/>
    <w:rsid w:val="00C414DF"/>
    <w:rsid w:val="00C41536"/>
    <w:rsid w:val="00C415A2"/>
    <w:rsid w:val="00C41626"/>
    <w:rsid w:val="00C4175F"/>
    <w:rsid w:val="00C4182C"/>
    <w:rsid w:val="00C41844"/>
    <w:rsid w:val="00C4197F"/>
    <w:rsid w:val="00C41A0D"/>
    <w:rsid w:val="00C41AB4"/>
    <w:rsid w:val="00C41AC5"/>
    <w:rsid w:val="00C41D26"/>
    <w:rsid w:val="00C41D2D"/>
    <w:rsid w:val="00C41EAF"/>
    <w:rsid w:val="00C41F2F"/>
    <w:rsid w:val="00C42066"/>
    <w:rsid w:val="00C42099"/>
    <w:rsid w:val="00C421C1"/>
    <w:rsid w:val="00C42226"/>
    <w:rsid w:val="00C4222B"/>
    <w:rsid w:val="00C42341"/>
    <w:rsid w:val="00C4238A"/>
    <w:rsid w:val="00C42436"/>
    <w:rsid w:val="00C4243A"/>
    <w:rsid w:val="00C424C4"/>
    <w:rsid w:val="00C42581"/>
    <w:rsid w:val="00C426BF"/>
    <w:rsid w:val="00C427C4"/>
    <w:rsid w:val="00C429B3"/>
    <w:rsid w:val="00C429FA"/>
    <w:rsid w:val="00C42A74"/>
    <w:rsid w:val="00C42B1D"/>
    <w:rsid w:val="00C42B26"/>
    <w:rsid w:val="00C42B57"/>
    <w:rsid w:val="00C42B6C"/>
    <w:rsid w:val="00C42CAE"/>
    <w:rsid w:val="00C42D5C"/>
    <w:rsid w:val="00C42E47"/>
    <w:rsid w:val="00C42E85"/>
    <w:rsid w:val="00C42EDB"/>
    <w:rsid w:val="00C430F6"/>
    <w:rsid w:val="00C4314D"/>
    <w:rsid w:val="00C4316A"/>
    <w:rsid w:val="00C4327D"/>
    <w:rsid w:val="00C43283"/>
    <w:rsid w:val="00C4335D"/>
    <w:rsid w:val="00C4343F"/>
    <w:rsid w:val="00C434B7"/>
    <w:rsid w:val="00C4353D"/>
    <w:rsid w:val="00C4356F"/>
    <w:rsid w:val="00C437F2"/>
    <w:rsid w:val="00C43862"/>
    <w:rsid w:val="00C438D8"/>
    <w:rsid w:val="00C438FE"/>
    <w:rsid w:val="00C43A35"/>
    <w:rsid w:val="00C43BB0"/>
    <w:rsid w:val="00C43BC1"/>
    <w:rsid w:val="00C43C2E"/>
    <w:rsid w:val="00C43C60"/>
    <w:rsid w:val="00C43CFA"/>
    <w:rsid w:val="00C43D95"/>
    <w:rsid w:val="00C43F44"/>
    <w:rsid w:val="00C43F5F"/>
    <w:rsid w:val="00C4409B"/>
    <w:rsid w:val="00C44149"/>
    <w:rsid w:val="00C44273"/>
    <w:rsid w:val="00C44288"/>
    <w:rsid w:val="00C44342"/>
    <w:rsid w:val="00C443A3"/>
    <w:rsid w:val="00C443B7"/>
    <w:rsid w:val="00C44513"/>
    <w:rsid w:val="00C449AF"/>
    <w:rsid w:val="00C449F3"/>
    <w:rsid w:val="00C44A2B"/>
    <w:rsid w:val="00C44B00"/>
    <w:rsid w:val="00C44B18"/>
    <w:rsid w:val="00C44B4F"/>
    <w:rsid w:val="00C44C1D"/>
    <w:rsid w:val="00C44CD9"/>
    <w:rsid w:val="00C44D09"/>
    <w:rsid w:val="00C44DC6"/>
    <w:rsid w:val="00C44E1C"/>
    <w:rsid w:val="00C44E1F"/>
    <w:rsid w:val="00C44E8A"/>
    <w:rsid w:val="00C44ECD"/>
    <w:rsid w:val="00C44F6F"/>
    <w:rsid w:val="00C44FE0"/>
    <w:rsid w:val="00C44FF4"/>
    <w:rsid w:val="00C450CF"/>
    <w:rsid w:val="00C451E5"/>
    <w:rsid w:val="00C451EC"/>
    <w:rsid w:val="00C45274"/>
    <w:rsid w:val="00C453CE"/>
    <w:rsid w:val="00C45554"/>
    <w:rsid w:val="00C45561"/>
    <w:rsid w:val="00C45775"/>
    <w:rsid w:val="00C45827"/>
    <w:rsid w:val="00C45860"/>
    <w:rsid w:val="00C4586A"/>
    <w:rsid w:val="00C4593C"/>
    <w:rsid w:val="00C45A10"/>
    <w:rsid w:val="00C45A82"/>
    <w:rsid w:val="00C45AAE"/>
    <w:rsid w:val="00C45B97"/>
    <w:rsid w:val="00C45D98"/>
    <w:rsid w:val="00C45E21"/>
    <w:rsid w:val="00C45E6B"/>
    <w:rsid w:val="00C45F5E"/>
    <w:rsid w:val="00C45FCC"/>
    <w:rsid w:val="00C45FF2"/>
    <w:rsid w:val="00C460BB"/>
    <w:rsid w:val="00C46112"/>
    <w:rsid w:val="00C461E3"/>
    <w:rsid w:val="00C46317"/>
    <w:rsid w:val="00C46443"/>
    <w:rsid w:val="00C465D7"/>
    <w:rsid w:val="00C46602"/>
    <w:rsid w:val="00C46624"/>
    <w:rsid w:val="00C46698"/>
    <w:rsid w:val="00C466A6"/>
    <w:rsid w:val="00C4679A"/>
    <w:rsid w:val="00C46814"/>
    <w:rsid w:val="00C46884"/>
    <w:rsid w:val="00C469B2"/>
    <w:rsid w:val="00C46A12"/>
    <w:rsid w:val="00C46A94"/>
    <w:rsid w:val="00C46ACF"/>
    <w:rsid w:val="00C46B2A"/>
    <w:rsid w:val="00C46B56"/>
    <w:rsid w:val="00C46C74"/>
    <w:rsid w:val="00C46C7C"/>
    <w:rsid w:val="00C46F05"/>
    <w:rsid w:val="00C4704A"/>
    <w:rsid w:val="00C470A6"/>
    <w:rsid w:val="00C471DC"/>
    <w:rsid w:val="00C471F6"/>
    <w:rsid w:val="00C47224"/>
    <w:rsid w:val="00C472E5"/>
    <w:rsid w:val="00C47342"/>
    <w:rsid w:val="00C473C7"/>
    <w:rsid w:val="00C47404"/>
    <w:rsid w:val="00C4762A"/>
    <w:rsid w:val="00C47768"/>
    <w:rsid w:val="00C47789"/>
    <w:rsid w:val="00C4780B"/>
    <w:rsid w:val="00C4784C"/>
    <w:rsid w:val="00C47857"/>
    <w:rsid w:val="00C478DA"/>
    <w:rsid w:val="00C4796F"/>
    <w:rsid w:val="00C479DA"/>
    <w:rsid w:val="00C47AA0"/>
    <w:rsid w:val="00C47AF1"/>
    <w:rsid w:val="00C47CA1"/>
    <w:rsid w:val="00C47D2B"/>
    <w:rsid w:val="00C47D34"/>
    <w:rsid w:val="00C47DA9"/>
    <w:rsid w:val="00C47EBD"/>
    <w:rsid w:val="00C47ED7"/>
    <w:rsid w:val="00C47F5F"/>
    <w:rsid w:val="00C47FA8"/>
    <w:rsid w:val="00C500D5"/>
    <w:rsid w:val="00C5013B"/>
    <w:rsid w:val="00C501F2"/>
    <w:rsid w:val="00C50225"/>
    <w:rsid w:val="00C50255"/>
    <w:rsid w:val="00C50511"/>
    <w:rsid w:val="00C5059E"/>
    <w:rsid w:val="00C505E1"/>
    <w:rsid w:val="00C50786"/>
    <w:rsid w:val="00C50891"/>
    <w:rsid w:val="00C508E5"/>
    <w:rsid w:val="00C5095D"/>
    <w:rsid w:val="00C509B6"/>
    <w:rsid w:val="00C50A1B"/>
    <w:rsid w:val="00C50A68"/>
    <w:rsid w:val="00C50A87"/>
    <w:rsid w:val="00C50AD1"/>
    <w:rsid w:val="00C50B01"/>
    <w:rsid w:val="00C50B67"/>
    <w:rsid w:val="00C50C0D"/>
    <w:rsid w:val="00C50CE2"/>
    <w:rsid w:val="00C50D4E"/>
    <w:rsid w:val="00C50DD4"/>
    <w:rsid w:val="00C50E39"/>
    <w:rsid w:val="00C51135"/>
    <w:rsid w:val="00C51201"/>
    <w:rsid w:val="00C5142A"/>
    <w:rsid w:val="00C514A8"/>
    <w:rsid w:val="00C515BA"/>
    <w:rsid w:val="00C51610"/>
    <w:rsid w:val="00C517E3"/>
    <w:rsid w:val="00C5190F"/>
    <w:rsid w:val="00C51969"/>
    <w:rsid w:val="00C51A09"/>
    <w:rsid w:val="00C51A8D"/>
    <w:rsid w:val="00C51B3E"/>
    <w:rsid w:val="00C51C93"/>
    <w:rsid w:val="00C51CED"/>
    <w:rsid w:val="00C51DEC"/>
    <w:rsid w:val="00C51E6C"/>
    <w:rsid w:val="00C520BE"/>
    <w:rsid w:val="00C5219D"/>
    <w:rsid w:val="00C521C7"/>
    <w:rsid w:val="00C52277"/>
    <w:rsid w:val="00C5230C"/>
    <w:rsid w:val="00C523AB"/>
    <w:rsid w:val="00C523AE"/>
    <w:rsid w:val="00C5243A"/>
    <w:rsid w:val="00C524A2"/>
    <w:rsid w:val="00C52513"/>
    <w:rsid w:val="00C52547"/>
    <w:rsid w:val="00C52572"/>
    <w:rsid w:val="00C52597"/>
    <w:rsid w:val="00C525CD"/>
    <w:rsid w:val="00C526FB"/>
    <w:rsid w:val="00C52732"/>
    <w:rsid w:val="00C5274C"/>
    <w:rsid w:val="00C5283E"/>
    <w:rsid w:val="00C52877"/>
    <w:rsid w:val="00C52A28"/>
    <w:rsid w:val="00C52A5B"/>
    <w:rsid w:val="00C52A88"/>
    <w:rsid w:val="00C52AC7"/>
    <w:rsid w:val="00C52B06"/>
    <w:rsid w:val="00C52B9F"/>
    <w:rsid w:val="00C52BD1"/>
    <w:rsid w:val="00C52CA9"/>
    <w:rsid w:val="00C52CBF"/>
    <w:rsid w:val="00C52D75"/>
    <w:rsid w:val="00C52DD7"/>
    <w:rsid w:val="00C52F05"/>
    <w:rsid w:val="00C53067"/>
    <w:rsid w:val="00C530AA"/>
    <w:rsid w:val="00C53100"/>
    <w:rsid w:val="00C533BB"/>
    <w:rsid w:val="00C53400"/>
    <w:rsid w:val="00C535C3"/>
    <w:rsid w:val="00C536AF"/>
    <w:rsid w:val="00C53709"/>
    <w:rsid w:val="00C53725"/>
    <w:rsid w:val="00C537F2"/>
    <w:rsid w:val="00C53818"/>
    <w:rsid w:val="00C5388E"/>
    <w:rsid w:val="00C538E9"/>
    <w:rsid w:val="00C539B2"/>
    <w:rsid w:val="00C53A39"/>
    <w:rsid w:val="00C53A4A"/>
    <w:rsid w:val="00C53A4D"/>
    <w:rsid w:val="00C53C45"/>
    <w:rsid w:val="00C53CE8"/>
    <w:rsid w:val="00C53CF2"/>
    <w:rsid w:val="00C53D7B"/>
    <w:rsid w:val="00C54268"/>
    <w:rsid w:val="00C54388"/>
    <w:rsid w:val="00C5445F"/>
    <w:rsid w:val="00C544F4"/>
    <w:rsid w:val="00C547C9"/>
    <w:rsid w:val="00C54912"/>
    <w:rsid w:val="00C54A1D"/>
    <w:rsid w:val="00C54AE5"/>
    <w:rsid w:val="00C54C5F"/>
    <w:rsid w:val="00C54CE0"/>
    <w:rsid w:val="00C54D0C"/>
    <w:rsid w:val="00C54D92"/>
    <w:rsid w:val="00C54DEF"/>
    <w:rsid w:val="00C54E0B"/>
    <w:rsid w:val="00C54F9F"/>
    <w:rsid w:val="00C55138"/>
    <w:rsid w:val="00C5516F"/>
    <w:rsid w:val="00C551E0"/>
    <w:rsid w:val="00C552AB"/>
    <w:rsid w:val="00C55310"/>
    <w:rsid w:val="00C55374"/>
    <w:rsid w:val="00C55493"/>
    <w:rsid w:val="00C5557C"/>
    <w:rsid w:val="00C555ED"/>
    <w:rsid w:val="00C55700"/>
    <w:rsid w:val="00C5574D"/>
    <w:rsid w:val="00C55753"/>
    <w:rsid w:val="00C5576B"/>
    <w:rsid w:val="00C557BB"/>
    <w:rsid w:val="00C55A45"/>
    <w:rsid w:val="00C55C80"/>
    <w:rsid w:val="00C55C9E"/>
    <w:rsid w:val="00C55D08"/>
    <w:rsid w:val="00C55D72"/>
    <w:rsid w:val="00C55DB8"/>
    <w:rsid w:val="00C55E76"/>
    <w:rsid w:val="00C56066"/>
    <w:rsid w:val="00C560CF"/>
    <w:rsid w:val="00C560E1"/>
    <w:rsid w:val="00C5613F"/>
    <w:rsid w:val="00C56155"/>
    <w:rsid w:val="00C56204"/>
    <w:rsid w:val="00C56311"/>
    <w:rsid w:val="00C5639F"/>
    <w:rsid w:val="00C563AD"/>
    <w:rsid w:val="00C563D1"/>
    <w:rsid w:val="00C563DE"/>
    <w:rsid w:val="00C56449"/>
    <w:rsid w:val="00C5646C"/>
    <w:rsid w:val="00C564DE"/>
    <w:rsid w:val="00C56569"/>
    <w:rsid w:val="00C565AE"/>
    <w:rsid w:val="00C565CD"/>
    <w:rsid w:val="00C565E5"/>
    <w:rsid w:val="00C5666D"/>
    <w:rsid w:val="00C566F1"/>
    <w:rsid w:val="00C56848"/>
    <w:rsid w:val="00C569D5"/>
    <w:rsid w:val="00C56A19"/>
    <w:rsid w:val="00C56AC3"/>
    <w:rsid w:val="00C56AE0"/>
    <w:rsid w:val="00C56B20"/>
    <w:rsid w:val="00C56B8A"/>
    <w:rsid w:val="00C56C31"/>
    <w:rsid w:val="00C56C5A"/>
    <w:rsid w:val="00C56D91"/>
    <w:rsid w:val="00C56DBA"/>
    <w:rsid w:val="00C56E97"/>
    <w:rsid w:val="00C5703A"/>
    <w:rsid w:val="00C571FF"/>
    <w:rsid w:val="00C5720F"/>
    <w:rsid w:val="00C57309"/>
    <w:rsid w:val="00C573B0"/>
    <w:rsid w:val="00C5746F"/>
    <w:rsid w:val="00C574B2"/>
    <w:rsid w:val="00C574BF"/>
    <w:rsid w:val="00C574C7"/>
    <w:rsid w:val="00C57541"/>
    <w:rsid w:val="00C57587"/>
    <w:rsid w:val="00C57599"/>
    <w:rsid w:val="00C576F0"/>
    <w:rsid w:val="00C57721"/>
    <w:rsid w:val="00C577C9"/>
    <w:rsid w:val="00C57821"/>
    <w:rsid w:val="00C578E9"/>
    <w:rsid w:val="00C57A4A"/>
    <w:rsid w:val="00C57A7D"/>
    <w:rsid w:val="00C57B7A"/>
    <w:rsid w:val="00C57C0F"/>
    <w:rsid w:val="00C57C16"/>
    <w:rsid w:val="00C57CAD"/>
    <w:rsid w:val="00C57D10"/>
    <w:rsid w:val="00C57DF3"/>
    <w:rsid w:val="00C57E83"/>
    <w:rsid w:val="00C57ED8"/>
    <w:rsid w:val="00C57EE7"/>
    <w:rsid w:val="00C57EED"/>
    <w:rsid w:val="00C57F79"/>
    <w:rsid w:val="00C6004C"/>
    <w:rsid w:val="00C600D7"/>
    <w:rsid w:val="00C6024E"/>
    <w:rsid w:val="00C602B6"/>
    <w:rsid w:val="00C602DB"/>
    <w:rsid w:val="00C602FE"/>
    <w:rsid w:val="00C60310"/>
    <w:rsid w:val="00C60432"/>
    <w:rsid w:val="00C60516"/>
    <w:rsid w:val="00C606E4"/>
    <w:rsid w:val="00C6073C"/>
    <w:rsid w:val="00C60773"/>
    <w:rsid w:val="00C607F9"/>
    <w:rsid w:val="00C60849"/>
    <w:rsid w:val="00C60876"/>
    <w:rsid w:val="00C608A0"/>
    <w:rsid w:val="00C60939"/>
    <w:rsid w:val="00C609CB"/>
    <w:rsid w:val="00C60A5B"/>
    <w:rsid w:val="00C60ACD"/>
    <w:rsid w:val="00C60AF5"/>
    <w:rsid w:val="00C60B34"/>
    <w:rsid w:val="00C60C4C"/>
    <w:rsid w:val="00C60DC9"/>
    <w:rsid w:val="00C60DD5"/>
    <w:rsid w:val="00C60E21"/>
    <w:rsid w:val="00C60E44"/>
    <w:rsid w:val="00C60E82"/>
    <w:rsid w:val="00C60EC4"/>
    <w:rsid w:val="00C60F24"/>
    <w:rsid w:val="00C60FDC"/>
    <w:rsid w:val="00C61094"/>
    <w:rsid w:val="00C61132"/>
    <w:rsid w:val="00C61229"/>
    <w:rsid w:val="00C61237"/>
    <w:rsid w:val="00C6125A"/>
    <w:rsid w:val="00C61374"/>
    <w:rsid w:val="00C613C9"/>
    <w:rsid w:val="00C61464"/>
    <w:rsid w:val="00C6157D"/>
    <w:rsid w:val="00C6159A"/>
    <w:rsid w:val="00C61622"/>
    <w:rsid w:val="00C616D8"/>
    <w:rsid w:val="00C617AF"/>
    <w:rsid w:val="00C617D9"/>
    <w:rsid w:val="00C617DA"/>
    <w:rsid w:val="00C61822"/>
    <w:rsid w:val="00C618AB"/>
    <w:rsid w:val="00C6192F"/>
    <w:rsid w:val="00C619A7"/>
    <w:rsid w:val="00C61A11"/>
    <w:rsid w:val="00C61A39"/>
    <w:rsid w:val="00C61A49"/>
    <w:rsid w:val="00C61A53"/>
    <w:rsid w:val="00C61B3D"/>
    <w:rsid w:val="00C61B8C"/>
    <w:rsid w:val="00C61D79"/>
    <w:rsid w:val="00C61E46"/>
    <w:rsid w:val="00C61FF0"/>
    <w:rsid w:val="00C61FFA"/>
    <w:rsid w:val="00C6201D"/>
    <w:rsid w:val="00C62097"/>
    <w:rsid w:val="00C62121"/>
    <w:rsid w:val="00C621F1"/>
    <w:rsid w:val="00C62207"/>
    <w:rsid w:val="00C624F4"/>
    <w:rsid w:val="00C625E7"/>
    <w:rsid w:val="00C62737"/>
    <w:rsid w:val="00C627D7"/>
    <w:rsid w:val="00C629A7"/>
    <w:rsid w:val="00C62A88"/>
    <w:rsid w:val="00C62B75"/>
    <w:rsid w:val="00C62BFD"/>
    <w:rsid w:val="00C62D89"/>
    <w:rsid w:val="00C62DF9"/>
    <w:rsid w:val="00C62E1C"/>
    <w:rsid w:val="00C62F40"/>
    <w:rsid w:val="00C62F65"/>
    <w:rsid w:val="00C62FF0"/>
    <w:rsid w:val="00C63239"/>
    <w:rsid w:val="00C63253"/>
    <w:rsid w:val="00C63272"/>
    <w:rsid w:val="00C632F3"/>
    <w:rsid w:val="00C6333B"/>
    <w:rsid w:val="00C6335C"/>
    <w:rsid w:val="00C633D1"/>
    <w:rsid w:val="00C633E5"/>
    <w:rsid w:val="00C633F6"/>
    <w:rsid w:val="00C6345A"/>
    <w:rsid w:val="00C6357D"/>
    <w:rsid w:val="00C63634"/>
    <w:rsid w:val="00C6365D"/>
    <w:rsid w:val="00C63733"/>
    <w:rsid w:val="00C63782"/>
    <w:rsid w:val="00C637CD"/>
    <w:rsid w:val="00C637F8"/>
    <w:rsid w:val="00C63821"/>
    <w:rsid w:val="00C6383F"/>
    <w:rsid w:val="00C6390B"/>
    <w:rsid w:val="00C63967"/>
    <w:rsid w:val="00C63990"/>
    <w:rsid w:val="00C63BEF"/>
    <w:rsid w:val="00C63C1D"/>
    <w:rsid w:val="00C63D65"/>
    <w:rsid w:val="00C63D80"/>
    <w:rsid w:val="00C63D8C"/>
    <w:rsid w:val="00C63DF7"/>
    <w:rsid w:val="00C64095"/>
    <w:rsid w:val="00C64205"/>
    <w:rsid w:val="00C6426D"/>
    <w:rsid w:val="00C64355"/>
    <w:rsid w:val="00C643F3"/>
    <w:rsid w:val="00C6445F"/>
    <w:rsid w:val="00C6446B"/>
    <w:rsid w:val="00C644C5"/>
    <w:rsid w:val="00C644FD"/>
    <w:rsid w:val="00C64510"/>
    <w:rsid w:val="00C64564"/>
    <w:rsid w:val="00C64676"/>
    <w:rsid w:val="00C64687"/>
    <w:rsid w:val="00C64854"/>
    <w:rsid w:val="00C648B4"/>
    <w:rsid w:val="00C648DA"/>
    <w:rsid w:val="00C648E5"/>
    <w:rsid w:val="00C6496A"/>
    <w:rsid w:val="00C6498A"/>
    <w:rsid w:val="00C64A19"/>
    <w:rsid w:val="00C64A58"/>
    <w:rsid w:val="00C64B4C"/>
    <w:rsid w:val="00C64BB3"/>
    <w:rsid w:val="00C64E89"/>
    <w:rsid w:val="00C64FFE"/>
    <w:rsid w:val="00C650C9"/>
    <w:rsid w:val="00C6523E"/>
    <w:rsid w:val="00C65626"/>
    <w:rsid w:val="00C656AA"/>
    <w:rsid w:val="00C65721"/>
    <w:rsid w:val="00C6578F"/>
    <w:rsid w:val="00C6586A"/>
    <w:rsid w:val="00C658A6"/>
    <w:rsid w:val="00C65951"/>
    <w:rsid w:val="00C65A74"/>
    <w:rsid w:val="00C65AAC"/>
    <w:rsid w:val="00C65C26"/>
    <w:rsid w:val="00C65D2C"/>
    <w:rsid w:val="00C65DE5"/>
    <w:rsid w:val="00C65DE6"/>
    <w:rsid w:val="00C65DFD"/>
    <w:rsid w:val="00C65E07"/>
    <w:rsid w:val="00C65E12"/>
    <w:rsid w:val="00C65FED"/>
    <w:rsid w:val="00C660D6"/>
    <w:rsid w:val="00C660FA"/>
    <w:rsid w:val="00C6628C"/>
    <w:rsid w:val="00C66295"/>
    <w:rsid w:val="00C663CC"/>
    <w:rsid w:val="00C6650A"/>
    <w:rsid w:val="00C66548"/>
    <w:rsid w:val="00C665C1"/>
    <w:rsid w:val="00C667C8"/>
    <w:rsid w:val="00C66821"/>
    <w:rsid w:val="00C66847"/>
    <w:rsid w:val="00C66A8E"/>
    <w:rsid w:val="00C66AF4"/>
    <w:rsid w:val="00C66B9A"/>
    <w:rsid w:val="00C66BCF"/>
    <w:rsid w:val="00C66CC7"/>
    <w:rsid w:val="00C66D56"/>
    <w:rsid w:val="00C66D77"/>
    <w:rsid w:val="00C66EBC"/>
    <w:rsid w:val="00C66F76"/>
    <w:rsid w:val="00C66F96"/>
    <w:rsid w:val="00C66F9E"/>
    <w:rsid w:val="00C670CB"/>
    <w:rsid w:val="00C670F8"/>
    <w:rsid w:val="00C67160"/>
    <w:rsid w:val="00C6734B"/>
    <w:rsid w:val="00C67465"/>
    <w:rsid w:val="00C674D1"/>
    <w:rsid w:val="00C67753"/>
    <w:rsid w:val="00C6775E"/>
    <w:rsid w:val="00C6777B"/>
    <w:rsid w:val="00C677FB"/>
    <w:rsid w:val="00C67935"/>
    <w:rsid w:val="00C67ACC"/>
    <w:rsid w:val="00C67AEC"/>
    <w:rsid w:val="00C67BBA"/>
    <w:rsid w:val="00C67C45"/>
    <w:rsid w:val="00C67E3D"/>
    <w:rsid w:val="00C67E60"/>
    <w:rsid w:val="00C67EB2"/>
    <w:rsid w:val="00C67EED"/>
    <w:rsid w:val="00C67F08"/>
    <w:rsid w:val="00C67F97"/>
    <w:rsid w:val="00C70032"/>
    <w:rsid w:val="00C70034"/>
    <w:rsid w:val="00C70097"/>
    <w:rsid w:val="00C700FA"/>
    <w:rsid w:val="00C70104"/>
    <w:rsid w:val="00C70237"/>
    <w:rsid w:val="00C702B7"/>
    <w:rsid w:val="00C702E2"/>
    <w:rsid w:val="00C702E8"/>
    <w:rsid w:val="00C704CD"/>
    <w:rsid w:val="00C70620"/>
    <w:rsid w:val="00C706C1"/>
    <w:rsid w:val="00C706C2"/>
    <w:rsid w:val="00C70781"/>
    <w:rsid w:val="00C70945"/>
    <w:rsid w:val="00C70950"/>
    <w:rsid w:val="00C70A94"/>
    <w:rsid w:val="00C70B5D"/>
    <w:rsid w:val="00C70BA8"/>
    <w:rsid w:val="00C70C20"/>
    <w:rsid w:val="00C70C70"/>
    <w:rsid w:val="00C70CA5"/>
    <w:rsid w:val="00C70D5E"/>
    <w:rsid w:val="00C70DB7"/>
    <w:rsid w:val="00C70F90"/>
    <w:rsid w:val="00C710A0"/>
    <w:rsid w:val="00C7112C"/>
    <w:rsid w:val="00C7130F"/>
    <w:rsid w:val="00C71331"/>
    <w:rsid w:val="00C71368"/>
    <w:rsid w:val="00C71404"/>
    <w:rsid w:val="00C7144F"/>
    <w:rsid w:val="00C71587"/>
    <w:rsid w:val="00C715AE"/>
    <w:rsid w:val="00C715F9"/>
    <w:rsid w:val="00C71668"/>
    <w:rsid w:val="00C717C2"/>
    <w:rsid w:val="00C717D4"/>
    <w:rsid w:val="00C71908"/>
    <w:rsid w:val="00C7192E"/>
    <w:rsid w:val="00C719D3"/>
    <w:rsid w:val="00C71B4F"/>
    <w:rsid w:val="00C71C01"/>
    <w:rsid w:val="00C71D3A"/>
    <w:rsid w:val="00C71D3B"/>
    <w:rsid w:val="00C71D99"/>
    <w:rsid w:val="00C71DA6"/>
    <w:rsid w:val="00C72037"/>
    <w:rsid w:val="00C72079"/>
    <w:rsid w:val="00C720C1"/>
    <w:rsid w:val="00C72169"/>
    <w:rsid w:val="00C7217F"/>
    <w:rsid w:val="00C72259"/>
    <w:rsid w:val="00C724A1"/>
    <w:rsid w:val="00C724DF"/>
    <w:rsid w:val="00C725E5"/>
    <w:rsid w:val="00C72647"/>
    <w:rsid w:val="00C7276F"/>
    <w:rsid w:val="00C7283B"/>
    <w:rsid w:val="00C72889"/>
    <w:rsid w:val="00C72894"/>
    <w:rsid w:val="00C72A54"/>
    <w:rsid w:val="00C72A9C"/>
    <w:rsid w:val="00C72B78"/>
    <w:rsid w:val="00C72B9B"/>
    <w:rsid w:val="00C72B9E"/>
    <w:rsid w:val="00C72CFA"/>
    <w:rsid w:val="00C72D5E"/>
    <w:rsid w:val="00C72D61"/>
    <w:rsid w:val="00C72E0E"/>
    <w:rsid w:val="00C72F3C"/>
    <w:rsid w:val="00C73016"/>
    <w:rsid w:val="00C73019"/>
    <w:rsid w:val="00C731F9"/>
    <w:rsid w:val="00C734E0"/>
    <w:rsid w:val="00C73524"/>
    <w:rsid w:val="00C73558"/>
    <w:rsid w:val="00C73599"/>
    <w:rsid w:val="00C7366B"/>
    <w:rsid w:val="00C736A2"/>
    <w:rsid w:val="00C736AF"/>
    <w:rsid w:val="00C7382A"/>
    <w:rsid w:val="00C738B2"/>
    <w:rsid w:val="00C738C7"/>
    <w:rsid w:val="00C7391F"/>
    <w:rsid w:val="00C73BB5"/>
    <w:rsid w:val="00C73F85"/>
    <w:rsid w:val="00C73F93"/>
    <w:rsid w:val="00C74203"/>
    <w:rsid w:val="00C7422C"/>
    <w:rsid w:val="00C7422F"/>
    <w:rsid w:val="00C74343"/>
    <w:rsid w:val="00C74454"/>
    <w:rsid w:val="00C744F8"/>
    <w:rsid w:val="00C74529"/>
    <w:rsid w:val="00C745BC"/>
    <w:rsid w:val="00C746F1"/>
    <w:rsid w:val="00C748C5"/>
    <w:rsid w:val="00C748CD"/>
    <w:rsid w:val="00C74954"/>
    <w:rsid w:val="00C74A10"/>
    <w:rsid w:val="00C74A4E"/>
    <w:rsid w:val="00C74B67"/>
    <w:rsid w:val="00C74B8E"/>
    <w:rsid w:val="00C74BCC"/>
    <w:rsid w:val="00C74CE0"/>
    <w:rsid w:val="00C74D1E"/>
    <w:rsid w:val="00C74D24"/>
    <w:rsid w:val="00C74D98"/>
    <w:rsid w:val="00C74EE1"/>
    <w:rsid w:val="00C74FB6"/>
    <w:rsid w:val="00C74FC6"/>
    <w:rsid w:val="00C7502B"/>
    <w:rsid w:val="00C75032"/>
    <w:rsid w:val="00C7505B"/>
    <w:rsid w:val="00C751DE"/>
    <w:rsid w:val="00C7520D"/>
    <w:rsid w:val="00C752B1"/>
    <w:rsid w:val="00C752CC"/>
    <w:rsid w:val="00C753BD"/>
    <w:rsid w:val="00C75433"/>
    <w:rsid w:val="00C754AA"/>
    <w:rsid w:val="00C754FA"/>
    <w:rsid w:val="00C75557"/>
    <w:rsid w:val="00C7566B"/>
    <w:rsid w:val="00C7569D"/>
    <w:rsid w:val="00C756E5"/>
    <w:rsid w:val="00C756F6"/>
    <w:rsid w:val="00C757AC"/>
    <w:rsid w:val="00C757DC"/>
    <w:rsid w:val="00C75831"/>
    <w:rsid w:val="00C758B9"/>
    <w:rsid w:val="00C758DF"/>
    <w:rsid w:val="00C758F1"/>
    <w:rsid w:val="00C75980"/>
    <w:rsid w:val="00C75A26"/>
    <w:rsid w:val="00C75A2B"/>
    <w:rsid w:val="00C75A75"/>
    <w:rsid w:val="00C75AD6"/>
    <w:rsid w:val="00C75C1A"/>
    <w:rsid w:val="00C75CB7"/>
    <w:rsid w:val="00C75CD2"/>
    <w:rsid w:val="00C75D1B"/>
    <w:rsid w:val="00C75E4D"/>
    <w:rsid w:val="00C75FCF"/>
    <w:rsid w:val="00C7603C"/>
    <w:rsid w:val="00C76109"/>
    <w:rsid w:val="00C76127"/>
    <w:rsid w:val="00C761EC"/>
    <w:rsid w:val="00C762ED"/>
    <w:rsid w:val="00C7636D"/>
    <w:rsid w:val="00C764CD"/>
    <w:rsid w:val="00C76503"/>
    <w:rsid w:val="00C76566"/>
    <w:rsid w:val="00C765DA"/>
    <w:rsid w:val="00C76675"/>
    <w:rsid w:val="00C767A0"/>
    <w:rsid w:val="00C7695A"/>
    <w:rsid w:val="00C769AA"/>
    <w:rsid w:val="00C76A4D"/>
    <w:rsid w:val="00C76ACA"/>
    <w:rsid w:val="00C76AD4"/>
    <w:rsid w:val="00C76AEC"/>
    <w:rsid w:val="00C76B45"/>
    <w:rsid w:val="00C76C17"/>
    <w:rsid w:val="00C76C69"/>
    <w:rsid w:val="00C76C9C"/>
    <w:rsid w:val="00C76CE5"/>
    <w:rsid w:val="00C76DED"/>
    <w:rsid w:val="00C76EDC"/>
    <w:rsid w:val="00C76F26"/>
    <w:rsid w:val="00C77074"/>
    <w:rsid w:val="00C77199"/>
    <w:rsid w:val="00C773F6"/>
    <w:rsid w:val="00C7749A"/>
    <w:rsid w:val="00C77515"/>
    <w:rsid w:val="00C7755F"/>
    <w:rsid w:val="00C7757A"/>
    <w:rsid w:val="00C775E3"/>
    <w:rsid w:val="00C77708"/>
    <w:rsid w:val="00C77844"/>
    <w:rsid w:val="00C77866"/>
    <w:rsid w:val="00C7797D"/>
    <w:rsid w:val="00C77A39"/>
    <w:rsid w:val="00C77B62"/>
    <w:rsid w:val="00C77BB1"/>
    <w:rsid w:val="00C77C13"/>
    <w:rsid w:val="00C77C3E"/>
    <w:rsid w:val="00C77C7D"/>
    <w:rsid w:val="00C77CD2"/>
    <w:rsid w:val="00C77D2B"/>
    <w:rsid w:val="00C77E42"/>
    <w:rsid w:val="00C80014"/>
    <w:rsid w:val="00C800AA"/>
    <w:rsid w:val="00C8010F"/>
    <w:rsid w:val="00C80179"/>
    <w:rsid w:val="00C80221"/>
    <w:rsid w:val="00C80333"/>
    <w:rsid w:val="00C80537"/>
    <w:rsid w:val="00C8066E"/>
    <w:rsid w:val="00C8069F"/>
    <w:rsid w:val="00C80869"/>
    <w:rsid w:val="00C80A5A"/>
    <w:rsid w:val="00C80B8F"/>
    <w:rsid w:val="00C80BB3"/>
    <w:rsid w:val="00C80BDD"/>
    <w:rsid w:val="00C80C7F"/>
    <w:rsid w:val="00C80ECF"/>
    <w:rsid w:val="00C80EE5"/>
    <w:rsid w:val="00C81010"/>
    <w:rsid w:val="00C81145"/>
    <w:rsid w:val="00C811FF"/>
    <w:rsid w:val="00C81252"/>
    <w:rsid w:val="00C81254"/>
    <w:rsid w:val="00C81290"/>
    <w:rsid w:val="00C8134F"/>
    <w:rsid w:val="00C81385"/>
    <w:rsid w:val="00C813C4"/>
    <w:rsid w:val="00C8142E"/>
    <w:rsid w:val="00C8146A"/>
    <w:rsid w:val="00C815A1"/>
    <w:rsid w:val="00C816DF"/>
    <w:rsid w:val="00C8172C"/>
    <w:rsid w:val="00C81775"/>
    <w:rsid w:val="00C817B9"/>
    <w:rsid w:val="00C8189F"/>
    <w:rsid w:val="00C818E6"/>
    <w:rsid w:val="00C81AFE"/>
    <w:rsid w:val="00C81B31"/>
    <w:rsid w:val="00C81D0E"/>
    <w:rsid w:val="00C81D14"/>
    <w:rsid w:val="00C81EB5"/>
    <w:rsid w:val="00C81F5B"/>
    <w:rsid w:val="00C821D5"/>
    <w:rsid w:val="00C82244"/>
    <w:rsid w:val="00C82489"/>
    <w:rsid w:val="00C827ED"/>
    <w:rsid w:val="00C828A5"/>
    <w:rsid w:val="00C82A83"/>
    <w:rsid w:val="00C82A8C"/>
    <w:rsid w:val="00C82B3A"/>
    <w:rsid w:val="00C82B94"/>
    <w:rsid w:val="00C82CE5"/>
    <w:rsid w:val="00C82D47"/>
    <w:rsid w:val="00C82E77"/>
    <w:rsid w:val="00C82F57"/>
    <w:rsid w:val="00C82FAF"/>
    <w:rsid w:val="00C82FCC"/>
    <w:rsid w:val="00C83029"/>
    <w:rsid w:val="00C83149"/>
    <w:rsid w:val="00C8329A"/>
    <w:rsid w:val="00C83461"/>
    <w:rsid w:val="00C8347A"/>
    <w:rsid w:val="00C83532"/>
    <w:rsid w:val="00C8353A"/>
    <w:rsid w:val="00C8373F"/>
    <w:rsid w:val="00C8375D"/>
    <w:rsid w:val="00C83907"/>
    <w:rsid w:val="00C8394F"/>
    <w:rsid w:val="00C839FC"/>
    <w:rsid w:val="00C83C4D"/>
    <w:rsid w:val="00C83C74"/>
    <w:rsid w:val="00C83D34"/>
    <w:rsid w:val="00C83E3B"/>
    <w:rsid w:val="00C83FA3"/>
    <w:rsid w:val="00C840B3"/>
    <w:rsid w:val="00C84198"/>
    <w:rsid w:val="00C84285"/>
    <w:rsid w:val="00C84296"/>
    <w:rsid w:val="00C842C7"/>
    <w:rsid w:val="00C843A6"/>
    <w:rsid w:val="00C84482"/>
    <w:rsid w:val="00C844B5"/>
    <w:rsid w:val="00C844EE"/>
    <w:rsid w:val="00C84521"/>
    <w:rsid w:val="00C845A2"/>
    <w:rsid w:val="00C84739"/>
    <w:rsid w:val="00C8475C"/>
    <w:rsid w:val="00C847BD"/>
    <w:rsid w:val="00C84830"/>
    <w:rsid w:val="00C848FE"/>
    <w:rsid w:val="00C8491E"/>
    <w:rsid w:val="00C84927"/>
    <w:rsid w:val="00C849B7"/>
    <w:rsid w:val="00C84AD8"/>
    <w:rsid w:val="00C84B2E"/>
    <w:rsid w:val="00C84B97"/>
    <w:rsid w:val="00C84BF8"/>
    <w:rsid w:val="00C84CE9"/>
    <w:rsid w:val="00C84E7F"/>
    <w:rsid w:val="00C85038"/>
    <w:rsid w:val="00C851F4"/>
    <w:rsid w:val="00C8531D"/>
    <w:rsid w:val="00C85565"/>
    <w:rsid w:val="00C855DF"/>
    <w:rsid w:val="00C855FD"/>
    <w:rsid w:val="00C85656"/>
    <w:rsid w:val="00C85745"/>
    <w:rsid w:val="00C857F0"/>
    <w:rsid w:val="00C85885"/>
    <w:rsid w:val="00C858A6"/>
    <w:rsid w:val="00C859CC"/>
    <w:rsid w:val="00C85A26"/>
    <w:rsid w:val="00C85B55"/>
    <w:rsid w:val="00C85CCC"/>
    <w:rsid w:val="00C85EBB"/>
    <w:rsid w:val="00C85F9F"/>
    <w:rsid w:val="00C85FE7"/>
    <w:rsid w:val="00C85FE9"/>
    <w:rsid w:val="00C85FFE"/>
    <w:rsid w:val="00C86095"/>
    <w:rsid w:val="00C86097"/>
    <w:rsid w:val="00C86233"/>
    <w:rsid w:val="00C86269"/>
    <w:rsid w:val="00C86298"/>
    <w:rsid w:val="00C86332"/>
    <w:rsid w:val="00C86393"/>
    <w:rsid w:val="00C86450"/>
    <w:rsid w:val="00C86515"/>
    <w:rsid w:val="00C865A4"/>
    <w:rsid w:val="00C865D3"/>
    <w:rsid w:val="00C866BA"/>
    <w:rsid w:val="00C86718"/>
    <w:rsid w:val="00C86763"/>
    <w:rsid w:val="00C867A2"/>
    <w:rsid w:val="00C86832"/>
    <w:rsid w:val="00C8696F"/>
    <w:rsid w:val="00C86AC8"/>
    <w:rsid w:val="00C86B31"/>
    <w:rsid w:val="00C86B3C"/>
    <w:rsid w:val="00C86BE3"/>
    <w:rsid w:val="00C86C68"/>
    <w:rsid w:val="00C86CD1"/>
    <w:rsid w:val="00C86DA6"/>
    <w:rsid w:val="00C86E27"/>
    <w:rsid w:val="00C86F84"/>
    <w:rsid w:val="00C86F87"/>
    <w:rsid w:val="00C86FE0"/>
    <w:rsid w:val="00C87130"/>
    <w:rsid w:val="00C8715D"/>
    <w:rsid w:val="00C87267"/>
    <w:rsid w:val="00C872D6"/>
    <w:rsid w:val="00C873B0"/>
    <w:rsid w:val="00C8741A"/>
    <w:rsid w:val="00C874CF"/>
    <w:rsid w:val="00C874D4"/>
    <w:rsid w:val="00C87543"/>
    <w:rsid w:val="00C8754A"/>
    <w:rsid w:val="00C875BA"/>
    <w:rsid w:val="00C8773E"/>
    <w:rsid w:val="00C87768"/>
    <w:rsid w:val="00C8776F"/>
    <w:rsid w:val="00C87848"/>
    <w:rsid w:val="00C8785E"/>
    <w:rsid w:val="00C87896"/>
    <w:rsid w:val="00C87951"/>
    <w:rsid w:val="00C87A03"/>
    <w:rsid w:val="00C87ABE"/>
    <w:rsid w:val="00C87B6A"/>
    <w:rsid w:val="00C87B97"/>
    <w:rsid w:val="00C87BB5"/>
    <w:rsid w:val="00C87CB7"/>
    <w:rsid w:val="00C87CC9"/>
    <w:rsid w:val="00C87CE5"/>
    <w:rsid w:val="00C87E19"/>
    <w:rsid w:val="00C87E56"/>
    <w:rsid w:val="00C900A6"/>
    <w:rsid w:val="00C900DA"/>
    <w:rsid w:val="00C901E1"/>
    <w:rsid w:val="00C9020A"/>
    <w:rsid w:val="00C9022B"/>
    <w:rsid w:val="00C902F8"/>
    <w:rsid w:val="00C90312"/>
    <w:rsid w:val="00C903FB"/>
    <w:rsid w:val="00C90529"/>
    <w:rsid w:val="00C9056E"/>
    <w:rsid w:val="00C905D1"/>
    <w:rsid w:val="00C905FC"/>
    <w:rsid w:val="00C90769"/>
    <w:rsid w:val="00C90866"/>
    <w:rsid w:val="00C9087B"/>
    <w:rsid w:val="00C909F1"/>
    <w:rsid w:val="00C90B80"/>
    <w:rsid w:val="00C90C66"/>
    <w:rsid w:val="00C90E4D"/>
    <w:rsid w:val="00C90E7A"/>
    <w:rsid w:val="00C90F38"/>
    <w:rsid w:val="00C90FAD"/>
    <w:rsid w:val="00C91096"/>
    <w:rsid w:val="00C91176"/>
    <w:rsid w:val="00C911D4"/>
    <w:rsid w:val="00C911EF"/>
    <w:rsid w:val="00C91259"/>
    <w:rsid w:val="00C912A0"/>
    <w:rsid w:val="00C912B0"/>
    <w:rsid w:val="00C912EA"/>
    <w:rsid w:val="00C9130D"/>
    <w:rsid w:val="00C913AF"/>
    <w:rsid w:val="00C914E2"/>
    <w:rsid w:val="00C9151C"/>
    <w:rsid w:val="00C9161B"/>
    <w:rsid w:val="00C917DD"/>
    <w:rsid w:val="00C91885"/>
    <w:rsid w:val="00C918D7"/>
    <w:rsid w:val="00C9198A"/>
    <w:rsid w:val="00C91A1E"/>
    <w:rsid w:val="00C91A73"/>
    <w:rsid w:val="00C91AB3"/>
    <w:rsid w:val="00C91B55"/>
    <w:rsid w:val="00C91CCB"/>
    <w:rsid w:val="00C91D40"/>
    <w:rsid w:val="00C91D60"/>
    <w:rsid w:val="00C91D9B"/>
    <w:rsid w:val="00C91E2B"/>
    <w:rsid w:val="00C9202B"/>
    <w:rsid w:val="00C92046"/>
    <w:rsid w:val="00C92220"/>
    <w:rsid w:val="00C9226C"/>
    <w:rsid w:val="00C92334"/>
    <w:rsid w:val="00C92344"/>
    <w:rsid w:val="00C92432"/>
    <w:rsid w:val="00C924FE"/>
    <w:rsid w:val="00C92568"/>
    <w:rsid w:val="00C92570"/>
    <w:rsid w:val="00C92683"/>
    <w:rsid w:val="00C926B2"/>
    <w:rsid w:val="00C9274C"/>
    <w:rsid w:val="00C92831"/>
    <w:rsid w:val="00C9285F"/>
    <w:rsid w:val="00C9286F"/>
    <w:rsid w:val="00C928D3"/>
    <w:rsid w:val="00C928DE"/>
    <w:rsid w:val="00C92940"/>
    <w:rsid w:val="00C929F6"/>
    <w:rsid w:val="00C92C95"/>
    <w:rsid w:val="00C92CD6"/>
    <w:rsid w:val="00C92D46"/>
    <w:rsid w:val="00C92D67"/>
    <w:rsid w:val="00C92DA5"/>
    <w:rsid w:val="00C92DE9"/>
    <w:rsid w:val="00C92E1E"/>
    <w:rsid w:val="00C92E4E"/>
    <w:rsid w:val="00C92F00"/>
    <w:rsid w:val="00C92F2B"/>
    <w:rsid w:val="00C92FAC"/>
    <w:rsid w:val="00C93092"/>
    <w:rsid w:val="00C9320D"/>
    <w:rsid w:val="00C9323F"/>
    <w:rsid w:val="00C9328F"/>
    <w:rsid w:val="00C93353"/>
    <w:rsid w:val="00C933F3"/>
    <w:rsid w:val="00C9345E"/>
    <w:rsid w:val="00C934E7"/>
    <w:rsid w:val="00C9358A"/>
    <w:rsid w:val="00C935F3"/>
    <w:rsid w:val="00C93655"/>
    <w:rsid w:val="00C93722"/>
    <w:rsid w:val="00C9376B"/>
    <w:rsid w:val="00C9385F"/>
    <w:rsid w:val="00C939C1"/>
    <w:rsid w:val="00C939DF"/>
    <w:rsid w:val="00C939E9"/>
    <w:rsid w:val="00C93AC2"/>
    <w:rsid w:val="00C93B2F"/>
    <w:rsid w:val="00C93BF8"/>
    <w:rsid w:val="00C93C2D"/>
    <w:rsid w:val="00C93CC0"/>
    <w:rsid w:val="00C93D0A"/>
    <w:rsid w:val="00C93D2F"/>
    <w:rsid w:val="00C93D8A"/>
    <w:rsid w:val="00C93DA4"/>
    <w:rsid w:val="00C93DD3"/>
    <w:rsid w:val="00C93EE2"/>
    <w:rsid w:val="00C93F7E"/>
    <w:rsid w:val="00C93F88"/>
    <w:rsid w:val="00C93FEB"/>
    <w:rsid w:val="00C9405F"/>
    <w:rsid w:val="00C9414D"/>
    <w:rsid w:val="00C94204"/>
    <w:rsid w:val="00C9434A"/>
    <w:rsid w:val="00C94369"/>
    <w:rsid w:val="00C94466"/>
    <w:rsid w:val="00C94599"/>
    <w:rsid w:val="00C9467D"/>
    <w:rsid w:val="00C947D2"/>
    <w:rsid w:val="00C94947"/>
    <w:rsid w:val="00C94A18"/>
    <w:rsid w:val="00C94A54"/>
    <w:rsid w:val="00C94BCF"/>
    <w:rsid w:val="00C94D18"/>
    <w:rsid w:val="00C94F89"/>
    <w:rsid w:val="00C95012"/>
    <w:rsid w:val="00C9507B"/>
    <w:rsid w:val="00C95163"/>
    <w:rsid w:val="00C95242"/>
    <w:rsid w:val="00C95272"/>
    <w:rsid w:val="00C95324"/>
    <w:rsid w:val="00C95325"/>
    <w:rsid w:val="00C95332"/>
    <w:rsid w:val="00C954FB"/>
    <w:rsid w:val="00C95553"/>
    <w:rsid w:val="00C955E0"/>
    <w:rsid w:val="00C956AE"/>
    <w:rsid w:val="00C956D8"/>
    <w:rsid w:val="00C9576A"/>
    <w:rsid w:val="00C958CA"/>
    <w:rsid w:val="00C959B1"/>
    <w:rsid w:val="00C95ADB"/>
    <w:rsid w:val="00C95B51"/>
    <w:rsid w:val="00C95BAD"/>
    <w:rsid w:val="00C95C0F"/>
    <w:rsid w:val="00C95CF9"/>
    <w:rsid w:val="00C95D0D"/>
    <w:rsid w:val="00C95DAE"/>
    <w:rsid w:val="00C95F91"/>
    <w:rsid w:val="00C96179"/>
    <w:rsid w:val="00C961A8"/>
    <w:rsid w:val="00C96232"/>
    <w:rsid w:val="00C96327"/>
    <w:rsid w:val="00C9637C"/>
    <w:rsid w:val="00C963F4"/>
    <w:rsid w:val="00C96796"/>
    <w:rsid w:val="00C96844"/>
    <w:rsid w:val="00C96A4C"/>
    <w:rsid w:val="00C96B0F"/>
    <w:rsid w:val="00C96BA6"/>
    <w:rsid w:val="00C96C43"/>
    <w:rsid w:val="00C96C85"/>
    <w:rsid w:val="00C96D0C"/>
    <w:rsid w:val="00C96D68"/>
    <w:rsid w:val="00C96D87"/>
    <w:rsid w:val="00C96E3C"/>
    <w:rsid w:val="00C96E3F"/>
    <w:rsid w:val="00C96E67"/>
    <w:rsid w:val="00C96FC8"/>
    <w:rsid w:val="00C97003"/>
    <w:rsid w:val="00C97023"/>
    <w:rsid w:val="00C97040"/>
    <w:rsid w:val="00C97055"/>
    <w:rsid w:val="00C9705A"/>
    <w:rsid w:val="00C970BA"/>
    <w:rsid w:val="00C970EC"/>
    <w:rsid w:val="00C97107"/>
    <w:rsid w:val="00C9718D"/>
    <w:rsid w:val="00C971B9"/>
    <w:rsid w:val="00C971BE"/>
    <w:rsid w:val="00C97292"/>
    <w:rsid w:val="00C972ED"/>
    <w:rsid w:val="00C97333"/>
    <w:rsid w:val="00C97367"/>
    <w:rsid w:val="00C97480"/>
    <w:rsid w:val="00C975FA"/>
    <w:rsid w:val="00C976B5"/>
    <w:rsid w:val="00C97760"/>
    <w:rsid w:val="00C97834"/>
    <w:rsid w:val="00C97950"/>
    <w:rsid w:val="00C979BA"/>
    <w:rsid w:val="00C979BC"/>
    <w:rsid w:val="00C979D3"/>
    <w:rsid w:val="00C97A47"/>
    <w:rsid w:val="00C97A5C"/>
    <w:rsid w:val="00C97AC6"/>
    <w:rsid w:val="00C97BF8"/>
    <w:rsid w:val="00C97C46"/>
    <w:rsid w:val="00C97CBD"/>
    <w:rsid w:val="00C97CCC"/>
    <w:rsid w:val="00C97E2A"/>
    <w:rsid w:val="00C97E76"/>
    <w:rsid w:val="00C97F08"/>
    <w:rsid w:val="00C97F27"/>
    <w:rsid w:val="00C97FF5"/>
    <w:rsid w:val="00CA002D"/>
    <w:rsid w:val="00CA0097"/>
    <w:rsid w:val="00CA013E"/>
    <w:rsid w:val="00CA0264"/>
    <w:rsid w:val="00CA02F5"/>
    <w:rsid w:val="00CA0330"/>
    <w:rsid w:val="00CA0342"/>
    <w:rsid w:val="00CA04CB"/>
    <w:rsid w:val="00CA0550"/>
    <w:rsid w:val="00CA0583"/>
    <w:rsid w:val="00CA05FA"/>
    <w:rsid w:val="00CA070E"/>
    <w:rsid w:val="00CA076C"/>
    <w:rsid w:val="00CA0773"/>
    <w:rsid w:val="00CA077F"/>
    <w:rsid w:val="00CA07C3"/>
    <w:rsid w:val="00CA09FC"/>
    <w:rsid w:val="00CA0A58"/>
    <w:rsid w:val="00CA0A62"/>
    <w:rsid w:val="00CA0C17"/>
    <w:rsid w:val="00CA0DEC"/>
    <w:rsid w:val="00CA0E52"/>
    <w:rsid w:val="00CA0E58"/>
    <w:rsid w:val="00CA0E5E"/>
    <w:rsid w:val="00CA0EE7"/>
    <w:rsid w:val="00CA0EF1"/>
    <w:rsid w:val="00CA0F28"/>
    <w:rsid w:val="00CA0FE6"/>
    <w:rsid w:val="00CA1090"/>
    <w:rsid w:val="00CA1128"/>
    <w:rsid w:val="00CA1139"/>
    <w:rsid w:val="00CA1143"/>
    <w:rsid w:val="00CA12B0"/>
    <w:rsid w:val="00CA12C2"/>
    <w:rsid w:val="00CA13CA"/>
    <w:rsid w:val="00CA13CF"/>
    <w:rsid w:val="00CA13F0"/>
    <w:rsid w:val="00CA1408"/>
    <w:rsid w:val="00CA145C"/>
    <w:rsid w:val="00CA152C"/>
    <w:rsid w:val="00CA15F1"/>
    <w:rsid w:val="00CA1652"/>
    <w:rsid w:val="00CA1665"/>
    <w:rsid w:val="00CA16E7"/>
    <w:rsid w:val="00CA17DB"/>
    <w:rsid w:val="00CA18DB"/>
    <w:rsid w:val="00CA196E"/>
    <w:rsid w:val="00CA1ABB"/>
    <w:rsid w:val="00CA1AE2"/>
    <w:rsid w:val="00CA1B89"/>
    <w:rsid w:val="00CA1B8C"/>
    <w:rsid w:val="00CA1BEC"/>
    <w:rsid w:val="00CA1C36"/>
    <w:rsid w:val="00CA1CE8"/>
    <w:rsid w:val="00CA1DBF"/>
    <w:rsid w:val="00CA1E1E"/>
    <w:rsid w:val="00CA1EC4"/>
    <w:rsid w:val="00CA1FEE"/>
    <w:rsid w:val="00CA20D8"/>
    <w:rsid w:val="00CA20EA"/>
    <w:rsid w:val="00CA2152"/>
    <w:rsid w:val="00CA21E4"/>
    <w:rsid w:val="00CA2221"/>
    <w:rsid w:val="00CA22D1"/>
    <w:rsid w:val="00CA247E"/>
    <w:rsid w:val="00CA248D"/>
    <w:rsid w:val="00CA25EE"/>
    <w:rsid w:val="00CA26A0"/>
    <w:rsid w:val="00CA283F"/>
    <w:rsid w:val="00CA28FF"/>
    <w:rsid w:val="00CA29D7"/>
    <w:rsid w:val="00CA2B08"/>
    <w:rsid w:val="00CA2CDB"/>
    <w:rsid w:val="00CA2D39"/>
    <w:rsid w:val="00CA2DF0"/>
    <w:rsid w:val="00CA2E41"/>
    <w:rsid w:val="00CA2E5B"/>
    <w:rsid w:val="00CA2E90"/>
    <w:rsid w:val="00CA2FE0"/>
    <w:rsid w:val="00CA2FF3"/>
    <w:rsid w:val="00CA309F"/>
    <w:rsid w:val="00CA311D"/>
    <w:rsid w:val="00CA321A"/>
    <w:rsid w:val="00CA32C2"/>
    <w:rsid w:val="00CA3671"/>
    <w:rsid w:val="00CA3784"/>
    <w:rsid w:val="00CA3825"/>
    <w:rsid w:val="00CA3A16"/>
    <w:rsid w:val="00CA3B78"/>
    <w:rsid w:val="00CA3D49"/>
    <w:rsid w:val="00CA4020"/>
    <w:rsid w:val="00CA4051"/>
    <w:rsid w:val="00CA40CF"/>
    <w:rsid w:val="00CA4206"/>
    <w:rsid w:val="00CA4394"/>
    <w:rsid w:val="00CA4395"/>
    <w:rsid w:val="00CA44B7"/>
    <w:rsid w:val="00CA4524"/>
    <w:rsid w:val="00CA4527"/>
    <w:rsid w:val="00CA4663"/>
    <w:rsid w:val="00CA467A"/>
    <w:rsid w:val="00CA46A3"/>
    <w:rsid w:val="00CA47C3"/>
    <w:rsid w:val="00CA4801"/>
    <w:rsid w:val="00CA486F"/>
    <w:rsid w:val="00CA4958"/>
    <w:rsid w:val="00CA49E6"/>
    <w:rsid w:val="00CA4A4E"/>
    <w:rsid w:val="00CA4B0D"/>
    <w:rsid w:val="00CA4C95"/>
    <w:rsid w:val="00CA4DB1"/>
    <w:rsid w:val="00CA4E0E"/>
    <w:rsid w:val="00CA4ED9"/>
    <w:rsid w:val="00CA528C"/>
    <w:rsid w:val="00CA52AD"/>
    <w:rsid w:val="00CA53A3"/>
    <w:rsid w:val="00CA53C0"/>
    <w:rsid w:val="00CA53C1"/>
    <w:rsid w:val="00CA5498"/>
    <w:rsid w:val="00CA5581"/>
    <w:rsid w:val="00CA578A"/>
    <w:rsid w:val="00CA5794"/>
    <w:rsid w:val="00CA579A"/>
    <w:rsid w:val="00CA5900"/>
    <w:rsid w:val="00CA5935"/>
    <w:rsid w:val="00CA5AE2"/>
    <w:rsid w:val="00CA5AED"/>
    <w:rsid w:val="00CA5B24"/>
    <w:rsid w:val="00CA5B9D"/>
    <w:rsid w:val="00CA5B9E"/>
    <w:rsid w:val="00CA5BB4"/>
    <w:rsid w:val="00CA5BEA"/>
    <w:rsid w:val="00CA5BED"/>
    <w:rsid w:val="00CA5CBB"/>
    <w:rsid w:val="00CA5D96"/>
    <w:rsid w:val="00CA5EC6"/>
    <w:rsid w:val="00CA6031"/>
    <w:rsid w:val="00CA608A"/>
    <w:rsid w:val="00CA613C"/>
    <w:rsid w:val="00CA62D6"/>
    <w:rsid w:val="00CA6478"/>
    <w:rsid w:val="00CA649E"/>
    <w:rsid w:val="00CA66D9"/>
    <w:rsid w:val="00CA6714"/>
    <w:rsid w:val="00CA6790"/>
    <w:rsid w:val="00CA69A0"/>
    <w:rsid w:val="00CA6A71"/>
    <w:rsid w:val="00CA6A78"/>
    <w:rsid w:val="00CA6AE6"/>
    <w:rsid w:val="00CA6BFB"/>
    <w:rsid w:val="00CA6C65"/>
    <w:rsid w:val="00CA6DE0"/>
    <w:rsid w:val="00CA6DF0"/>
    <w:rsid w:val="00CA6DF5"/>
    <w:rsid w:val="00CA6E5E"/>
    <w:rsid w:val="00CA6E7E"/>
    <w:rsid w:val="00CA6F41"/>
    <w:rsid w:val="00CA7105"/>
    <w:rsid w:val="00CA7193"/>
    <w:rsid w:val="00CA72AB"/>
    <w:rsid w:val="00CA7376"/>
    <w:rsid w:val="00CA75F5"/>
    <w:rsid w:val="00CA7627"/>
    <w:rsid w:val="00CA766D"/>
    <w:rsid w:val="00CA7798"/>
    <w:rsid w:val="00CA78C0"/>
    <w:rsid w:val="00CA7928"/>
    <w:rsid w:val="00CA7978"/>
    <w:rsid w:val="00CA7A50"/>
    <w:rsid w:val="00CA7B7C"/>
    <w:rsid w:val="00CA7C79"/>
    <w:rsid w:val="00CA7E82"/>
    <w:rsid w:val="00CAD10F"/>
    <w:rsid w:val="00CB0001"/>
    <w:rsid w:val="00CB000B"/>
    <w:rsid w:val="00CB0025"/>
    <w:rsid w:val="00CB0073"/>
    <w:rsid w:val="00CB007C"/>
    <w:rsid w:val="00CB00E1"/>
    <w:rsid w:val="00CB0366"/>
    <w:rsid w:val="00CB0420"/>
    <w:rsid w:val="00CB0461"/>
    <w:rsid w:val="00CB053A"/>
    <w:rsid w:val="00CB05A7"/>
    <w:rsid w:val="00CB05D7"/>
    <w:rsid w:val="00CB0612"/>
    <w:rsid w:val="00CB0928"/>
    <w:rsid w:val="00CB0932"/>
    <w:rsid w:val="00CB0A1D"/>
    <w:rsid w:val="00CB0A6D"/>
    <w:rsid w:val="00CB0CB3"/>
    <w:rsid w:val="00CB0CC3"/>
    <w:rsid w:val="00CB0CE2"/>
    <w:rsid w:val="00CB0D50"/>
    <w:rsid w:val="00CB0DE0"/>
    <w:rsid w:val="00CB1039"/>
    <w:rsid w:val="00CB1060"/>
    <w:rsid w:val="00CB10D6"/>
    <w:rsid w:val="00CB1138"/>
    <w:rsid w:val="00CB1144"/>
    <w:rsid w:val="00CB117A"/>
    <w:rsid w:val="00CB11B7"/>
    <w:rsid w:val="00CB1202"/>
    <w:rsid w:val="00CB1206"/>
    <w:rsid w:val="00CB1246"/>
    <w:rsid w:val="00CB1376"/>
    <w:rsid w:val="00CB137C"/>
    <w:rsid w:val="00CB13D7"/>
    <w:rsid w:val="00CB14CC"/>
    <w:rsid w:val="00CB1584"/>
    <w:rsid w:val="00CB166A"/>
    <w:rsid w:val="00CB171A"/>
    <w:rsid w:val="00CB1770"/>
    <w:rsid w:val="00CB17D7"/>
    <w:rsid w:val="00CB1876"/>
    <w:rsid w:val="00CB18AF"/>
    <w:rsid w:val="00CB1901"/>
    <w:rsid w:val="00CB191A"/>
    <w:rsid w:val="00CB19E1"/>
    <w:rsid w:val="00CB19EB"/>
    <w:rsid w:val="00CB19F0"/>
    <w:rsid w:val="00CB19F8"/>
    <w:rsid w:val="00CB1A08"/>
    <w:rsid w:val="00CB1A4E"/>
    <w:rsid w:val="00CB1B27"/>
    <w:rsid w:val="00CB1C00"/>
    <w:rsid w:val="00CB1C22"/>
    <w:rsid w:val="00CB1C84"/>
    <w:rsid w:val="00CB1CDE"/>
    <w:rsid w:val="00CB1DA5"/>
    <w:rsid w:val="00CB1E14"/>
    <w:rsid w:val="00CB1E34"/>
    <w:rsid w:val="00CB1E92"/>
    <w:rsid w:val="00CB1F27"/>
    <w:rsid w:val="00CB1FE8"/>
    <w:rsid w:val="00CB2057"/>
    <w:rsid w:val="00CB20F5"/>
    <w:rsid w:val="00CB211F"/>
    <w:rsid w:val="00CB2124"/>
    <w:rsid w:val="00CB2147"/>
    <w:rsid w:val="00CB21FB"/>
    <w:rsid w:val="00CB2247"/>
    <w:rsid w:val="00CB2342"/>
    <w:rsid w:val="00CB2392"/>
    <w:rsid w:val="00CB2405"/>
    <w:rsid w:val="00CB2408"/>
    <w:rsid w:val="00CB2573"/>
    <w:rsid w:val="00CB2679"/>
    <w:rsid w:val="00CB270A"/>
    <w:rsid w:val="00CB27ED"/>
    <w:rsid w:val="00CB28D8"/>
    <w:rsid w:val="00CB296A"/>
    <w:rsid w:val="00CB2A05"/>
    <w:rsid w:val="00CB2B7E"/>
    <w:rsid w:val="00CB2BEF"/>
    <w:rsid w:val="00CB2C3E"/>
    <w:rsid w:val="00CB2CA0"/>
    <w:rsid w:val="00CB2CB0"/>
    <w:rsid w:val="00CB2DD0"/>
    <w:rsid w:val="00CB2ECF"/>
    <w:rsid w:val="00CB2F49"/>
    <w:rsid w:val="00CB2F9A"/>
    <w:rsid w:val="00CB2FB5"/>
    <w:rsid w:val="00CB30A8"/>
    <w:rsid w:val="00CB30B7"/>
    <w:rsid w:val="00CB30B8"/>
    <w:rsid w:val="00CB3137"/>
    <w:rsid w:val="00CB3161"/>
    <w:rsid w:val="00CB31BD"/>
    <w:rsid w:val="00CB31CB"/>
    <w:rsid w:val="00CB31E3"/>
    <w:rsid w:val="00CB3203"/>
    <w:rsid w:val="00CB3238"/>
    <w:rsid w:val="00CB33C9"/>
    <w:rsid w:val="00CB3407"/>
    <w:rsid w:val="00CB3510"/>
    <w:rsid w:val="00CB3536"/>
    <w:rsid w:val="00CB36A8"/>
    <w:rsid w:val="00CB36D3"/>
    <w:rsid w:val="00CB3813"/>
    <w:rsid w:val="00CB387C"/>
    <w:rsid w:val="00CB38D9"/>
    <w:rsid w:val="00CB3A83"/>
    <w:rsid w:val="00CB3AF6"/>
    <w:rsid w:val="00CB3B27"/>
    <w:rsid w:val="00CB3B60"/>
    <w:rsid w:val="00CB3B81"/>
    <w:rsid w:val="00CB3C66"/>
    <w:rsid w:val="00CB3E3F"/>
    <w:rsid w:val="00CB3E64"/>
    <w:rsid w:val="00CB3ECD"/>
    <w:rsid w:val="00CB3F2A"/>
    <w:rsid w:val="00CB3F82"/>
    <w:rsid w:val="00CB3FB8"/>
    <w:rsid w:val="00CB4053"/>
    <w:rsid w:val="00CB424F"/>
    <w:rsid w:val="00CB433B"/>
    <w:rsid w:val="00CB43E3"/>
    <w:rsid w:val="00CB445A"/>
    <w:rsid w:val="00CB46F6"/>
    <w:rsid w:val="00CB48B1"/>
    <w:rsid w:val="00CB4BBD"/>
    <w:rsid w:val="00CB4C18"/>
    <w:rsid w:val="00CB4CAF"/>
    <w:rsid w:val="00CB4CFF"/>
    <w:rsid w:val="00CB4D76"/>
    <w:rsid w:val="00CB4E5D"/>
    <w:rsid w:val="00CB5011"/>
    <w:rsid w:val="00CB50CB"/>
    <w:rsid w:val="00CB5127"/>
    <w:rsid w:val="00CB5154"/>
    <w:rsid w:val="00CB52F3"/>
    <w:rsid w:val="00CB539D"/>
    <w:rsid w:val="00CB53DF"/>
    <w:rsid w:val="00CB5438"/>
    <w:rsid w:val="00CB5448"/>
    <w:rsid w:val="00CB546F"/>
    <w:rsid w:val="00CB547E"/>
    <w:rsid w:val="00CB552D"/>
    <w:rsid w:val="00CB553B"/>
    <w:rsid w:val="00CB5578"/>
    <w:rsid w:val="00CB55AD"/>
    <w:rsid w:val="00CB55DD"/>
    <w:rsid w:val="00CB568C"/>
    <w:rsid w:val="00CB57DB"/>
    <w:rsid w:val="00CB5967"/>
    <w:rsid w:val="00CB59FC"/>
    <w:rsid w:val="00CB5A13"/>
    <w:rsid w:val="00CB5AB9"/>
    <w:rsid w:val="00CB5B2C"/>
    <w:rsid w:val="00CB5B34"/>
    <w:rsid w:val="00CB5B78"/>
    <w:rsid w:val="00CB5BBD"/>
    <w:rsid w:val="00CB5BC3"/>
    <w:rsid w:val="00CB5D4B"/>
    <w:rsid w:val="00CB5D5D"/>
    <w:rsid w:val="00CB5E82"/>
    <w:rsid w:val="00CB5EAB"/>
    <w:rsid w:val="00CB5EFE"/>
    <w:rsid w:val="00CB5FD9"/>
    <w:rsid w:val="00CB6004"/>
    <w:rsid w:val="00CB613E"/>
    <w:rsid w:val="00CB6305"/>
    <w:rsid w:val="00CB630E"/>
    <w:rsid w:val="00CB63F3"/>
    <w:rsid w:val="00CB65F1"/>
    <w:rsid w:val="00CB66EF"/>
    <w:rsid w:val="00CB6711"/>
    <w:rsid w:val="00CB6768"/>
    <w:rsid w:val="00CB6842"/>
    <w:rsid w:val="00CB68E2"/>
    <w:rsid w:val="00CB6907"/>
    <w:rsid w:val="00CB697F"/>
    <w:rsid w:val="00CB69B5"/>
    <w:rsid w:val="00CB6A65"/>
    <w:rsid w:val="00CB6A75"/>
    <w:rsid w:val="00CB6DD6"/>
    <w:rsid w:val="00CB6EF7"/>
    <w:rsid w:val="00CB6F5D"/>
    <w:rsid w:val="00CB7035"/>
    <w:rsid w:val="00CB70B2"/>
    <w:rsid w:val="00CB70CC"/>
    <w:rsid w:val="00CB70DF"/>
    <w:rsid w:val="00CB712A"/>
    <w:rsid w:val="00CB714E"/>
    <w:rsid w:val="00CB7225"/>
    <w:rsid w:val="00CB72FC"/>
    <w:rsid w:val="00CB7399"/>
    <w:rsid w:val="00CB73EA"/>
    <w:rsid w:val="00CB74F9"/>
    <w:rsid w:val="00CB7676"/>
    <w:rsid w:val="00CB7713"/>
    <w:rsid w:val="00CB772A"/>
    <w:rsid w:val="00CB7789"/>
    <w:rsid w:val="00CB78C3"/>
    <w:rsid w:val="00CB7921"/>
    <w:rsid w:val="00CB79A1"/>
    <w:rsid w:val="00CB79BD"/>
    <w:rsid w:val="00CB7ABA"/>
    <w:rsid w:val="00CB7ADA"/>
    <w:rsid w:val="00CB7BD8"/>
    <w:rsid w:val="00CB7C71"/>
    <w:rsid w:val="00CB7DEA"/>
    <w:rsid w:val="00CB7E17"/>
    <w:rsid w:val="00CB7EFE"/>
    <w:rsid w:val="00CB7F04"/>
    <w:rsid w:val="00CB7FF3"/>
    <w:rsid w:val="00CC001A"/>
    <w:rsid w:val="00CC014B"/>
    <w:rsid w:val="00CC016B"/>
    <w:rsid w:val="00CC01B5"/>
    <w:rsid w:val="00CC01EA"/>
    <w:rsid w:val="00CC020B"/>
    <w:rsid w:val="00CC0353"/>
    <w:rsid w:val="00CC03A2"/>
    <w:rsid w:val="00CC0456"/>
    <w:rsid w:val="00CC0557"/>
    <w:rsid w:val="00CC05AD"/>
    <w:rsid w:val="00CC0668"/>
    <w:rsid w:val="00CC06CC"/>
    <w:rsid w:val="00CC0751"/>
    <w:rsid w:val="00CC0852"/>
    <w:rsid w:val="00CC088E"/>
    <w:rsid w:val="00CC09FB"/>
    <w:rsid w:val="00CC0A23"/>
    <w:rsid w:val="00CC0A41"/>
    <w:rsid w:val="00CC0B0A"/>
    <w:rsid w:val="00CC0BE4"/>
    <w:rsid w:val="00CC0CFF"/>
    <w:rsid w:val="00CC0F68"/>
    <w:rsid w:val="00CC0FAC"/>
    <w:rsid w:val="00CC0FD5"/>
    <w:rsid w:val="00CC11CB"/>
    <w:rsid w:val="00CC1231"/>
    <w:rsid w:val="00CC12B3"/>
    <w:rsid w:val="00CC1430"/>
    <w:rsid w:val="00CC145A"/>
    <w:rsid w:val="00CC14A2"/>
    <w:rsid w:val="00CC14C7"/>
    <w:rsid w:val="00CC1502"/>
    <w:rsid w:val="00CC1516"/>
    <w:rsid w:val="00CC151F"/>
    <w:rsid w:val="00CC15F7"/>
    <w:rsid w:val="00CC1656"/>
    <w:rsid w:val="00CC1661"/>
    <w:rsid w:val="00CC1694"/>
    <w:rsid w:val="00CC17D8"/>
    <w:rsid w:val="00CC17FD"/>
    <w:rsid w:val="00CC1845"/>
    <w:rsid w:val="00CC1882"/>
    <w:rsid w:val="00CC18AE"/>
    <w:rsid w:val="00CC1A04"/>
    <w:rsid w:val="00CC1A32"/>
    <w:rsid w:val="00CC1A4C"/>
    <w:rsid w:val="00CC1A69"/>
    <w:rsid w:val="00CC1A8F"/>
    <w:rsid w:val="00CC1B3A"/>
    <w:rsid w:val="00CC1E2D"/>
    <w:rsid w:val="00CC1EDE"/>
    <w:rsid w:val="00CC1F14"/>
    <w:rsid w:val="00CC1F8F"/>
    <w:rsid w:val="00CC21A9"/>
    <w:rsid w:val="00CC2251"/>
    <w:rsid w:val="00CC2352"/>
    <w:rsid w:val="00CC23EC"/>
    <w:rsid w:val="00CC24CB"/>
    <w:rsid w:val="00CC24DA"/>
    <w:rsid w:val="00CC25CC"/>
    <w:rsid w:val="00CC25EE"/>
    <w:rsid w:val="00CC2670"/>
    <w:rsid w:val="00CC2779"/>
    <w:rsid w:val="00CC2801"/>
    <w:rsid w:val="00CC298C"/>
    <w:rsid w:val="00CC2997"/>
    <w:rsid w:val="00CC2A6A"/>
    <w:rsid w:val="00CC2AF1"/>
    <w:rsid w:val="00CC2B0C"/>
    <w:rsid w:val="00CC2CCD"/>
    <w:rsid w:val="00CC2CE8"/>
    <w:rsid w:val="00CC2D01"/>
    <w:rsid w:val="00CC2D1B"/>
    <w:rsid w:val="00CC2D96"/>
    <w:rsid w:val="00CC2E0A"/>
    <w:rsid w:val="00CC2E1B"/>
    <w:rsid w:val="00CC2E6E"/>
    <w:rsid w:val="00CC2F04"/>
    <w:rsid w:val="00CC2F55"/>
    <w:rsid w:val="00CC3077"/>
    <w:rsid w:val="00CC3092"/>
    <w:rsid w:val="00CC314B"/>
    <w:rsid w:val="00CC31E0"/>
    <w:rsid w:val="00CC326F"/>
    <w:rsid w:val="00CC3272"/>
    <w:rsid w:val="00CC335A"/>
    <w:rsid w:val="00CC33C2"/>
    <w:rsid w:val="00CC3526"/>
    <w:rsid w:val="00CC3555"/>
    <w:rsid w:val="00CC35DC"/>
    <w:rsid w:val="00CC3647"/>
    <w:rsid w:val="00CC3676"/>
    <w:rsid w:val="00CC3718"/>
    <w:rsid w:val="00CC373F"/>
    <w:rsid w:val="00CC381F"/>
    <w:rsid w:val="00CC385D"/>
    <w:rsid w:val="00CC386E"/>
    <w:rsid w:val="00CC38DF"/>
    <w:rsid w:val="00CC398D"/>
    <w:rsid w:val="00CC3A03"/>
    <w:rsid w:val="00CC3A13"/>
    <w:rsid w:val="00CC3B56"/>
    <w:rsid w:val="00CC3B62"/>
    <w:rsid w:val="00CC3B8C"/>
    <w:rsid w:val="00CC3C60"/>
    <w:rsid w:val="00CC3D32"/>
    <w:rsid w:val="00CC3D3F"/>
    <w:rsid w:val="00CC3D5D"/>
    <w:rsid w:val="00CC3D7D"/>
    <w:rsid w:val="00CC3E55"/>
    <w:rsid w:val="00CC3EC0"/>
    <w:rsid w:val="00CC4092"/>
    <w:rsid w:val="00CC4165"/>
    <w:rsid w:val="00CC41CD"/>
    <w:rsid w:val="00CC42F5"/>
    <w:rsid w:val="00CC4333"/>
    <w:rsid w:val="00CC4375"/>
    <w:rsid w:val="00CC43CC"/>
    <w:rsid w:val="00CC4439"/>
    <w:rsid w:val="00CC47EA"/>
    <w:rsid w:val="00CC49AB"/>
    <w:rsid w:val="00CC4A0C"/>
    <w:rsid w:val="00CC4AA7"/>
    <w:rsid w:val="00CC4BEF"/>
    <w:rsid w:val="00CC4C9E"/>
    <w:rsid w:val="00CC4E97"/>
    <w:rsid w:val="00CC4F83"/>
    <w:rsid w:val="00CC5037"/>
    <w:rsid w:val="00CC5038"/>
    <w:rsid w:val="00CC505D"/>
    <w:rsid w:val="00CC509E"/>
    <w:rsid w:val="00CC50BF"/>
    <w:rsid w:val="00CC51D5"/>
    <w:rsid w:val="00CC52B6"/>
    <w:rsid w:val="00CC531F"/>
    <w:rsid w:val="00CC53ED"/>
    <w:rsid w:val="00CC544C"/>
    <w:rsid w:val="00CC5450"/>
    <w:rsid w:val="00CC55BD"/>
    <w:rsid w:val="00CC56A1"/>
    <w:rsid w:val="00CC5706"/>
    <w:rsid w:val="00CC5850"/>
    <w:rsid w:val="00CC58DF"/>
    <w:rsid w:val="00CC5A74"/>
    <w:rsid w:val="00CC5AAA"/>
    <w:rsid w:val="00CC5AAB"/>
    <w:rsid w:val="00CC5AE2"/>
    <w:rsid w:val="00CC5B63"/>
    <w:rsid w:val="00CC5B72"/>
    <w:rsid w:val="00CC5B7A"/>
    <w:rsid w:val="00CC5B9D"/>
    <w:rsid w:val="00CC5BDC"/>
    <w:rsid w:val="00CC5C30"/>
    <w:rsid w:val="00CC5C6D"/>
    <w:rsid w:val="00CC5DEB"/>
    <w:rsid w:val="00CC5EFD"/>
    <w:rsid w:val="00CC5FDA"/>
    <w:rsid w:val="00CC6021"/>
    <w:rsid w:val="00CC6031"/>
    <w:rsid w:val="00CC60A3"/>
    <w:rsid w:val="00CC61B5"/>
    <w:rsid w:val="00CC6280"/>
    <w:rsid w:val="00CC62C4"/>
    <w:rsid w:val="00CC6305"/>
    <w:rsid w:val="00CC634F"/>
    <w:rsid w:val="00CC636C"/>
    <w:rsid w:val="00CC6462"/>
    <w:rsid w:val="00CC6546"/>
    <w:rsid w:val="00CC674B"/>
    <w:rsid w:val="00CC680C"/>
    <w:rsid w:val="00CC6828"/>
    <w:rsid w:val="00CC6927"/>
    <w:rsid w:val="00CC694B"/>
    <w:rsid w:val="00CC6977"/>
    <w:rsid w:val="00CC6AFD"/>
    <w:rsid w:val="00CC6B22"/>
    <w:rsid w:val="00CC6B9C"/>
    <w:rsid w:val="00CC6C16"/>
    <w:rsid w:val="00CC6DC6"/>
    <w:rsid w:val="00CC6F1F"/>
    <w:rsid w:val="00CC6FC6"/>
    <w:rsid w:val="00CC707F"/>
    <w:rsid w:val="00CC7097"/>
    <w:rsid w:val="00CC70D1"/>
    <w:rsid w:val="00CC7153"/>
    <w:rsid w:val="00CC7203"/>
    <w:rsid w:val="00CC72FA"/>
    <w:rsid w:val="00CC737F"/>
    <w:rsid w:val="00CC7455"/>
    <w:rsid w:val="00CC74B7"/>
    <w:rsid w:val="00CC74E5"/>
    <w:rsid w:val="00CC7573"/>
    <w:rsid w:val="00CC7635"/>
    <w:rsid w:val="00CC7671"/>
    <w:rsid w:val="00CC7717"/>
    <w:rsid w:val="00CC7723"/>
    <w:rsid w:val="00CC772B"/>
    <w:rsid w:val="00CC7796"/>
    <w:rsid w:val="00CC796D"/>
    <w:rsid w:val="00CC7992"/>
    <w:rsid w:val="00CC7AC3"/>
    <w:rsid w:val="00CC7B09"/>
    <w:rsid w:val="00CC7B50"/>
    <w:rsid w:val="00CC7BCB"/>
    <w:rsid w:val="00CC7C58"/>
    <w:rsid w:val="00CC7CFD"/>
    <w:rsid w:val="00CC7E0A"/>
    <w:rsid w:val="00CC7E19"/>
    <w:rsid w:val="00CC7F76"/>
    <w:rsid w:val="00CD0055"/>
    <w:rsid w:val="00CD0098"/>
    <w:rsid w:val="00CD00C8"/>
    <w:rsid w:val="00CD00D9"/>
    <w:rsid w:val="00CD013F"/>
    <w:rsid w:val="00CD032F"/>
    <w:rsid w:val="00CD0585"/>
    <w:rsid w:val="00CD05AC"/>
    <w:rsid w:val="00CD061C"/>
    <w:rsid w:val="00CD06D8"/>
    <w:rsid w:val="00CD0811"/>
    <w:rsid w:val="00CD0911"/>
    <w:rsid w:val="00CD0AC1"/>
    <w:rsid w:val="00CD0B24"/>
    <w:rsid w:val="00CD0BEF"/>
    <w:rsid w:val="00CD0C19"/>
    <w:rsid w:val="00CD0C3C"/>
    <w:rsid w:val="00CD0DEF"/>
    <w:rsid w:val="00CD0E93"/>
    <w:rsid w:val="00CD0F02"/>
    <w:rsid w:val="00CD0F04"/>
    <w:rsid w:val="00CD1103"/>
    <w:rsid w:val="00CD12B4"/>
    <w:rsid w:val="00CD12C6"/>
    <w:rsid w:val="00CD131A"/>
    <w:rsid w:val="00CD1435"/>
    <w:rsid w:val="00CD17CB"/>
    <w:rsid w:val="00CD17DA"/>
    <w:rsid w:val="00CD17E7"/>
    <w:rsid w:val="00CD18DF"/>
    <w:rsid w:val="00CD1A58"/>
    <w:rsid w:val="00CD1B1B"/>
    <w:rsid w:val="00CD1B5A"/>
    <w:rsid w:val="00CD1BFF"/>
    <w:rsid w:val="00CD1C2A"/>
    <w:rsid w:val="00CD1CC4"/>
    <w:rsid w:val="00CD1CFA"/>
    <w:rsid w:val="00CD1D48"/>
    <w:rsid w:val="00CD1D4B"/>
    <w:rsid w:val="00CD1D56"/>
    <w:rsid w:val="00CD1EAE"/>
    <w:rsid w:val="00CD20AE"/>
    <w:rsid w:val="00CD2142"/>
    <w:rsid w:val="00CD219F"/>
    <w:rsid w:val="00CD21EB"/>
    <w:rsid w:val="00CD2209"/>
    <w:rsid w:val="00CD2276"/>
    <w:rsid w:val="00CD22A0"/>
    <w:rsid w:val="00CD22C6"/>
    <w:rsid w:val="00CD2308"/>
    <w:rsid w:val="00CD232D"/>
    <w:rsid w:val="00CD235C"/>
    <w:rsid w:val="00CD23B2"/>
    <w:rsid w:val="00CD241A"/>
    <w:rsid w:val="00CD2487"/>
    <w:rsid w:val="00CD2535"/>
    <w:rsid w:val="00CD27AB"/>
    <w:rsid w:val="00CD28F5"/>
    <w:rsid w:val="00CD2902"/>
    <w:rsid w:val="00CD29F5"/>
    <w:rsid w:val="00CD2A08"/>
    <w:rsid w:val="00CD2A9E"/>
    <w:rsid w:val="00CD2B30"/>
    <w:rsid w:val="00CD2C55"/>
    <w:rsid w:val="00CD2CF6"/>
    <w:rsid w:val="00CD2CF7"/>
    <w:rsid w:val="00CD2D43"/>
    <w:rsid w:val="00CD2D6F"/>
    <w:rsid w:val="00CD2DAB"/>
    <w:rsid w:val="00CD2E39"/>
    <w:rsid w:val="00CD2E64"/>
    <w:rsid w:val="00CD310A"/>
    <w:rsid w:val="00CD315C"/>
    <w:rsid w:val="00CD3223"/>
    <w:rsid w:val="00CD3248"/>
    <w:rsid w:val="00CD32AB"/>
    <w:rsid w:val="00CD33C1"/>
    <w:rsid w:val="00CD3554"/>
    <w:rsid w:val="00CD36F5"/>
    <w:rsid w:val="00CD3770"/>
    <w:rsid w:val="00CD38BB"/>
    <w:rsid w:val="00CD38DF"/>
    <w:rsid w:val="00CD38FD"/>
    <w:rsid w:val="00CD3957"/>
    <w:rsid w:val="00CD3A32"/>
    <w:rsid w:val="00CD3AD0"/>
    <w:rsid w:val="00CD3C09"/>
    <w:rsid w:val="00CD3D6E"/>
    <w:rsid w:val="00CD3DA2"/>
    <w:rsid w:val="00CD3DC6"/>
    <w:rsid w:val="00CD3DFC"/>
    <w:rsid w:val="00CD3E5C"/>
    <w:rsid w:val="00CD3F14"/>
    <w:rsid w:val="00CD3F53"/>
    <w:rsid w:val="00CD4031"/>
    <w:rsid w:val="00CD413D"/>
    <w:rsid w:val="00CD417C"/>
    <w:rsid w:val="00CD42BB"/>
    <w:rsid w:val="00CD4317"/>
    <w:rsid w:val="00CD4335"/>
    <w:rsid w:val="00CD4466"/>
    <w:rsid w:val="00CD4548"/>
    <w:rsid w:val="00CD463A"/>
    <w:rsid w:val="00CD46DF"/>
    <w:rsid w:val="00CD471A"/>
    <w:rsid w:val="00CD4727"/>
    <w:rsid w:val="00CD47E8"/>
    <w:rsid w:val="00CD4A2F"/>
    <w:rsid w:val="00CD4A8A"/>
    <w:rsid w:val="00CD4B52"/>
    <w:rsid w:val="00CD4B82"/>
    <w:rsid w:val="00CD4D0A"/>
    <w:rsid w:val="00CD4E2F"/>
    <w:rsid w:val="00CD4E4D"/>
    <w:rsid w:val="00CD5190"/>
    <w:rsid w:val="00CD52D7"/>
    <w:rsid w:val="00CD53F1"/>
    <w:rsid w:val="00CD545A"/>
    <w:rsid w:val="00CD545E"/>
    <w:rsid w:val="00CD5525"/>
    <w:rsid w:val="00CD55ED"/>
    <w:rsid w:val="00CD5734"/>
    <w:rsid w:val="00CD5744"/>
    <w:rsid w:val="00CD57AB"/>
    <w:rsid w:val="00CD58A5"/>
    <w:rsid w:val="00CD5ABE"/>
    <w:rsid w:val="00CD5AE3"/>
    <w:rsid w:val="00CD5B45"/>
    <w:rsid w:val="00CD5B5D"/>
    <w:rsid w:val="00CD5B6A"/>
    <w:rsid w:val="00CD5BAF"/>
    <w:rsid w:val="00CD5BC9"/>
    <w:rsid w:val="00CD5EB2"/>
    <w:rsid w:val="00CD5EF4"/>
    <w:rsid w:val="00CD5F70"/>
    <w:rsid w:val="00CD601B"/>
    <w:rsid w:val="00CD612E"/>
    <w:rsid w:val="00CD6162"/>
    <w:rsid w:val="00CD6181"/>
    <w:rsid w:val="00CD6316"/>
    <w:rsid w:val="00CD6358"/>
    <w:rsid w:val="00CD63DE"/>
    <w:rsid w:val="00CD6554"/>
    <w:rsid w:val="00CD6563"/>
    <w:rsid w:val="00CD6783"/>
    <w:rsid w:val="00CD67F6"/>
    <w:rsid w:val="00CD69A9"/>
    <w:rsid w:val="00CD69F3"/>
    <w:rsid w:val="00CD6A5C"/>
    <w:rsid w:val="00CD6AD2"/>
    <w:rsid w:val="00CD6ADA"/>
    <w:rsid w:val="00CD6B36"/>
    <w:rsid w:val="00CD6E6B"/>
    <w:rsid w:val="00CD6EA7"/>
    <w:rsid w:val="00CD6F1C"/>
    <w:rsid w:val="00CD6F74"/>
    <w:rsid w:val="00CD6FDA"/>
    <w:rsid w:val="00CD7039"/>
    <w:rsid w:val="00CD70BA"/>
    <w:rsid w:val="00CD7106"/>
    <w:rsid w:val="00CD715F"/>
    <w:rsid w:val="00CD72FC"/>
    <w:rsid w:val="00CD734C"/>
    <w:rsid w:val="00CD73D0"/>
    <w:rsid w:val="00CD7583"/>
    <w:rsid w:val="00CD7684"/>
    <w:rsid w:val="00CD775C"/>
    <w:rsid w:val="00CD78E2"/>
    <w:rsid w:val="00CD78E8"/>
    <w:rsid w:val="00CD797D"/>
    <w:rsid w:val="00CD7B86"/>
    <w:rsid w:val="00CD7C5E"/>
    <w:rsid w:val="00CD7CF7"/>
    <w:rsid w:val="00CD7D67"/>
    <w:rsid w:val="00CD7E2A"/>
    <w:rsid w:val="00CD7E47"/>
    <w:rsid w:val="00CD7E50"/>
    <w:rsid w:val="00CD7E9D"/>
    <w:rsid w:val="00CD7FA4"/>
    <w:rsid w:val="00CE0094"/>
    <w:rsid w:val="00CE009C"/>
    <w:rsid w:val="00CE0164"/>
    <w:rsid w:val="00CE0230"/>
    <w:rsid w:val="00CE0296"/>
    <w:rsid w:val="00CE02BD"/>
    <w:rsid w:val="00CE0300"/>
    <w:rsid w:val="00CE0307"/>
    <w:rsid w:val="00CE030D"/>
    <w:rsid w:val="00CE039E"/>
    <w:rsid w:val="00CE0475"/>
    <w:rsid w:val="00CE0487"/>
    <w:rsid w:val="00CE04D9"/>
    <w:rsid w:val="00CE0514"/>
    <w:rsid w:val="00CE0596"/>
    <w:rsid w:val="00CE059C"/>
    <w:rsid w:val="00CE0638"/>
    <w:rsid w:val="00CE0643"/>
    <w:rsid w:val="00CE065C"/>
    <w:rsid w:val="00CE066A"/>
    <w:rsid w:val="00CE06EF"/>
    <w:rsid w:val="00CE0872"/>
    <w:rsid w:val="00CE088D"/>
    <w:rsid w:val="00CE0937"/>
    <w:rsid w:val="00CE09F9"/>
    <w:rsid w:val="00CE0A28"/>
    <w:rsid w:val="00CE0A89"/>
    <w:rsid w:val="00CE0AEA"/>
    <w:rsid w:val="00CE0B46"/>
    <w:rsid w:val="00CE0C0C"/>
    <w:rsid w:val="00CE0C20"/>
    <w:rsid w:val="00CE0C3A"/>
    <w:rsid w:val="00CE0D9A"/>
    <w:rsid w:val="00CE0E32"/>
    <w:rsid w:val="00CE0F0B"/>
    <w:rsid w:val="00CE0F66"/>
    <w:rsid w:val="00CE0F6C"/>
    <w:rsid w:val="00CE0FDC"/>
    <w:rsid w:val="00CE1087"/>
    <w:rsid w:val="00CE10AD"/>
    <w:rsid w:val="00CE1104"/>
    <w:rsid w:val="00CE1181"/>
    <w:rsid w:val="00CE11EF"/>
    <w:rsid w:val="00CE1229"/>
    <w:rsid w:val="00CE1282"/>
    <w:rsid w:val="00CE12B6"/>
    <w:rsid w:val="00CE1345"/>
    <w:rsid w:val="00CE1354"/>
    <w:rsid w:val="00CE1363"/>
    <w:rsid w:val="00CE137F"/>
    <w:rsid w:val="00CE13EB"/>
    <w:rsid w:val="00CE1789"/>
    <w:rsid w:val="00CE17ED"/>
    <w:rsid w:val="00CE1868"/>
    <w:rsid w:val="00CE1892"/>
    <w:rsid w:val="00CE19EF"/>
    <w:rsid w:val="00CE1A09"/>
    <w:rsid w:val="00CE1A30"/>
    <w:rsid w:val="00CE1B06"/>
    <w:rsid w:val="00CE1B50"/>
    <w:rsid w:val="00CE1C3D"/>
    <w:rsid w:val="00CE1C94"/>
    <w:rsid w:val="00CE1DBA"/>
    <w:rsid w:val="00CE1E6F"/>
    <w:rsid w:val="00CE2166"/>
    <w:rsid w:val="00CE22DF"/>
    <w:rsid w:val="00CE2506"/>
    <w:rsid w:val="00CE2654"/>
    <w:rsid w:val="00CE2819"/>
    <w:rsid w:val="00CE28C4"/>
    <w:rsid w:val="00CE2903"/>
    <w:rsid w:val="00CE291A"/>
    <w:rsid w:val="00CE2AEF"/>
    <w:rsid w:val="00CE2B59"/>
    <w:rsid w:val="00CE2BC0"/>
    <w:rsid w:val="00CE2BDF"/>
    <w:rsid w:val="00CE2D11"/>
    <w:rsid w:val="00CE2DAD"/>
    <w:rsid w:val="00CE2F09"/>
    <w:rsid w:val="00CE2FCB"/>
    <w:rsid w:val="00CE2FE3"/>
    <w:rsid w:val="00CE30BB"/>
    <w:rsid w:val="00CE323E"/>
    <w:rsid w:val="00CE3274"/>
    <w:rsid w:val="00CE3368"/>
    <w:rsid w:val="00CE336A"/>
    <w:rsid w:val="00CE3422"/>
    <w:rsid w:val="00CE352C"/>
    <w:rsid w:val="00CE37DC"/>
    <w:rsid w:val="00CE383B"/>
    <w:rsid w:val="00CE38E4"/>
    <w:rsid w:val="00CE3A9C"/>
    <w:rsid w:val="00CE3B24"/>
    <w:rsid w:val="00CE3B2D"/>
    <w:rsid w:val="00CE3CAC"/>
    <w:rsid w:val="00CE3DC0"/>
    <w:rsid w:val="00CE3E14"/>
    <w:rsid w:val="00CE3ECC"/>
    <w:rsid w:val="00CE3F3B"/>
    <w:rsid w:val="00CE421D"/>
    <w:rsid w:val="00CE427E"/>
    <w:rsid w:val="00CE42E6"/>
    <w:rsid w:val="00CE4389"/>
    <w:rsid w:val="00CE4445"/>
    <w:rsid w:val="00CE454B"/>
    <w:rsid w:val="00CE4798"/>
    <w:rsid w:val="00CE4829"/>
    <w:rsid w:val="00CE4852"/>
    <w:rsid w:val="00CE48CA"/>
    <w:rsid w:val="00CE4B19"/>
    <w:rsid w:val="00CE4BC5"/>
    <w:rsid w:val="00CE4C31"/>
    <w:rsid w:val="00CE4C82"/>
    <w:rsid w:val="00CE4CF2"/>
    <w:rsid w:val="00CE4D8F"/>
    <w:rsid w:val="00CE4DE3"/>
    <w:rsid w:val="00CE4EAE"/>
    <w:rsid w:val="00CE4F2F"/>
    <w:rsid w:val="00CE4F37"/>
    <w:rsid w:val="00CE5139"/>
    <w:rsid w:val="00CE515E"/>
    <w:rsid w:val="00CE5226"/>
    <w:rsid w:val="00CE5239"/>
    <w:rsid w:val="00CE524F"/>
    <w:rsid w:val="00CE5254"/>
    <w:rsid w:val="00CE53EB"/>
    <w:rsid w:val="00CE5487"/>
    <w:rsid w:val="00CE54C5"/>
    <w:rsid w:val="00CE5539"/>
    <w:rsid w:val="00CE556D"/>
    <w:rsid w:val="00CE5687"/>
    <w:rsid w:val="00CE56C7"/>
    <w:rsid w:val="00CE5A5C"/>
    <w:rsid w:val="00CE5A62"/>
    <w:rsid w:val="00CE5ADB"/>
    <w:rsid w:val="00CE5B9C"/>
    <w:rsid w:val="00CE5C12"/>
    <w:rsid w:val="00CE5D0A"/>
    <w:rsid w:val="00CE5E1F"/>
    <w:rsid w:val="00CE5EE7"/>
    <w:rsid w:val="00CE5F22"/>
    <w:rsid w:val="00CE5F61"/>
    <w:rsid w:val="00CE6000"/>
    <w:rsid w:val="00CE6027"/>
    <w:rsid w:val="00CE60A5"/>
    <w:rsid w:val="00CE61AE"/>
    <w:rsid w:val="00CE61E9"/>
    <w:rsid w:val="00CE6393"/>
    <w:rsid w:val="00CE63E8"/>
    <w:rsid w:val="00CE651C"/>
    <w:rsid w:val="00CE654E"/>
    <w:rsid w:val="00CE6561"/>
    <w:rsid w:val="00CE6660"/>
    <w:rsid w:val="00CE6723"/>
    <w:rsid w:val="00CE675C"/>
    <w:rsid w:val="00CE6789"/>
    <w:rsid w:val="00CE6835"/>
    <w:rsid w:val="00CE68F5"/>
    <w:rsid w:val="00CE6919"/>
    <w:rsid w:val="00CE6A5B"/>
    <w:rsid w:val="00CE6B6E"/>
    <w:rsid w:val="00CE6CEA"/>
    <w:rsid w:val="00CE6E97"/>
    <w:rsid w:val="00CE6EB5"/>
    <w:rsid w:val="00CE6F4D"/>
    <w:rsid w:val="00CE6F5B"/>
    <w:rsid w:val="00CE6F76"/>
    <w:rsid w:val="00CE710A"/>
    <w:rsid w:val="00CE7328"/>
    <w:rsid w:val="00CE7440"/>
    <w:rsid w:val="00CE7511"/>
    <w:rsid w:val="00CE7706"/>
    <w:rsid w:val="00CE770C"/>
    <w:rsid w:val="00CE7748"/>
    <w:rsid w:val="00CE7911"/>
    <w:rsid w:val="00CE7917"/>
    <w:rsid w:val="00CE791F"/>
    <w:rsid w:val="00CE7943"/>
    <w:rsid w:val="00CE7A28"/>
    <w:rsid w:val="00CE7A4A"/>
    <w:rsid w:val="00CE7A95"/>
    <w:rsid w:val="00CE7BF9"/>
    <w:rsid w:val="00CE7C53"/>
    <w:rsid w:val="00CE7C70"/>
    <w:rsid w:val="00CE7CAE"/>
    <w:rsid w:val="00CE7D11"/>
    <w:rsid w:val="00CE7D9E"/>
    <w:rsid w:val="00CE7F39"/>
    <w:rsid w:val="00CF0033"/>
    <w:rsid w:val="00CF0227"/>
    <w:rsid w:val="00CF024F"/>
    <w:rsid w:val="00CF037C"/>
    <w:rsid w:val="00CF03F4"/>
    <w:rsid w:val="00CF0467"/>
    <w:rsid w:val="00CF04AD"/>
    <w:rsid w:val="00CF050D"/>
    <w:rsid w:val="00CF052F"/>
    <w:rsid w:val="00CF05A9"/>
    <w:rsid w:val="00CF0689"/>
    <w:rsid w:val="00CF07A7"/>
    <w:rsid w:val="00CF07CB"/>
    <w:rsid w:val="00CF0873"/>
    <w:rsid w:val="00CF08C8"/>
    <w:rsid w:val="00CF09B5"/>
    <w:rsid w:val="00CF09D4"/>
    <w:rsid w:val="00CF09EE"/>
    <w:rsid w:val="00CF0A48"/>
    <w:rsid w:val="00CF0BC9"/>
    <w:rsid w:val="00CF0BCC"/>
    <w:rsid w:val="00CF0C81"/>
    <w:rsid w:val="00CF0C87"/>
    <w:rsid w:val="00CF0D86"/>
    <w:rsid w:val="00CF0DA5"/>
    <w:rsid w:val="00CF0F43"/>
    <w:rsid w:val="00CF0FE4"/>
    <w:rsid w:val="00CF1029"/>
    <w:rsid w:val="00CF104B"/>
    <w:rsid w:val="00CF10BF"/>
    <w:rsid w:val="00CF121C"/>
    <w:rsid w:val="00CF1247"/>
    <w:rsid w:val="00CF12DD"/>
    <w:rsid w:val="00CF1305"/>
    <w:rsid w:val="00CF13FD"/>
    <w:rsid w:val="00CF1502"/>
    <w:rsid w:val="00CF1675"/>
    <w:rsid w:val="00CF16C0"/>
    <w:rsid w:val="00CF1710"/>
    <w:rsid w:val="00CF173C"/>
    <w:rsid w:val="00CF1740"/>
    <w:rsid w:val="00CF17B9"/>
    <w:rsid w:val="00CF17FF"/>
    <w:rsid w:val="00CF18E8"/>
    <w:rsid w:val="00CF18F1"/>
    <w:rsid w:val="00CF1957"/>
    <w:rsid w:val="00CF19EC"/>
    <w:rsid w:val="00CF1A44"/>
    <w:rsid w:val="00CF1AF8"/>
    <w:rsid w:val="00CF1CBD"/>
    <w:rsid w:val="00CF1DFE"/>
    <w:rsid w:val="00CF1F41"/>
    <w:rsid w:val="00CF1FC3"/>
    <w:rsid w:val="00CF2367"/>
    <w:rsid w:val="00CF23EB"/>
    <w:rsid w:val="00CF23EF"/>
    <w:rsid w:val="00CF2417"/>
    <w:rsid w:val="00CF2539"/>
    <w:rsid w:val="00CF2559"/>
    <w:rsid w:val="00CF2632"/>
    <w:rsid w:val="00CF26CA"/>
    <w:rsid w:val="00CF276A"/>
    <w:rsid w:val="00CF28D2"/>
    <w:rsid w:val="00CF2A1F"/>
    <w:rsid w:val="00CF2A5E"/>
    <w:rsid w:val="00CF2EC7"/>
    <w:rsid w:val="00CF2F01"/>
    <w:rsid w:val="00CF2F0A"/>
    <w:rsid w:val="00CF30D5"/>
    <w:rsid w:val="00CF3186"/>
    <w:rsid w:val="00CF31A7"/>
    <w:rsid w:val="00CF329F"/>
    <w:rsid w:val="00CF3328"/>
    <w:rsid w:val="00CF338D"/>
    <w:rsid w:val="00CF348A"/>
    <w:rsid w:val="00CF3569"/>
    <w:rsid w:val="00CF35B0"/>
    <w:rsid w:val="00CF37A1"/>
    <w:rsid w:val="00CF37D2"/>
    <w:rsid w:val="00CF38A7"/>
    <w:rsid w:val="00CF3A45"/>
    <w:rsid w:val="00CF3A5F"/>
    <w:rsid w:val="00CF3AF2"/>
    <w:rsid w:val="00CF3B96"/>
    <w:rsid w:val="00CF3C4A"/>
    <w:rsid w:val="00CF3DC3"/>
    <w:rsid w:val="00CF3E88"/>
    <w:rsid w:val="00CF3F64"/>
    <w:rsid w:val="00CF3FD7"/>
    <w:rsid w:val="00CF41E5"/>
    <w:rsid w:val="00CF42FD"/>
    <w:rsid w:val="00CF4305"/>
    <w:rsid w:val="00CF4486"/>
    <w:rsid w:val="00CF4574"/>
    <w:rsid w:val="00CF457D"/>
    <w:rsid w:val="00CF4661"/>
    <w:rsid w:val="00CF4725"/>
    <w:rsid w:val="00CF4813"/>
    <w:rsid w:val="00CF4876"/>
    <w:rsid w:val="00CF4A50"/>
    <w:rsid w:val="00CF4B2C"/>
    <w:rsid w:val="00CF4D29"/>
    <w:rsid w:val="00CF4E13"/>
    <w:rsid w:val="00CF4F9B"/>
    <w:rsid w:val="00CF5150"/>
    <w:rsid w:val="00CF5178"/>
    <w:rsid w:val="00CF51AD"/>
    <w:rsid w:val="00CF51B5"/>
    <w:rsid w:val="00CF52D4"/>
    <w:rsid w:val="00CF533D"/>
    <w:rsid w:val="00CF55AE"/>
    <w:rsid w:val="00CF560F"/>
    <w:rsid w:val="00CF5652"/>
    <w:rsid w:val="00CF565A"/>
    <w:rsid w:val="00CF56A4"/>
    <w:rsid w:val="00CF57D3"/>
    <w:rsid w:val="00CF590D"/>
    <w:rsid w:val="00CF59C5"/>
    <w:rsid w:val="00CF5A88"/>
    <w:rsid w:val="00CF5AB3"/>
    <w:rsid w:val="00CF5ACD"/>
    <w:rsid w:val="00CF5B08"/>
    <w:rsid w:val="00CF5C00"/>
    <w:rsid w:val="00CF5D94"/>
    <w:rsid w:val="00CF5ED2"/>
    <w:rsid w:val="00CF5FE0"/>
    <w:rsid w:val="00CF60B3"/>
    <w:rsid w:val="00CF6202"/>
    <w:rsid w:val="00CF625D"/>
    <w:rsid w:val="00CF6457"/>
    <w:rsid w:val="00CF64A3"/>
    <w:rsid w:val="00CF64C5"/>
    <w:rsid w:val="00CF64F4"/>
    <w:rsid w:val="00CF6525"/>
    <w:rsid w:val="00CF65AF"/>
    <w:rsid w:val="00CF65D6"/>
    <w:rsid w:val="00CF65D9"/>
    <w:rsid w:val="00CF65E9"/>
    <w:rsid w:val="00CF65EB"/>
    <w:rsid w:val="00CF669A"/>
    <w:rsid w:val="00CF67E9"/>
    <w:rsid w:val="00CF684A"/>
    <w:rsid w:val="00CF6860"/>
    <w:rsid w:val="00CF697A"/>
    <w:rsid w:val="00CF6A2F"/>
    <w:rsid w:val="00CF6A99"/>
    <w:rsid w:val="00CF6B1E"/>
    <w:rsid w:val="00CF6B9A"/>
    <w:rsid w:val="00CF6C1A"/>
    <w:rsid w:val="00CF6E1F"/>
    <w:rsid w:val="00CF6EAF"/>
    <w:rsid w:val="00CF7068"/>
    <w:rsid w:val="00CF70BF"/>
    <w:rsid w:val="00CF70C1"/>
    <w:rsid w:val="00CF70DA"/>
    <w:rsid w:val="00CF7260"/>
    <w:rsid w:val="00CF7294"/>
    <w:rsid w:val="00CF7305"/>
    <w:rsid w:val="00CF7395"/>
    <w:rsid w:val="00CF7469"/>
    <w:rsid w:val="00CF7547"/>
    <w:rsid w:val="00CF7566"/>
    <w:rsid w:val="00CF75D5"/>
    <w:rsid w:val="00CF7631"/>
    <w:rsid w:val="00CF779A"/>
    <w:rsid w:val="00CF7856"/>
    <w:rsid w:val="00CF7871"/>
    <w:rsid w:val="00CF7913"/>
    <w:rsid w:val="00CF7914"/>
    <w:rsid w:val="00CF7927"/>
    <w:rsid w:val="00CF7985"/>
    <w:rsid w:val="00CF79BB"/>
    <w:rsid w:val="00CF7A68"/>
    <w:rsid w:val="00CF7AC7"/>
    <w:rsid w:val="00CF7B22"/>
    <w:rsid w:val="00CF7B41"/>
    <w:rsid w:val="00CF7C8A"/>
    <w:rsid w:val="00CF7CBE"/>
    <w:rsid w:val="00CF7E7A"/>
    <w:rsid w:val="00CF7F92"/>
    <w:rsid w:val="00D00123"/>
    <w:rsid w:val="00D00145"/>
    <w:rsid w:val="00D00304"/>
    <w:rsid w:val="00D00312"/>
    <w:rsid w:val="00D0031D"/>
    <w:rsid w:val="00D0033F"/>
    <w:rsid w:val="00D00347"/>
    <w:rsid w:val="00D00367"/>
    <w:rsid w:val="00D00398"/>
    <w:rsid w:val="00D003AA"/>
    <w:rsid w:val="00D00458"/>
    <w:rsid w:val="00D0047C"/>
    <w:rsid w:val="00D004E9"/>
    <w:rsid w:val="00D0064F"/>
    <w:rsid w:val="00D00718"/>
    <w:rsid w:val="00D00794"/>
    <w:rsid w:val="00D00903"/>
    <w:rsid w:val="00D0092C"/>
    <w:rsid w:val="00D0099A"/>
    <w:rsid w:val="00D00A9F"/>
    <w:rsid w:val="00D00B64"/>
    <w:rsid w:val="00D00BAC"/>
    <w:rsid w:val="00D00C9A"/>
    <w:rsid w:val="00D00CA4"/>
    <w:rsid w:val="00D00D99"/>
    <w:rsid w:val="00D00E43"/>
    <w:rsid w:val="00D00EEE"/>
    <w:rsid w:val="00D00F91"/>
    <w:rsid w:val="00D00F99"/>
    <w:rsid w:val="00D01007"/>
    <w:rsid w:val="00D01015"/>
    <w:rsid w:val="00D01034"/>
    <w:rsid w:val="00D01064"/>
    <w:rsid w:val="00D01144"/>
    <w:rsid w:val="00D011C5"/>
    <w:rsid w:val="00D0130B"/>
    <w:rsid w:val="00D0136D"/>
    <w:rsid w:val="00D014D9"/>
    <w:rsid w:val="00D01672"/>
    <w:rsid w:val="00D0172F"/>
    <w:rsid w:val="00D017B0"/>
    <w:rsid w:val="00D017F9"/>
    <w:rsid w:val="00D01895"/>
    <w:rsid w:val="00D01ADF"/>
    <w:rsid w:val="00D01C54"/>
    <w:rsid w:val="00D01C86"/>
    <w:rsid w:val="00D01D31"/>
    <w:rsid w:val="00D01ECC"/>
    <w:rsid w:val="00D01FBF"/>
    <w:rsid w:val="00D01FF3"/>
    <w:rsid w:val="00D0207E"/>
    <w:rsid w:val="00D0218E"/>
    <w:rsid w:val="00D021B0"/>
    <w:rsid w:val="00D0225A"/>
    <w:rsid w:val="00D02318"/>
    <w:rsid w:val="00D02445"/>
    <w:rsid w:val="00D02482"/>
    <w:rsid w:val="00D02558"/>
    <w:rsid w:val="00D02568"/>
    <w:rsid w:val="00D02644"/>
    <w:rsid w:val="00D02647"/>
    <w:rsid w:val="00D02648"/>
    <w:rsid w:val="00D02656"/>
    <w:rsid w:val="00D026ED"/>
    <w:rsid w:val="00D0273E"/>
    <w:rsid w:val="00D0280E"/>
    <w:rsid w:val="00D02AC6"/>
    <w:rsid w:val="00D02C5A"/>
    <w:rsid w:val="00D02D00"/>
    <w:rsid w:val="00D02D07"/>
    <w:rsid w:val="00D02D6E"/>
    <w:rsid w:val="00D02FD7"/>
    <w:rsid w:val="00D030D7"/>
    <w:rsid w:val="00D03123"/>
    <w:rsid w:val="00D03314"/>
    <w:rsid w:val="00D03411"/>
    <w:rsid w:val="00D0342D"/>
    <w:rsid w:val="00D03432"/>
    <w:rsid w:val="00D03471"/>
    <w:rsid w:val="00D0352C"/>
    <w:rsid w:val="00D0368F"/>
    <w:rsid w:val="00D036AA"/>
    <w:rsid w:val="00D036D0"/>
    <w:rsid w:val="00D036ED"/>
    <w:rsid w:val="00D03742"/>
    <w:rsid w:val="00D0392F"/>
    <w:rsid w:val="00D039D7"/>
    <w:rsid w:val="00D039EE"/>
    <w:rsid w:val="00D03A4E"/>
    <w:rsid w:val="00D03A5F"/>
    <w:rsid w:val="00D03C3E"/>
    <w:rsid w:val="00D03C7C"/>
    <w:rsid w:val="00D03CF9"/>
    <w:rsid w:val="00D03E39"/>
    <w:rsid w:val="00D03E51"/>
    <w:rsid w:val="00D03E6F"/>
    <w:rsid w:val="00D04092"/>
    <w:rsid w:val="00D040EE"/>
    <w:rsid w:val="00D0415C"/>
    <w:rsid w:val="00D04179"/>
    <w:rsid w:val="00D0418B"/>
    <w:rsid w:val="00D04203"/>
    <w:rsid w:val="00D0427E"/>
    <w:rsid w:val="00D04328"/>
    <w:rsid w:val="00D04412"/>
    <w:rsid w:val="00D04446"/>
    <w:rsid w:val="00D0444F"/>
    <w:rsid w:val="00D0458B"/>
    <w:rsid w:val="00D0460D"/>
    <w:rsid w:val="00D046AD"/>
    <w:rsid w:val="00D04711"/>
    <w:rsid w:val="00D0471D"/>
    <w:rsid w:val="00D047FA"/>
    <w:rsid w:val="00D0492F"/>
    <w:rsid w:val="00D0493D"/>
    <w:rsid w:val="00D0497A"/>
    <w:rsid w:val="00D049A4"/>
    <w:rsid w:val="00D04A6D"/>
    <w:rsid w:val="00D04AEA"/>
    <w:rsid w:val="00D04B5F"/>
    <w:rsid w:val="00D04C20"/>
    <w:rsid w:val="00D04CA9"/>
    <w:rsid w:val="00D04D24"/>
    <w:rsid w:val="00D04D7F"/>
    <w:rsid w:val="00D04DB4"/>
    <w:rsid w:val="00D04DCA"/>
    <w:rsid w:val="00D04ECF"/>
    <w:rsid w:val="00D04F59"/>
    <w:rsid w:val="00D04F8E"/>
    <w:rsid w:val="00D050D3"/>
    <w:rsid w:val="00D050DF"/>
    <w:rsid w:val="00D051A4"/>
    <w:rsid w:val="00D05258"/>
    <w:rsid w:val="00D054B7"/>
    <w:rsid w:val="00D055A8"/>
    <w:rsid w:val="00D055AD"/>
    <w:rsid w:val="00D05601"/>
    <w:rsid w:val="00D05617"/>
    <w:rsid w:val="00D05649"/>
    <w:rsid w:val="00D056AC"/>
    <w:rsid w:val="00D0576F"/>
    <w:rsid w:val="00D057BF"/>
    <w:rsid w:val="00D0589E"/>
    <w:rsid w:val="00D058FF"/>
    <w:rsid w:val="00D0596D"/>
    <w:rsid w:val="00D0598B"/>
    <w:rsid w:val="00D05B58"/>
    <w:rsid w:val="00D05CD5"/>
    <w:rsid w:val="00D05CF0"/>
    <w:rsid w:val="00D05D1A"/>
    <w:rsid w:val="00D05DEB"/>
    <w:rsid w:val="00D05E1C"/>
    <w:rsid w:val="00D05E55"/>
    <w:rsid w:val="00D05E64"/>
    <w:rsid w:val="00D05E89"/>
    <w:rsid w:val="00D05F63"/>
    <w:rsid w:val="00D0613F"/>
    <w:rsid w:val="00D06141"/>
    <w:rsid w:val="00D06152"/>
    <w:rsid w:val="00D061FF"/>
    <w:rsid w:val="00D06217"/>
    <w:rsid w:val="00D06236"/>
    <w:rsid w:val="00D06366"/>
    <w:rsid w:val="00D064CE"/>
    <w:rsid w:val="00D0652B"/>
    <w:rsid w:val="00D06609"/>
    <w:rsid w:val="00D06783"/>
    <w:rsid w:val="00D069BF"/>
    <w:rsid w:val="00D069C4"/>
    <w:rsid w:val="00D06A81"/>
    <w:rsid w:val="00D06AD2"/>
    <w:rsid w:val="00D06B13"/>
    <w:rsid w:val="00D06B28"/>
    <w:rsid w:val="00D06BF0"/>
    <w:rsid w:val="00D06CF7"/>
    <w:rsid w:val="00D06DC8"/>
    <w:rsid w:val="00D06EA2"/>
    <w:rsid w:val="00D07005"/>
    <w:rsid w:val="00D070A0"/>
    <w:rsid w:val="00D07127"/>
    <w:rsid w:val="00D07186"/>
    <w:rsid w:val="00D0719B"/>
    <w:rsid w:val="00D07224"/>
    <w:rsid w:val="00D0723F"/>
    <w:rsid w:val="00D0724C"/>
    <w:rsid w:val="00D072B9"/>
    <w:rsid w:val="00D07425"/>
    <w:rsid w:val="00D07450"/>
    <w:rsid w:val="00D074D9"/>
    <w:rsid w:val="00D07617"/>
    <w:rsid w:val="00D07625"/>
    <w:rsid w:val="00D07682"/>
    <w:rsid w:val="00D076E9"/>
    <w:rsid w:val="00D07771"/>
    <w:rsid w:val="00D078F4"/>
    <w:rsid w:val="00D07912"/>
    <w:rsid w:val="00D07AE0"/>
    <w:rsid w:val="00D07AE9"/>
    <w:rsid w:val="00D07B57"/>
    <w:rsid w:val="00D07B61"/>
    <w:rsid w:val="00D07C49"/>
    <w:rsid w:val="00D07D03"/>
    <w:rsid w:val="00D07D0F"/>
    <w:rsid w:val="00D07E58"/>
    <w:rsid w:val="00D07EE2"/>
    <w:rsid w:val="00D10016"/>
    <w:rsid w:val="00D1007E"/>
    <w:rsid w:val="00D10160"/>
    <w:rsid w:val="00D10165"/>
    <w:rsid w:val="00D101E5"/>
    <w:rsid w:val="00D10251"/>
    <w:rsid w:val="00D10290"/>
    <w:rsid w:val="00D102E4"/>
    <w:rsid w:val="00D102F1"/>
    <w:rsid w:val="00D10330"/>
    <w:rsid w:val="00D10602"/>
    <w:rsid w:val="00D107CA"/>
    <w:rsid w:val="00D10895"/>
    <w:rsid w:val="00D108A8"/>
    <w:rsid w:val="00D108F3"/>
    <w:rsid w:val="00D10912"/>
    <w:rsid w:val="00D109ED"/>
    <w:rsid w:val="00D10B93"/>
    <w:rsid w:val="00D10C46"/>
    <w:rsid w:val="00D10DA9"/>
    <w:rsid w:val="00D10F1E"/>
    <w:rsid w:val="00D10FA7"/>
    <w:rsid w:val="00D110FE"/>
    <w:rsid w:val="00D1119A"/>
    <w:rsid w:val="00D111E7"/>
    <w:rsid w:val="00D1130E"/>
    <w:rsid w:val="00D1131D"/>
    <w:rsid w:val="00D114EC"/>
    <w:rsid w:val="00D114F1"/>
    <w:rsid w:val="00D11526"/>
    <w:rsid w:val="00D11532"/>
    <w:rsid w:val="00D11539"/>
    <w:rsid w:val="00D115A4"/>
    <w:rsid w:val="00D115B6"/>
    <w:rsid w:val="00D1177D"/>
    <w:rsid w:val="00D117B5"/>
    <w:rsid w:val="00D117F7"/>
    <w:rsid w:val="00D11879"/>
    <w:rsid w:val="00D118C4"/>
    <w:rsid w:val="00D11B6B"/>
    <w:rsid w:val="00D11BDB"/>
    <w:rsid w:val="00D11C2D"/>
    <w:rsid w:val="00D11CB4"/>
    <w:rsid w:val="00D11CF7"/>
    <w:rsid w:val="00D11D17"/>
    <w:rsid w:val="00D11DA5"/>
    <w:rsid w:val="00D11EF9"/>
    <w:rsid w:val="00D11F7B"/>
    <w:rsid w:val="00D1203B"/>
    <w:rsid w:val="00D1209C"/>
    <w:rsid w:val="00D12128"/>
    <w:rsid w:val="00D12249"/>
    <w:rsid w:val="00D12344"/>
    <w:rsid w:val="00D12347"/>
    <w:rsid w:val="00D12555"/>
    <w:rsid w:val="00D12644"/>
    <w:rsid w:val="00D12872"/>
    <w:rsid w:val="00D128F3"/>
    <w:rsid w:val="00D12999"/>
    <w:rsid w:val="00D12ACB"/>
    <w:rsid w:val="00D12C8A"/>
    <w:rsid w:val="00D12D2A"/>
    <w:rsid w:val="00D12D3B"/>
    <w:rsid w:val="00D12E2C"/>
    <w:rsid w:val="00D12E55"/>
    <w:rsid w:val="00D12EEC"/>
    <w:rsid w:val="00D12FD8"/>
    <w:rsid w:val="00D1300B"/>
    <w:rsid w:val="00D13032"/>
    <w:rsid w:val="00D132E5"/>
    <w:rsid w:val="00D13412"/>
    <w:rsid w:val="00D134C2"/>
    <w:rsid w:val="00D13713"/>
    <w:rsid w:val="00D1376F"/>
    <w:rsid w:val="00D139AB"/>
    <w:rsid w:val="00D13A1F"/>
    <w:rsid w:val="00D13AA8"/>
    <w:rsid w:val="00D13B01"/>
    <w:rsid w:val="00D13C8A"/>
    <w:rsid w:val="00D13CEC"/>
    <w:rsid w:val="00D13D0C"/>
    <w:rsid w:val="00D13D16"/>
    <w:rsid w:val="00D13D1F"/>
    <w:rsid w:val="00D13D37"/>
    <w:rsid w:val="00D13E89"/>
    <w:rsid w:val="00D13F6B"/>
    <w:rsid w:val="00D13F92"/>
    <w:rsid w:val="00D13FDD"/>
    <w:rsid w:val="00D1405F"/>
    <w:rsid w:val="00D140D4"/>
    <w:rsid w:val="00D140E9"/>
    <w:rsid w:val="00D14120"/>
    <w:rsid w:val="00D141B7"/>
    <w:rsid w:val="00D141CE"/>
    <w:rsid w:val="00D14235"/>
    <w:rsid w:val="00D1438A"/>
    <w:rsid w:val="00D14400"/>
    <w:rsid w:val="00D14433"/>
    <w:rsid w:val="00D1447C"/>
    <w:rsid w:val="00D144A9"/>
    <w:rsid w:val="00D144F1"/>
    <w:rsid w:val="00D145B5"/>
    <w:rsid w:val="00D145E8"/>
    <w:rsid w:val="00D14697"/>
    <w:rsid w:val="00D1470C"/>
    <w:rsid w:val="00D14A32"/>
    <w:rsid w:val="00D14BB6"/>
    <w:rsid w:val="00D14D2B"/>
    <w:rsid w:val="00D14E2B"/>
    <w:rsid w:val="00D14E33"/>
    <w:rsid w:val="00D14ED5"/>
    <w:rsid w:val="00D14F32"/>
    <w:rsid w:val="00D14F99"/>
    <w:rsid w:val="00D14FC6"/>
    <w:rsid w:val="00D15074"/>
    <w:rsid w:val="00D152C5"/>
    <w:rsid w:val="00D152D4"/>
    <w:rsid w:val="00D15342"/>
    <w:rsid w:val="00D1534A"/>
    <w:rsid w:val="00D153F9"/>
    <w:rsid w:val="00D1547C"/>
    <w:rsid w:val="00D154AA"/>
    <w:rsid w:val="00D1569B"/>
    <w:rsid w:val="00D156B4"/>
    <w:rsid w:val="00D1574C"/>
    <w:rsid w:val="00D15794"/>
    <w:rsid w:val="00D157F1"/>
    <w:rsid w:val="00D1581F"/>
    <w:rsid w:val="00D1584C"/>
    <w:rsid w:val="00D158BC"/>
    <w:rsid w:val="00D1592A"/>
    <w:rsid w:val="00D1595C"/>
    <w:rsid w:val="00D15976"/>
    <w:rsid w:val="00D159C0"/>
    <w:rsid w:val="00D15A14"/>
    <w:rsid w:val="00D15AB9"/>
    <w:rsid w:val="00D15AE3"/>
    <w:rsid w:val="00D15B27"/>
    <w:rsid w:val="00D15BDB"/>
    <w:rsid w:val="00D15C84"/>
    <w:rsid w:val="00D15DAA"/>
    <w:rsid w:val="00D15E0F"/>
    <w:rsid w:val="00D15F32"/>
    <w:rsid w:val="00D16089"/>
    <w:rsid w:val="00D16167"/>
    <w:rsid w:val="00D162B3"/>
    <w:rsid w:val="00D162D7"/>
    <w:rsid w:val="00D16486"/>
    <w:rsid w:val="00D16495"/>
    <w:rsid w:val="00D1651C"/>
    <w:rsid w:val="00D16537"/>
    <w:rsid w:val="00D166D3"/>
    <w:rsid w:val="00D16749"/>
    <w:rsid w:val="00D168B6"/>
    <w:rsid w:val="00D16992"/>
    <w:rsid w:val="00D16A11"/>
    <w:rsid w:val="00D16BF7"/>
    <w:rsid w:val="00D16C14"/>
    <w:rsid w:val="00D16C1E"/>
    <w:rsid w:val="00D16C72"/>
    <w:rsid w:val="00D16CBB"/>
    <w:rsid w:val="00D16DEF"/>
    <w:rsid w:val="00D16F9C"/>
    <w:rsid w:val="00D1708E"/>
    <w:rsid w:val="00D170BE"/>
    <w:rsid w:val="00D170E7"/>
    <w:rsid w:val="00D17103"/>
    <w:rsid w:val="00D172A7"/>
    <w:rsid w:val="00D17330"/>
    <w:rsid w:val="00D17405"/>
    <w:rsid w:val="00D1747B"/>
    <w:rsid w:val="00D17505"/>
    <w:rsid w:val="00D1753D"/>
    <w:rsid w:val="00D175F8"/>
    <w:rsid w:val="00D176F4"/>
    <w:rsid w:val="00D17770"/>
    <w:rsid w:val="00D178A8"/>
    <w:rsid w:val="00D1799F"/>
    <w:rsid w:val="00D17A62"/>
    <w:rsid w:val="00D17AA8"/>
    <w:rsid w:val="00D17C33"/>
    <w:rsid w:val="00D17C97"/>
    <w:rsid w:val="00D17D2C"/>
    <w:rsid w:val="00D17D80"/>
    <w:rsid w:val="00D17EDF"/>
    <w:rsid w:val="00D20081"/>
    <w:rsid w:val="00D2009D"/>
    <w:rsid w:val="00D20137"/>
    <w:rsid w:val="00D20172"/>
    <w:rsid w:val="00D201B4"/>
    <w:rsid w:val="00D202C5"/>
    <w:rsid w:val="00D204B6"/>
    <w:rsid w:val="00D204F5"/>
    <w:rsid w:val="00D2054E"/>
    <w:rsid w:val="00D20563"/>
    <w:rsid w:val="00D2066E"/>
    <w:rsid w:val="00D2086D"/>
    <w:rsid w:val="00D2087D"/>
    <w:rsid w:val="00D208CD"/>
    <w:rsid w:val="00D20A1A"/>
    <w:rsid w:val="00D20A35"/>
    <w:rsid w:val="00D20A7D"/>
    <w:rsid w:val="00D20B77"/>
    <w:rsid w:val="00D20BA3"/>
    <w:rsid w:val="00D20BB9"/>
    <w:rsid w:val="00D20C5A"/>
    <w:rsid w:val="00D20C5B"/>
    <w:rsid w:val="00D20C7E"/>
    <w:rsid w:val="00D20D29"/>
    <w:rsid w:val="00D20D7D"/>
    <w:rsid w:val="00D20EB0"/>
    <w:rsid w:val="00D20EC0"/>
    <w:rsid w:val="00D20F17"/>
    <w:rsid w:val="00D20F3C"/>
    <w:rsid w:val="00D20FA6"/>
    <w:rsid w:val="00D20FED"/>
    <w:rsid w:val="00D21074"/>
    <w:rsid w:val="00D21081"/>
    <w:rsid w:val="00D211C4"/>
    <w:rsid w:val="00D211F6"/>
    <w:rsid w:val="00D21226"/>
    <w:rsid w:val="00D212EC"/>
    <w:rsid w:val="00D212FD"/>
    <w:rsid w:val="00D21307"/>
    <w:rsid w:val="00D21467"/>
    <w:rsid w:val="00D214A6"/>
    <w:rsid w:val="00D214E5"/>
    <w:rsid w:val="00D215A1"/>
    <w:rsid w:val="00D21713"/>
    <w:rsid w:val="00D217CD"/>
    <w:rsid w:val="00D21878"/>
    <w:rsid w:val="00D21931"/>
    <w:rsid w:val="00D21A98"/>
    <w:rsid w:val="00D21AEB"/>
    <w:rsid w:val="00D21B21"/>
    <w:rsid w:val="00D21C3B"/>
    <w:rsid w:val="00D21C4D"/>
    <w:rsid w:val="00D21E84"/>
    <w:rsid w:val="00D21EAE"/>
    <w:rsid w:val="00D21EE3"/>
    <w:rsid w:val="00D22009"/>
    <w:rsid w:val="00D22061"/>
    <w:rsid w:val="00D2207E"/>
    <w:rsid w:val="00D2212B"/>
    <w:rsid w:val="00D2214F"/>
    <w:rsid w:val="00D22153"/>
    <w:rsid w:val="00D22190"/>
    <w:rsid w:val="00D221C6"/>
    <w:rsid w:val="00D221F0"/>
    <w:rsid w:val="00D2229A"/>
    <w:rsid w:val="00D222FE"/>
    <w:rsid w:val="00D22475"/>
    <w:rsid w:val="00D22579"/>
    <w:rsid w:val="00D2267F"/>
    <w:rsid w:val="00D22855"/>
    <w:rsid w:val="00D228C9"/>
    <w:rsid w:val="00D22912"/>
    <w:rsid w:val="00D2292A"/>
    <w:rsid w:val="00D2297F"/>
    <w:rsid w:val="00D22A91"/>
    <w:rsid w:val="00D22B7A"/>
    <w:rsid w:val="00D22BD7"/>
    <w:rsid w:val="00D22CBB"/>
    <w:rsid w:val="00D22D64"/>
    <w:rsid w:val="00D22DF9"/>
    <w:rsid w:val="00D22E0F"/>
    <w:rsid w:val="00D23036"/>
    <w:rsid w:val="00D23082"/>
    <w:rsid w:val="00D2327C"/>
    <w:rsid w:val="00D23366"/>
    <w:rsid w:val="00D2336B"/>
    <w:rsid w:val="00D23564"/>
    <w:rsid w:val="00D23783"/>
    <w:rsid w:val="00D23A69"/>
    <w:rsid w:val="00D23AC8"/>
    <w:rsid w:val="00D23B79"/>
    <w:rsid w:val="00D23BF6"/>
    <w:rsid w:val="00D2402E"/>
    <w:rsid w:val="00D2403A"/>
    <w:rsid w:val="00D24113"/>
    <w:rsid w:val="00D241BB"/>
    <w:rsid w:val="00D24245"/>
    <w:rsid w:val="00D2426B"/>
    <w:rsid w:val="00D24323"/>
    <w:rsid w:val="00D243F9"/>
    <w:rsid w:val="00D2442B"/>
    <w:rsid w:val="00D244DB"/>
    <w:rsid w:val="00D2458F"/>
    <w:rsid w:val="00D24592"/>
    <w:rsid w:val="00D24690"/>
    <w:rsid w:val="00D24738"/>
    <w:rsid w:val="00D248BC"/>
    <w:rsid w:val="00D248EF"/>
    <w:rsid w:val="00D24A93"/>
    <w:rsid w:val="00D24AC3"/>
    <w:rsid w:val="00D24CBC"/>
    <w:rsid w:val="00D24D49"/>
    <w:rsid w:val="00D24D71"/>
    <w:rsid w:val="00D24D89"/>
    <w:rsid w:val="00D25000"/>
    <w:rsid w:val="00D25076"/>
    <w:rsid w:val="00D250C9"/>
    <w:rsid w:val="00D250D1"/>
    <w:rsid w:val="00D250DA"/>
    <w:rsid w:val="00D25164"/>
    <w:rsid w:val="00D25223"/>
    <w:rsid w:val="00D252DE"/>
    <w:rsid w:val="00D25346"/>
    <w:rsid w:val="00D254E8"/>
    <w:rsid w:val="00D25521"/>
    <w:rsid w:val="00D25570"/>
    <w:rsid w:val="00D2560C"/>
    <w:rsid w:val="00D25670"/>
    <w:rsid w:val="00D258FA"/>
    <w:rsid w:val="00D2591F"/>
    <w:rsid w:val="00D25A08"/>
    <w:rsid w:val="00D25A62"/>
    <w:rsid w:val="00D25A6D"/>
    <w:rsid w:val="00D25AE5"/>
    <w:rsid w:val="00D25B10"/>
    <w:rsid w:val="00D25BEA"/>
    <w:rsid w:val="00D25D2B"/>
    <w:rsid w:val="00D25DF5"/>
    <w:rsid w:val="00D25E9B"/>
    <w:rsid w:val="00D25FE1"/>
    <w:rsid w:val="00D260B3"/>
    <w:rsid w:val="00D26169"/>
    <w:rsid w:val="00D261C7"/>
    <w:rsid w:val="00D261CA"/>
    <w:rsid w:val="00D262A7"/>
    <w:rsid w:val="00D262EB"/>
    <w:rsid w:val="00D262EC"/>
    <w:rsid w:val="00D26550"/>
    <w:rsid w:val="00D26582"/>
    <w:rsid w:val="00D2663E"/>
    <w:rsid w:val="00D26836"/>
    <w:rsid w:val="00D26858"/>
    <w:rsid w:val="00D26A09"/>
    <w:rsid w:val="00D26A2F"/>
    <w:rsid w:val="00D26A48"/>
    <w:rsid w:val="00D26D65"/>
    <w:rsid w:val="00D26E01"/>
    <w:rsid w:val="00D26EC5"/>
    <w:rsid w:val="00D26EED"/>
    <w:rsid w:val="00D26EFE"/>
    <w:rsid w:val="00D27040"/>
    <w:rsid w:val="00D2722A"/>
    <w:rsid w:val="00D27296"/>
    <w:rsid w:val="00D272A2"/>
    <w:rsid w:val="00D27336"/>
    <w:rsid w:val="00D27347"/>
    <w:rsid w:val="00D27350"/>
    <w:rsid w:val="00D273D4"/>
    <w:rsid w:val="00D2740C"/>
    <w:rsid w:val="00D2741D"/>
    <w:rsid w:val="00D27529"/>
    <w:rsid w:val="00D275D8"/>
    <w:rsid w:val="00D275FA"/>
    <w:rsid w:val="00D276E7"/>
    <w:rsid w:val="00D27924"/>
    <w:rsid w:val="00D2797A"/>
    <w:rsid w:val="00D27987"/>
    <w:rsid w:val="00D27A0A"/>
    <w:rsid w:val="00D27A88"/>
    <w:rsid w:val="00D27B03"/>
    <w:rsid w:val="00D27C6E"/>
    <w:rsid w:val="00D27D13"/>
    <w:rsid w:val="00D27DAF"/>
    <w:rsid w:val="00D27DB5"/>
    <w:rsid w:val="00D27E7D"/>
    <w:rsid w:val="00D27EED"/>
    <w:rsid w:val="00D27F4B"/>
    <w:rsid w:val="00D27F6C"/>
    <w:rsid w:val="00D27FAD"/>
    <w:rsid w:val="00D300B8"/>
    <w:rsid w:val="00D30224"/>
    <w:rsid w:val="00D30299"/>
    <w:rsid w:val="00D30317"/>
    <w:rsid w:val="00D304EE"/>
    <w:rsid w:val="00D305F0"/>
    <w:rsid w:val="00D30643"/>
    <w:rsid w:val="00D30737"/>
    <w:rsid w:val="00D30791"/>
    <w:rsid w:val="00D307B5"/>
    <w:rsid w:val="00D3085E"/>
    <w:rsid w:val="00D3092F"/>
    <w:rsid w:val="00D3093E"/>
    <w:rsid w:val="00D309B9"/>
    <w:rsid w:val="00D30A0F"/>
    <w:rsid w:val="00D30A9C"/>
    <w:rsid w:val="00D30BA5"/>
    <w:rsid w:val="00D30D34"/>
    <w:rsid w:val="00D30DAE"/>
    <w:rsid w:val="00D30F08"/>
    <w:rsid w:val="00D310A2"/>
    <w:rsid w:val="00D3111D"/>
    <w:rsid w:val="00D31149"/>
    <w:rsid w:val="00D3133A"/>
    <w:rsid w:val="00D31386"/>
    <w:rsid w:val="00D313B8"/>
    <w:rsid w:val="00D31454"/>
    <w:rsid w:val="00D31589"/>
    <w:rsid w:val="00D315F9"/>
    <w:rsid w:val="00D316C8"/>
    <w:rsid w:val="00D318C1"/>
    <w:rsid w:val="00D318D9"/>
    <w:rsid w:val="00D31A39"/>
    <w:rsid w:val="00D31BC3"/>
    <w:rsid w:val="00D31BF6"/>
    <w:rsid w:val="00D31D47"/>
    <w:rsid w:val="00D31DAE"/>
    <w:rsid w:val="00D31DB7"/>
    <w:rsid w:val="00D31F61"/>
    <w:rsid w:val="00D324C4"/>
    <w:rsid w:val="00D32626"/>
    <w:rsid w:val="00D32731"/>
    <w:rsid w:val="00D327C7"/>
    <w:rsid w:val="00D3285B"/>
    <w:rsid w:val="00D3293B"/>
    <w:rsid w:val="00D32B12"/>
    <w:rsid w:val="00D32BB0"/>
    <w:rsid w:val="00D32C00"/>
    <w:rsid w:val="00D32C3F"/>
    <w:rsid w:val="00D32C92"/>
    <w:rsid w:val="00D32CBE"/>
    <w:rsid w:val="00D32D55"/>
    <w:rsid w:val="00D32DC0"/>
    <w:rsid w:val="00D32E0D"/>
    <w:rsid w:val="00D32E7C"/>
    <w:rsid w:val="00D32EDD"/>
    <w:rsid w:val="00D32EF1"/>
    <w:rsid w:val="00D32F24"/>
    <w:rsid w:val="00D32F31"/>
    <w:rsid w:val="00D33024"/>
    <w:rsid w:val="00D3303C"/>
    <w:rsid w:val="00D33054"/>
    <w:rsid w:val="00D330B0"/>
    <w:rsid w:val="00D331D8"/>
    <w:rsid w:val="00D331EC"/>
    <w:rsid w:val="00D331F1"/>
    <w:rsid w:val="00D33235"/>
    <w:rsid w:val="00D3325B"/>
    <w:rsid w:val="00D33289"/>
    <w:rsid w:val="00D3329C"/>
    <w:rsid w:val="00D332CD"/>
    <w:rsid w:val="00D33339"/>
    <w:rsid w:val="00D33371"/>
    <w:rsid w:val="00D33566"/>
    <w:rsid w:val="00D3359B"/>
    <w:rsid w:val="00D335C7"/>
    <w:rsid w:val="00D335F9"/>
    <w:rsid w:val="00D336A8"/>
    <w:rsid w:val="00D3381F"/>
    <w:rsid w:val="00D33A68"/>
    <w:rsid w:val="00D33B6B"/>
    <w:rsid w:val="00D33BCA"/>
    <w:rsid w:val="00D33CE8"/>
    <w:rsid w:val="00D33DAA"/>
    <w:rsid w:val="00D33DEE"/>
    <w:rsid w:val="00D33E01"/>
    <w:rsid w:val="00D33ED2"/>
    <w:rsid w:val="00D33EEC"/>
    <w:rsid w:val="00D34018"/>
    <w:rsid w:val="00D34020"/>
    <w:rsid w:val="00D34118"/>
    <w:rsid w:val="00D341A3"/>
    <w:rsid w:val="00D3423A"/>
    <w:rsid w:val="00D34247"/>
    <w:rsid w:val="00D3428A"/>
    <w:rsid w:val="00D343DD"/>
    <w:rsid w:val="00D34400"/>
    <w:rsid w:val="00D3448A"/>
    <w:rsid w:val="00D34496"/>
    <w:rsid w:val="00D344DB"/>
    <w:rsid w:val="00D3459E"/>
    <w:rsid w:val="00D3462F"/>
    <w:rsid w:val="00D348EE"/>
    <w:rsid w:val="00D3492E"/>
    <w:rsid w:val="00D34981"/>
    <w:rsid w:val="00D34A16"/>
    <w:rsid w:val="00D34B0F"/>
    <w:rsid w:val="00D34B64"/>
    <w:rsid w:val="00D34DFF"/>
    <w:rsid w:val="00D34E57"/>
    <w:rsid w:val="00D34FCF"/>
    <w:rsid w:val="00D352E6"/>
    <w:rsid w:val="00D35344"/>
    <w:rsid w:val="00D35638"/>
    <w:rsid w:val="00D356CE"/>
    <w:rsid w:val="00D35853"/>
    <w:rsid w:val="00D35863"/>
    <w:rsid w:val="00D35A72"/>
    <w:rsid w:val="00D35AD5"/>
    <w:rsid w:val="00D35ADC"/>
    <w:rsid w:val="00D35AF3"/>
    <w:rsid w:val="00D35B1A"/>
    <w:rsid w:val="00D35C48"/>
    <w:rsid w:val="00D35C7E"/>
    <w:rsid w:val="00D35DB7"/>
    <w:rsid w:val="00D35E4F"/>
    <w:rsid w:val="00D35EDC"/>
    <w:rsid w:val="00D35F27"/>
    <w:rsid w:val="00D35FB6"/>
    <w:rsid w:val="00D35FD3"/>
    <w:rsid w:val="00D35FF9"/>
    <w:rsid w:val="00D3604E"/>
    <w:rsid w:val="00D36086"/>
    <w:rsid w:val="00D360DB"/>
    <w:rsid w:val="00D360E1"/>
    <w:rsid w:val="00D36121"/>
    <w:rsid w:val="00D363DB"/>
    <w:rsid w:val="00D363EC"/>
    <w:rsid w:val="00D363F0"/>
    <w:rsid w:val="00D363F5"/>
    <w:rsid w:val="00D36672"/>
    <w:rsid w:val="00D36822"/>
    <w:rsid w:val="00D368EB"/>
    <w:rsid w:val="00D36AD3"/>
    <w:rsid w:val="00D36AFA"/>
    <w:rsid w:val="00D36D32"/>
    <w:rsid w:val="00D36D65"/>
    <w:rsid w:val="00D36F00"/>
    <w:rsid w:val="00D36F5C"/>
    <w:rsid w:val="00D36F93"/>
    <w:rsid w:val="00D36FB0"/>
    <w:rsid w:val="00D36FC9"/>
    <w:rsid w:val="00D36FEA"/>
    <w:rsid w:val="00D370A1"/>
    <w:rsid w:val="00D3715C"/>
    <w:rsid w:val="00D373C9"/>
    <w:rsid w:val="00D374EA"/>
    <w:rsid w:val="00D37514"/>
    <w:rsid w:val="00D3753D"/>
    <w:rsid w:val="00D375F5"/>
    <w:rsid w:val="00D377A6"/>
    <w:rsid w:val="00D37811"/>
    <w:rsid w:val="00D3786E"/>
    <w:rsid w:val="00D3789E"/>
    <w:rsid w:val="00D37970"/>
    <w:rsid w:val="00D37B63"/>
    <w:rsid w:val="00D37C90"/>
    <w:rsid w:val="00D37E7C"/>
    <w:rsid w:val="00D40141"/>
    <w:rsid w:val="00D402CE"/>
    <w:rsid w:val="00D4034C"/>
    <w:rsid w:val="00D404D7"/>
    <w:rsid w:val="00D405AB"/>
    <w:rsid w:val="00D40626"/>
    <w:rsid w:val="00D4065B"/>
    <w:rsid w:val="00D40684"/>
    <w:rsid w:val="00D40688"/>
    <w:rsid w:val="00D4070F"/>
    <w:rsid w:val="00D40731"/>
    <w:rsid w:val="00D4079F"/>
    <w:rsid w:val="00D40A30"/>
    <w:rsid w:val="00D40B19"/>
    <w:rsid w:val="00D40BC9"/>
    <w:rsid w:val="00D40C0C"/>
    <w:rsid w:val="00D40C19"/>
    <w:rsid w:val="00D40D1E"/>
    <w:rsid w:val="00D40D2C"/>
    <w:rsid w:val="00D40E25"/>
    <w:rsid w:val="00D40E52"/>
    <w:rsid w:val="00D40E58"/>
    <w:rsid w:val="00D40FE2"/>
    <w:rsid w:val="00D41014"/>
    <w:rsid w:val="00D41068"/>
    <w:rsid w:val="00D410A5"/>
    <w:rsid w:val="00D41274"/>
    <w:rsid w:val="00D414FD"/>
    <w:rsid w:val="00D41513"/>
    <w:rsid w:val="00D41557"/>
    <w:rsid w:val="00D41570"/>
    <w:rsid w:val="00D4160C"/>
    <w:rsid w:val="00D41614"/>
    <w:rsid w:val="00D41630"/>
    <w:rsid w:val="00D41690"/>
    <w:rsid w:val="00D41716"/>
    <w:rsid w:val="00D4174D"/>
    <w:rsid w:val="00D41841"/>
    <w:rsid w:val="00D41868"/>
    <w:rsid w:val="00D419B3"/>
    <w:rsid w:val="00D41A6F"/>
    <w:rsid w:val="00D41A9C"/>
    <w:rsid w:val="00D41C98"/>
    <w:rsid w:val="00D41D7B"/>
    <w:rsid w:val="00D41E20"/>
    <w:rsid w:val="00D41EEC"/>
    <w:rsid w:val="00D41F6B"/>
    <w:rsid w:val="00D41F84"/>
    <w:rsid w:val="00D41F95"/>
    <w:rsid w:val="00D42182"/>
    <w:rsid w:val="00D42187"/>
    <w:rsid w:val="00D42262"/>
    <w:rsid w:val="00D4235B"/>
    <w:rsid w:val="00D4238B"/>
    <w:rsid w:val="00D423BB"/>
    <w:rsid w:val="00D425C4"/>
    <w:rsid w:val="00D427E2"/>
    <w:rsid w:val="00D42911"/>
    <w:rsid w:val="00D42949"/>
    <w:rsid w:val="00D42953"/>
    <w:rsid w:val="00D42984"/>
    <w:rsid w:val="00D42A6D"/>
    <w:rsid w:val="00D42BDA"/>
    <w:rsid w:val="00D42C39"/>
    <w:rsid w:val="00D42CC5"/>
    <w:rsid w:val="00D42EA5"/>
    <w:rsid w:val="00D42EBE"/>
    <w:rsid w:val="00D43087"/>
    <w:rsid w:val="00D432C0"/>
    <w:rsid w:val="00D4337F"/>
    <w:rsid w:val="00D43382"/>
    <w:rsid w:val="00D434B7"/>
    <w:rsid w:val="00D434FE"/>
    <w:rsid w:val="00D43542"/>
    <w:rsid w:val="00D436A4"/>
    <w:rsid w:val="00D4372F"/>
    <w:rsid w:val="00D43761"/>
    <w:rsid w:val="00D43876"/>
    <w:rsid w:val="00D439EA"/>
    <w:rsid w:val="00D43A55"/>
    <w:rsid w:val="00D43AC1"/>
    <w:rsid w:val="00D43AF2"/>
    <w:rsid w:val="00D43DC3"/>
    <w:rsid w:val="00D43F67"/>
    <w:rsid w:val="00D43FEF"/>
    <w:rsid w:val="00D44010"/>
    <w:rsid w:val="00D44085"/>
    <w:rsid w:val="00D440EB"/>
    <w:rsid w:val="00D440ED"/>
    <w:rsid w:val="00D440FF"/>
    <w:rsid w:val="00D44148"/>
    <w:rsid w:val="00D44203"/>
    <w:rsid w:val="00D44304"/>
    <w:rsid w:val="00D44370"/>
    <w:rsid w:val="00D44371"/>
    <w:rsid w:val="00D44516"/>
    <w:rsid w:val="00D44534"/>
    <w:rsid w:val="00D445B5"/>
    <w:rsid w:val="00D44600"/>
    <w:rsid w:val="00D449FA"/>
    <w:rsid w:val="00D44AE4"/>
    <w:rsid w:val="00D44C39"/>
    <w:rsid w:val="00D44CFB"/>
    <w:rsid w:val="00D44E00"/>
    <w:rsid w:val="00D44E03"/>
    <w:rsid w:val="00D44EC9"/>
    <w:rsid w:val="00D452B1"/>
    <w:rsid w:val="00D453A3"/>
    <w:rsid w:val="00D453BA"/>
    <w:rsid w:val="00D45463"/>
    <w:rsid w:val="00D45485"/>
    <w:rsid w:val="00D45548"/>
    <w:rsid w:val="00D45692"/>
    <w:rsid w:val="00D457B5"/>
    <w:rsid w:val="00D457DE"/>
    <w:rsid w:val="00D45A2D"/>
    <w:rsid w:val="00D45A8C"/>
    <w:rsid w:val="00D45B15"/>
    <w:rsid w:val="00D45B42"/>
    <w:rsid w:val="00D45B76"/>
    <w:rsid w:val="00D45C62"/>
    <w:rsid w:val="00D45CF3"/>
    <w:rsid w:val="00D45D5A"/>
    <w:rsid w:val="00D45DD8"/>
    <w:rsid w:val="00D45F0D"/>
    <w:rsid w:val="00D46040"/>
    <w:rsid w:val="00D46057"/>
    <w:rsid w:val="00D46068"/>
    <w:rsid w:val="00D460A8"/>
    <w:rsid w:val="00D461AA"/>
    <w:rsid w:val="00D461F3"/>
    <w:rsid w:val="00D462A3"/>
    <w:rsid w:val="00D46308"/>
    <w:rsid w:val="00D4632D"/>
    <w:rsid w:val="00D463BB"/>
    <w:rsid w:val="00D46436"/>
    <w:rsid w:val="00D464D1"/>
    <w:rsid w:val="00D46517"/>
    <w:rsid w:val="00D465D0"/>
    <w:rsid w:val="00D467D3"/>
    <w:rsid w:val="00D467DE"/>
    <w:rsid w:val="00D46804"/>
    <w:rsid w:val="00D4689D"/>
    <w:rsid w:val="00D4689E"/>
    <w:rsid w:val="00D46A3E"/>
    <w:rsid w:val="00D46AA4"/>
    <w:rsid w:val="00D46C3E"/>
    <w:rsid w:val="00D46C90"/>
    <w:rsid w:val="00D46D08"/>
    <w:rsid w:val="00D46D1A"/>
    <w:rsid w:val="00D46DAF"/>
    <w:rsid w:val="00D46E1B"/>
    <w:rsid w:val="00D46EB9"/>
    <w:rsid w:val="00D46F0A"/>
    <w:rsid w:val="00D46F48"/>
    <w:rsid w:val="00D46FCF"/>
    <w:rsid w:val="00D47023"/>
    <w:rsid w:val="00D4709E"/>
    <w:rsid w:val="00D47176"/>
    <w:rsid w:val="00D47291"/>
    <w:rsid w:val="00D47385"/>
    <w:rsid w:val="00D473EC"/>
    <w:rsid w:val="00D474DD"/>
    <w:rsid w:val="00D47554"/>
    <w:rsid w:val="00D47564"/>
    <w:rsid w:val="00D47757"/>
    <w:rsid w:val="00D477CC"/>
    <w:rsid w:val="00D478B4"/>
    <w:rsid w:val="00D479C6"/>
    <w:rsid w:val="00D47AC8"/>
    <w:rsid w:val="00D47AFF"/>
    <w:rsid w:val="00D47B01"/>
    <w:rsid w:val="00D47BA0"/>
    <w:rsid w:val="00D47BC7"/>
    <w:rsid w:val="00D47BF8"/>
    <w:rsid w:val="00D47C1E"/>
    <w:rsid w:val="00D47E3B"/>
    <w:rsid w:val="00D47E89"/>
    <w:rsid w:val="00D5005D"/>
    <w:rsid w:val="00D500CB"/>
    <w:rsid w:val="00D501C5"/>
    <w:rsid w:val="00D50239"/>
    <w:rsid w:val="00D50302"/>
    <w:rsid w:val="00D5032A"/>
    <w:rsid w:val="00D50406"/>
    <w:rsid w:val="00D50477"/>
    <w:rsid w:val="00D504D8"/>
    <w:rsid w:val="00D505B3"/>
    <w:rsid w:val="00D50618"/>
    <w:rsid w:val="00D506B1"/>
    <w:rsid w:val="00D5077E"/>
    <w:rsid w:val="00D507BD"/>
    <w:rsid w:val="00D5083B"/>
    <w:rsid w:val="00D50881"/>
    <w:rsid w:val="00D50897"/>
    <w:rsid w:val="00D508D4"/>
    <w:rsid w:val="00D5092F"/>
    <w:rsid w:val="00D50B0F"/>
    <w:rsid w:val="00D50B3C"/>
    <w:rsid w:val="00D50C25"/>
    <w:rsid w:val="00D50C52"/>
    <w:rsid w:val="00D50E1E"/>
    <w:rsid w:val="00D50E29"/>
    <w:rsid w:val="00D50E3D"/>
    <w:rsid w:val="00D50EF3"/>
    <w:rsid w:val="00D50F2E"/>
    <w:rsid w:val="00D50F6D"/>
    <w:rsid w:val="00D50FFC"/>
    <w:rsid w:val="00D5101E"/>
    <w:rsid w:val="00D5119B"/>
    <w:rsid w:val="00D512DE"/>
    <w:rsid w:val="00D512E1"/>
    <w:rsid w:val="00D513EA"/>
    <w:rsid w:val="00D514B3"/>
    <w:rsid w:val="00D51568"/>
    <w:rsid w:val="00D516F7"/>
    <w:rsid w:val="00D5171C"/>
    <w:rsid w:val="00D5173E"/>
    <w:rsid w:val="00D5183C"/>
    <w:rsid w:val="00D51923"/>
    <w:rsid w:val="00D51978"/>
    <w:rsid w:val="00D519BC"/>
    <w:rsid w:val="00D51A62"/>
    <w:rsid w:val="00D51C2D"/>
    <w:rsid w:val="00D51C42"/>
    <w:rsid w:val="00D51CAE"/>
    <w:rsid w:val="00D51D4C"/>
    <w:rsid w:val="00D51D82"/>
    <w:rsid w:val="00D51DB6"/>
    <w:rsid w:val="00D51ED0"/>
    <w:rsid w:val="00D51F73"/>
    <w:rsid w:val="00D52070"/>
    <w:rsid w:val="00D52086"/>
    <w:rsid w:val="00D522CA"/>
    <w:rsid w:val="00D52320"/>
    <w:rsid w:val="00D52423"/>
    <w:rsid w:val="00D5254D"/>
    <w:rsid w:val="00D52559"/>
    <w:rsid w:val="00D5257F"/>
    <w:rsid w:val="00D52645"/>
    <w:rsid w:val="00D5264B"/>
    <w:rsid w:val="00D52762"/>
    <w:rsid w:val="00D527AA"/>
    <w:rsid w:val="00D528E9"/>
    <w:rsid w:val="00D52A06"/>
    <w:rsid w:val="00D52B1C"/>
    <w:rsid w:val="00D52B28"/>
    <w:rsid w:val="00D52E6B"/>
    <w:rsid w:val="00D52EC7"/>
    <w:rsid w:val="00D52FAC"/>
    <w:rsid w:val="00D53028"/>
    <w:rsid w:val="00D53126"/>
    <w:rsid w:val="00D53258"/>
    <w:rsid w:val="00D53408"/>
    <w:rsid w:val="00D53535"/>
    <w:rsid w:val="00D53564"/>
    <w:rsid w:val="00D535ED"/>
    <w:rsid w:val="00D536A7"/>
    <w:rsid w:val="00D53902"/>
    <w:rsid w:val="00D53A33"/>
    <w:rsid w:val="00D53BA0"/>
    <w:rsid w:val="00D53BA1"/>
    <w:rsid w:val="00D53C04"/>
    <w:rsid w:val="00D53C11"/>
    <w:rsid w:val="00D53C9A"/>
    <w:rsid w:val="00D53D0A"/>
    <w:rsid w:val="00D53DB6"/>
    <w:rsid w:val="00D53DCB"/>
    <w:rsid w:val="00D53F82"/>
    <w:rsid w:val="00D53F94"/>
    <w:rsid w:val="00D53FBB"/>
    <w:rsid w:val="00D54004"/>
    <w:rsid w:val="00D54050"/>
    <w:rsid w:val="00D5412B"/>
    <w:rsid w:val="00D5414E"/>
    <w:rsid w:val="00D54258"/>
    <w:rsid w:val="00D5426D"/>
    <w:rsid w:val="00D543B8"/>
    <w:rsid w:val="00D54513"/>
    <w:rsid w:val="00D54598"/>
    <w:rsid w:val="00D545FA"/>
    <w:rsid w:val="00D546B7"/>
    <w:rsid w:val="00D54948"/>
    <w:rsid w:val="00D54AE9"/>
    <w:rsid w:val="00D54B53"/>
    <w:rsid w:val="00D54B97"/>
    <w:rsid w:val="00D54C17"/>
    <w:rsid w:val="00D54C27"/>
    <w:rsid w:val="00D54C2F"/>
    <w:rsid w:val="00D54CAF"/>
    <w:rsid w:val="00D54CE2"/>
    <w:rsid w:val="00D54F79"/>
    <w:rsid w:val="00D55027"/>
    <w:rsid w:val="00D55043"/>
    <w:rsid w:val="00D5506C"/>
    <w:rsid w:val="00D55093"/>
    <w:rsid w:val="00D55232"/>
    <w:rsid w:val="00D553A8"/>
    <w:rsid w:val="00D553B7"/>
    <w:rsid w:val="00D55403"/>
    <w:rsid w:val="00D55438"/>
    <w:rsid w:val="00D554E8"/>
    <w:rsid w:val="00D55534"/>
    <w:rsid w:val="00D5555E"/>
    <w:rsid w:val="00D55684"/>
    <w:rsid w:val="00D5570D"/>
    <w:rsid w:val="00D55739"/>
    <w:rsid w:val="00D55782"/>
    <w:rsid w:val="00D55787"/>
    <w:rsid w:val="00D557C2"/>
    <w:rsid w:val="00D557D5"/>
    <w:rsid w:val="00D557F1"/>
    <w:rsid w:val="00D559A2"/>
    <w:rsid w:val="00D55A11"/>
    <w:rsid w:val="00D55ADA"/>
    <w:rsid w:val="00D55B3F"/>
    <w:rsid w:val="00D55B53"/>
    <w:rsid w:val="00D55B8A"/>
    <w:rsid w:val="00D55B8E"/>
    <w:rsid w:val="00D55BAA"/>
    <w:rsid w:val="00D55D1D"/>
    <w:rsid w:val="00D55D7C"/>
    <w:rsid w:val="00D55E29"/>
    <w:rsid w:val="00D55E76"/>
    <w:rsid w:val="00D55EAE"/>
    <w:rsid w:val="00D55F26"/>
    <w:rsid w:val="00D55F81"/>
    <w:rsid w:val="00D561C9"/>
    <w:rsid w:val="00D561CA"/>
    <w:rsid w:val="00D5627C"/>
    <w:rsid w:val="00D56337"/>
    <w:rsid w:val="00D564BA"/>
    <w:rsid w:val="00D56634"/>
    <w:rsid w:val="00D566BB"/>
    <w:rsid w:val="00D567B1"/>
    <w:rsid w:val="00D567E7"/>
    <w:rsid w:val="00D56841"/>
    <w:rsid w:val="00D56999"/>
    <w:rsid w:val="00D56A6F"/>
    <w:rsid w:val="00D56AC8"/>
    <w:rsid w:val="00D56C71"/>
    <w:rsid w:val="00D56CC4"/>
    <w:rsid w:val="00D56F9C"/>
    <w:rsid w:val="00D5715F"/>
    <w:rsid w:val="00D571FD"/>
    <w:rsid w:val="00D57237"/>
    <w:rsid w:val="00D5727D"/>
    <w:rsid w:val="00D572BA"/>
    <w:rsid w:val="00D5737E"/>
    <w:rsid w:val="00D57446"/>
    <w:rsid w:val="00D5748F"/>
    <w:rsid w:val="00D576B6"/>
    <w:rsid w:val="00D576BA"/>
    <w:rsid w:val="00D57778"/>
    <w:rsid w:val="00D578BC"/>
    <w:rsid w:val="00D579EB"/>
    <w:rsid w:val="00D57A1E"/>
    <w:rsid w:val="00D57A54"/>
    <w:rsid w:val="00D57C14"/>
    <w:rsid w:val="00D57D6E"/>
    <w:rsid w:val="00D57E54"/>
    <w:rsid w:val="00D57F2D"/>
    <w:rsid w:val="00D57F52"/>
    <w:rsid w:val="00D5DB4B"/>
    <w:rsid w:val="00D6013D"/>
    <w:rsid w:val="00D60193"/>
    <w:rsid w:val="00D603D4"/>
    <w:rsid w:val="00D604DF"/>
    <w:rsid w:val="00D604FA"/>
    <w:rsid w:val="00D60539"/>
    <w:rsid w:val="00D60552"/>
    <w:rsid w:val="00D60579"/>
    <w:rsid w:val="00D60742"/>
    <w:rsid w:val="00D60787"/>
    <w:rsid w:val="00D60820"/>
    <w:rsid w:val="00D60938"/>
    <w:rsid w:val="00D60A85"/>
    <w:rsid w:val="00D60A99"/>
    <w:rsid w:val="00D60C2E"/>
    <w:rsid w:val="00D60CDA"/>
    <w:rsid w:val="00D60CE0"/>
    <w:rsid w:val="00D60D98"/>
    <w:rsid w:val="00D60E4B"/>
    <w:rsid w:val="00D610C0"/>
    <w:rsid w:val="00D61116"/>
    <w:rsid w:val="00D6116A"/>
    <w:rsid w:val="00D61252"/>
    <w:rsid w:val="00D61460"/>
    <w:rsid w:val="00D61556"/>
    <w:rsid w:val="00D61575"/>
    <w:rsid w:val="00D61587"/>
    <w:rsid w:val="00D618B3"/>
    <w:rsid w:val="00D619D5"/>
    <w:rsid w:val="00D619E5"/>
    <w:rsid w:val="00D61B46"/>
    <w:rsid w:val="00D61C35"/>
    <w:rsid w:val="00D61CFF"/>
    <w:rsid w:val="00D61D28"/>
    <w:rsid w:val="00D61D76"/>
    <w:rsid w:val="00D61DF1"/>
    <w:rsid w:val="00D61E6C"/>
    <w:rsid w:val="00D62049"/>
    <w:rsid w:val="00D6233B"/>
    <w:rsid w:val="00D62527"/>
    <w:rsid w:val="00D6254A"/>
    <w:rsid w:val="00D62633"/>
    <w:rsid w:val="00D6264E"/>
    <w:rsid w:val="00D6281A"/>
    <w:rsid w:val="00D62862"/>
    <w:rsid w:val="00D629D7"/>
    <w:rsid w:val="00D62A16"/>
    <w:rsid w:val="00D62A57"/>
    <w:rsid w:val="00D62CFC"/>
    <w:rsid w:val="00D62DA5"/>
    <w:rsid w:val="00D62DD2"/>
    <w:rsid w:val="00D62E7F"/>
    <w:rsid w:val="00D62FF1"/>
    <w:rsid w:val="00D630BC"/>
    <w:rsid w:val="00D63202"/>
    <w:rsid w:val="00D632D3"/>
    <w:rsid w:val="00D63333"/>
    <w:rsid w:val="00D633B8"/>
    <w:rsid w:val="00D633DF"/>
    <w:rsid w:val="00D633EB"/>
    <w:rsid w:val="00D63523"/>
    <w:rsid w:val="00D63569"/>
    <w:rsid w:val="00D63791"/>
    <w:rsid w:val="00D6379B"/>
    <w:rsid w:val="00D63891"/>
    <w:rsid w:val="00D63954"/>
    <w:rsid w:val="00D639D6"/>
    <w:rsid w:val="00D639FA"/>
    <w:rsid w:val="00D63A1D"/>
    <w:rsid w:val="00D63A72"/>
    <w:rsid w:val="00D63A88"/>
    <w:rsid w:val="00D63A97"/>
    <w:rsid w:val="00D63D22"/>
    <w:rsid w:val="00D63D81"/>
    <w:rsid w:val="00D63E56"/>
    <w:rsid w:val="00D63F35"/>
    <w:rsid w:val="00D6401C"/>
    <w:rsid w:val="00D640ED"/>
    <w:rsid w:val="00D6415A"/>
    <w:rsid w:val="00D641AA"/>
    <w:rsid w:val="00D642FD"/>
    <w:rsid w:val="00D643C7"/>
    <w:rsid w:val="00D643DC"/>
    <w:rsid w:val="00D64417"/>
    <w:rsid w:val="00D6444E"/>
    <w:rsid w:val="00D64474"/>
    <w:rsid w:val="00D644DB"/>
    <w:rsid w:val="00D6458D"/>
    <w:rsid w:val="00D64688"/>
    <w:rsid w:val="00D6469F"/>
    <w:rsid w:val="00D64711"/>
    <w:rsid w:val="00D64746"/>
    <w:rsid w:val="00D649A0"/>
    <w:rsid w:val="00D649B1"/>
    <w:rsid w:val="00D64A03"/>
    <w:rsid w:val="00D64AC5"/>
    <w:rsid w:val="00D64B6E"/>
    <w:rsid w:val="00D64B84"/>
    <w:rsid w:val="00D64BEB"/>
    <w:rsid w:val="00D64E64"/>
    <w:rsid w:val="00D64E9E"/>
    <w:rsid w:val="00D64EC4"/>
    <w:rsid w:val="00D6510F"/>
    <w:rsid w:val="00D65184"/>
    <w:rsid w:val="00D651CF"/>
    <w:rsid w:val="00D65206"/>
    <w:rsid w:val="00D6523B"/>
    <w:rsid w:val="00D65387"/>
    <w:rsid w:val="00D653C4"/>
    <w:rsid w:val="00D65498"/>
    <w:rsid w:val="00D65527"/>
    <w:rsid w:val="00D655C3"/>
    <w:rsid w:val="00D65777"/>
    <w:rsid w:val="00D6578B"/>
    <w:rsid w:val="00D657CC"/>
    <w:rsid w:val="00D658EB"/>
    <w:rsid w:val="00D65996"/>
    <w:rsid w:val="00D65AF3"/>
    <w:rsid w:val="00D65D1C"/>
    <w:rsid w:val="00D65D80"/>
    <w:rsid w:val="00D65E14"/>
    <w:rsid w:val="00D65E2F"/>
    <w:rsid w:val="00D65E99"/>
    <w:rsid w:val="00D65EF4"/>
    <w:rsid w:val="00D65F03"/>
    <w:rsid w:val="00D65F31"/>
    <w:rsid w:val="00D65F99"/>
    <w:rsid w:val="00D66165"/>
    <w:rsid w:val="00D66311"/>
    <w:rsid w:val="00D6631F"/>
    <w:rsid w:val="00D66385"/>
    <w:rsid w:val="00D664F9"/>
    <w:rsid w:val="00D66562"/>
    <w:rsid w:val="00D6667D"/>
    <w:rsid w:val="00D66793"/>
    <w:rsid w:val="00D667EC"/>
    <w:rsid w:val="00D66801"/>
    <w:rsid w:val="00D6684A"/>
    <w:rsid w:val="00D669CD"/>
    <w:rsid w:val="00D66A0C"/>
    <w:rsid w:val="00D66B45"/>
    <w:rsid w:val="00D66B98"/>
    <w:rsid w:val="00D66B99"/>
    <w:rsid w:val="00D66C4D"/>
    <w:rsid w:val="00D66C61"/>
    <w:rsid w:val="00D66CBC"/>
    <w:rsid w:val="00D66D96"/>
    <w:rsid w:val="00D66DEE"/>
    <w:rsid w:val="00D66EDC"/>
    <w:rsid w:val="00D6705C"/>
    <w:rsid w:val="00D670E1"/>
    <w:rsid w:val="00D67134"/>
    <w:rsid w:val="00D671CC"/>
    <w:rsid w:val="00D6723C"/>
    <w:rsid w:val="00D67257"/>
    <w:rsid w:val="00D67545"/>
    <w:rsid w:val="00D67685"/>
    <w:rsid w:val="00D676AB"/>
    <w:rsid w:val="00D67737"/>
    <w:rsid w:val="00D67771"/>
    <w:rsid w:val="00D67779"/>
    <w:rsid w:val="00D67787"/>
    <w:rsid w:val="00D677B3"/>
    <w:rsid w:val="00D6782E"/>
    <w:rsid w:val="00D67BB2"/>
    <w:rsid w:val="00D67BD1"/>
    <w:rsid w:val="00D67CAD"/>
    <w:rsid w:val="00D67D1C"/>
    <w:rsid w:val="00D67DA3"/>
    <w:rsid w:val="00D67DAA"/>
    <w:rsid w:val="00D67E34"/>
    <w:rsid w:val="00D67E65"/>
    <w:rsid w:val="00D67EFF"/>
    <w:rsid w:val="00D67F2F"/>
    <w:rsid w:val="00D67F4F"/>
    <w:rsid w:val="00D67FD1"/>
    <w:rsid w:val="00D700C4"/>
    <w:rsid w:val="00D70138"/>
    <w:rsid w:val="00D70260"/>
    <w:rsid w:val="00D702A2"/>
    <w:rsid w:val="00D702BC"/>
    <w:rsid w:val="00D70372"/>
    <w:rsid w:val="00D70489"/>
    <w:rsid w:val="00D7060C"/>
    <w:rsid w:val="00D706DD"/>
    <w:rsid w:val="00D70A1B"/>
    <w:rsid w:val="00D70A42"/>
    <w:rsid w:val="00D70C47"/>
    <w:rsid w:val="00D70CD3"/>
    <w:rsid w:val="00D70D9F"/>
    <w:rsid w:val="00D70DD7"/>
    <w:rsid w:val="00D70E37"/>
    <w:rsid w:val="00D70F15"/>
    <w:rsid w:val="00D71021"/>
    <w:rsid w:val="00D71090"/>
    <w:rsid w:val="00D71176"/>
    <w:rsid w:val="00D711DA"/>
    <w:rsid w:val="00D7129D"/>
    <w:rsid w:val="00D712C7"/>
    <w:rsid w:val="00D712E2"/>
    <w:rsid w:val="00D712EB"/>
    <w:rsid w:val="00D71445"/>
    <w:rsid w:val="00D7151A"/>
    <w:rsid w:val="00D71594"/>
    <w:rsid w:val="00D717AD"/>
    <w:rsid w:val="00D71826"/>
    <w:rsid w:val="00D7184F"/>
    <w:rsid w:val="00D71947"/>
    <w:rsid w:val="00D71953"/>
    <w:rsid w:val="00D7198D"/>
    <w:rsid w:val="00D71998"/>
    <w:rsid w:val="00D719B1"/>
    <w:rsid w:val="00D71A4B"/>
    <w:rsid w:val="00D71A84"/>
    <w:rsid w:val="00D71B3C"/>
    <w:rsid w:val="00D71C47"/>
    <w:rsid w:val="00D71C79"/>
    <w:rsid w:val="00D71D5A"/>
    <w:rsid w:val="00D71DB5"/>
    <w:rsid w:val="00D71DEB"/>
    <w:rsid w:val="00D71E81"/>
    <w:rsid w:val="00D71FD4"/>
    <w:rsid w:val="00D71FDB"/>
    <w:rsid w:val="00D72189"/>
    <w:rsid w:val="00D7226E"/>
    <w:rsid w:val="00D7231F"/>
    <w:rsid w:val="00D724CD"/>
    <w:rsid w:val="00D72574"/>
    <w:rsid w:val="00D725D3"/>
    <w:rsid w:val="00D726E7"/>
    <w:rsid w:val="00D72770"/>
    <w:rsid w:val="00D72774"/>
    <w:rsid w:val="00D7278F"/>
    <w:rsid w:val="00D727AA"/>
    <w:rsid w:val="00D72845"/>
    <w:rsid w:val="00D72BFE"/>
    <w:rsid w:val="00D72C58"/>
    <w:rsid w:val="00D72C8E"/>
    <w:rsid w:val="00D72D20"/>
    <w:rsid w:val="00D72D85"/>
    <w:rsid w:val="00D72E1D"/>
    <w:rsid w:val="00D72FD1"/>
    <w:rsid w:val="00D7302E"/>
    <w:rsid w:val="00D7303A"/>
    <w:rsid w:val="00D73312"/>
    <w:rsid w:val="00D73423"/>
    <w:rsid w:val="00D73692"/>
    <w:rsid w:val="00D73926"/>
    <w:rsid w:val="00D73A18"/>
    <w:rsid w:val="00D73AA8"/>
    <w:rsid w:val="00D73AED"/>
    <w:rsid w:val="00D73B95"/>
    <w:rsid w:val="00D73BD5"/>
    <w:rsid w:val="00D73C9B"/>
    <w:rsid w:val="00D73D3C"/>
    <w:rsid w:val="00D73E41"/>
    <w:rsid w:val="00D73E73"/>
    <w:rsid w:val="00D73F1E"/>
    <w:rsid w:val="00D73F63"/>
    <w:rsid w:val="00D74152"/>
    <w:rsid w:val="00D74161"/>
    <w:rsid w:val="00D74378"/>
    <w:rsid w:val="00D743BB"/>
    <w:rsid w:val="00D74450"/>
    <w:rsid w:val="00D74692"/>
    <w:rsid w:val="00D74833"/>
    <w:rsid w:val="00D748A3"/>
    <w:rsid w:val="00D7494D"/>
    <w:rsid w:val="00D74A77"/>
    <w:rsid w:val="00D74AC3"/>
    <w:rsid w:val="00D74AF9"/>
    <w:rsid w:val="00D74B41"/>
    <w:rsid w:val="00D74C18"/>
    <w:rsid w:val="00D74D35"/>
    <w:rsid w:val="00D74E11"/>
    <w:rsid w:val="00D74F1A"/>
    <w:rsid w:val="00D74FD0"/>
    <w:rsid w:val="00D75249"/>
    <w:rsid w:val="00D753A3"/>
    <w:rsid w:val="00D75602"/>
    <w:rsid w:val="00D75619"/>
    <w:rsid w:val="00D7573B"/>
    <w:rsid w:val="00D75769"/>
    <w:rsid w:val="00D75809"/>
    <w:rsid w:val="00D75881"/>
    <w:rsid w:val="00D75887"/>
    <w:rsid w:val="00D758E5"/>
    <w:rsid w:val="00D7599A"/>
    <w:rsid w:val="00D759AD"/>
    <w:rsid w:val="00D759C9"/>
    <w:rsid w:val="00D75A7D"/>
    <w:rsid w:val="00D75C5F"/>
    <w:rsid w:val="00D75E46"/>
    <w:rsid w:val="00D75EE8"/>
    <w:rsid w:val="00D75FD7"/>
    <w:rsid w:val="00D7604B"/>
    <w:rsid w:val="00D760A3"/>
    <w:rsid w:val="00D76102"/>
    <w:rsid w:val="00D76137"/>
    <w:rsid w:val="00D76143"/>
    <w:rsid w:val="00D76144"/>
    <w:rsid w:val="00D76207"/>
    <w:rsid w:val="00D7642B"/>
    <w:rsid w:val="00D7644E"/>
    <w:rsid w:val="00D766D6"/>
    <w:rsid w:val="00D76785"/>
    <w:rsid w:val="00D767B7"/>
    <w:rsid w:val="00D76893"/>
    <w:rsid w:val="00D768CE"/>
    <w:rsid w:val="00D768E2"/>
    <w:rsid w:val="00D768FB"/>
    <w:rsid w:val="00D768FF"/>
    <w:rsid w:val="00D769AA"/>
    <w:rsid w:val="00D76B6C"/>
    <w:rsid w:val="00D76C17"/>
    <w:rsid w:val="00D76C58"/>
    <w:rsid w:val="00D76CCF"/>
    <w:rsid w:val="00D76CE7"/>
    <w:rsid w:val="00D76D9B"/>
    <w:rsid w:val="00D76E72"/>
    <w:rsid w:val="00D76E8F"/>
    <w:rsid w:val="00D76E98"/>
    <w:rsid w:val="00D76F0D"/>
    <w:rsid w:val="00D76FF0"/>
    <w:rsid w:val="00D7701A"/>
    <w:rsid w:val="00D77060"/>
    <w:rsid w:val="00D77133"/>
    <w:rsid w:val="00D773C9"/>
    <w:rsid w:val="00D77446"/>
    <w:rsid w:val="00D7748A"/>
    <w:rsid w:val="00D77494"/>
    <w:rsid w:val="00D774B9"/>
    <w:rsid w:val="00D77688"/>
    <w:rsid w:val="00D77696"/>
    <w:rsid w:val="00D77709"/>
    <w:rsid w:val="00D7782C"/>
    <w:rsid w:val="00D7789C"/>
    <w:rsid w:val="00D77914"/>
    <w:rsid w:val="00D7793B"/>
    <w:rsid w:val="00D77B80"/>
    <w:rsid w:val="00D77CC3"/>
    <w:rsid w:val="00D77DFC"/>
    <w:rsid w:val="00D77FB4"/>
    <w:rsid w:val="00D80124"/>
    <w:rsid w:val="00D8015D"/>
    <w:rsid w:val="00D8020D"/>
    <w:rsid w:val="00D80220"/>
    <w:rsid w:val="00D80282"/>
    <w:rsid w:val="00D80397"/>
    <w:rsid w:val="00D803DC"/>
    <w:rsid w:val="00D80432"/>
    <w:rsid w:val="00D804C4"/>
    <w:rsid w:val="00D8061A"/>
    <w:rsid w:val="00D8067A"/>
    <w:rsid w:val="00D808AF"/>
    <w:rsid w:val="00D809AE"/>
    <w:rsid w:val="00D80A9D"/>
    <w:rsid w:val="00D80AA5"/>
    <w:rsid w:val="00D80BF4"/>
    <w:rsid w:val="00D80C38"/>
    <w:rsid w:val="00D80CF6"/>
    <w:rsid w:val="00D80D35"/>
    <w:rsid w:val="00D80D55"/>
    <w:rsid w:val="00D80E65"/>
    <w:rsid w:val="00D80EF6"/>
    <w:rsid w:val="00D8104E"/>
    <w:rsid w:val="00D810A2"/>
    <w:rsid w:val="00D81155"/>
    <w:rsid w:val="00D811A8"/>
    <w:rsid w:val="00D81265"/>
    <w:rsid w:val="00D813C8"/>
    <w:rsid w:val="00D815BD"/>
    <w:rsid w:val="00D816CB"/>
    <w:rsid w:val="00D81727"/>
    <w:rsid w:val="00D817EB"/>
    <w:rsid w:val="00D81811"/>
    <w:rsid w:val="00D81835"/>
    <w:rsid w:val="00D8188A"/>
    <w:rsid w:val="00D818DF"/>
    <w:rsid w:val="00D81902"/>
    <w:rsid w:val="00D81965"/>
    <w:rsid w:val="00D819F9"/>
    <w:rsid w:val="00D81BAE"/>
    <w:rsid w:val="00D81C7A"/>
    <w:rsid w:val="00D81CA9"/>
    <w:rsid w:val="00D81D21"/>
    <w:rsid w:val="00D81D7A"/>
    <w:rsid w:val="00D81DFF"/>
    <w:rsid w:val="00D81E38"/>
    <w:rsid w:val="00D81E5B"/>
    <w:rsid w:val="00D82028"/>
    <w:rsid w:val="00D820F8"/>
    <w:rsid w:val="00D82235"/>
    <w:rsid w:val="00D823CF"/>
    <w:rsid w:val="00D823FF"/>
    <w:rsid w:val="00D82479"/>
    <w:rsid w:val="00D82575"/>
    <w:rsid w:val="00D825B6"/>
    <w:rsid w:val="00D8271C"/>
    <w:rsid w:val="00D827BA"/>
    <w:rsid w:val="00D827C7"/>
    <w:rsid w:val="00D82809"/>
    <w:rsid w:val="00D82816"/>
    <w:rsid w:val="00D829CC"/>
    <w:rsid w:val="00D82A2B"/>
    <w:rsid w:val="00D82AB7"/>
    <w:rsid w:val="00D82BD6"/>
    <w:rsid w:val="00D82C8E"/>
    <w:rsid w:val="00D82DDD"/>
    <w:rsid w:val="00D82E16"/>
    <w:rsid w:val="00D82EED"/>
    <w:rsid w:val="00D82F9F"/>
    <w:rsid w:val="00D830F6"/>
    <w:rsid w:val="00D831D7"/>
    <w:rsid w:val="00D832CC"/>
    <w:rsid w:val="00D83305"/>
    <w:rsid w:val="00D83370"/>
    <w:rsid w:val="00D83385"/>
    <w:rsid w:val="00D833EB"/>
    <w:rsid w:val="00D8350D"/>
    <w:rsid w:val="00D8358F"/>
    <w:rsid w:val="00D835BB"/>
    <w:rsid w:val="00D8367D"/>
    <w:rsid w:val="00D836D7"/>
    <w:rsid w:val="00D8382B"/>
    <w:rsid w:val="00D83838"/>
    <w:rsid w:val="00D83850"/>
    <w:rsid w:val="00D8388D"/>
    <w:rsid w:val="00D8390B"/>
    <w:rsid w:val="00D8390E"/>
    <w:rsid w:val="00D83A48"/>
    <w:rsid w:val="00D83C21"/>
    <w:rsid w:val="00D83CBE"/>
    <w:rsid w:val="00D83CD4"/>
    <w:rsid w:val="00D83DA3"/>
    <w:rsid w:val="00D83FCA"/>
    <w:rsid w:val="00D83FD4"/>
    <w:rsid w:val="00D83FEF"/>
    <w:rsid w:val="00D8409F"/>
    <w:rsid w:val="00D84234"/>
    <w:rsid w:val="00D842EF"/>
    <w:rsid w:val="00D84371"/>
    <w:rsid w:val="00D843FE"/>
    <w:rsid w:val="00D84413"/>
    <w:rsid w:val="00D84434"/>
    <w:rsid w:val="00D84530"/>
    <w:rsid w:val="00D8453D"/>
    <w:rsid w:val="00D8454D"/>
    <w:rsid w:val="00D845A9"/>
    <w:rsid w:val="00D8465F"/>
    <w:rsid w:val="00D846BE"/>
    <w:rsid w:val="00D846CD"/>
    <w:rsid w:val="00D84764"/>
    <w:rsid w:val="00D84797"/>
    <w:rsid w:val="00D847AF"/>
    <w:rsid w:val="00D84ADB"/>
    <w:rsid w:val="00D84B28"/>
    <w:rsid w:val="00D84B40"/>
    <w:rsid w:val="00D84C6D"/>
    <w:rsid w:val="00D84D15"/>
    <w:rsid w:val="00D84D9F"/>
    <w:rsid w:val="00D84DB1"/>
    <w:rsid w:val="00D84DEA"/>
    <w:rsid w:val="00D84E0B"/>
    <w:rsid w:val="00D84E23"/>
    <w:rsid w:val="00D84F70"/>
    <w:rsid w:val="00D851F8"/>
    <w:rsid w:val="00D852F2"/>
    <w:rsid w:val="00D85375"/>
    <w:rsid w:val="00D853FD"/>
    <w:rsid w:val="00D8556D"/>
    <w:rsid w:val="00D855C4"/>
    <w:rsid w:val="00D855F8"/>
    <w:rsid w:val="00D85608"/>
    <w:rsid w:val="00D8565B"/>
    <w:rsid w:val="00D8577D"/>
    <w:rsid w:val="00D857DA"/>
    <w:rsid w:val="00D85800"/>
    <w:rsid w:val="00D85811"/>
    <w:rsid w:val="00D85870"/>
    <w:rsid w:val="00D858E2"/>
    <w:rsid w:val="00D859B5"/>
    <w:rsid w:val="00D85B06"/>
    <w:rsid w:val="00D85B2D"/>
    <w:rsid w:val="00D85B89"/>
    <w:rsid w:val="00D85C5B"/>
    <w:rsid w:val="00D85DFE"/>
    <w:rsid w:val="00D85FB5"/>
    <w:rsid w:val="00D86003"/>
    <w:rsid w:val="00D8618E"/>
    <w:rsid w:val="00D862EA"/>
    <w:rsid w:val="00D862F7"/>
    <w:rsid w:val="00D86315"/>
    <w:rsid w:val="00D8631D"/>
    <w:rsid w:val="00D86376"/>
    <w:rsid w:val="00D8649B"/>
    <w:rsid w:val="00D86537"/>
    <w:rsid w:val="00D8654E"/>
    <w:rsid w:val="00D86637"/>
    <w:rsid w:val="00D8665F"/>
    <w:rsid w:val="00D867B3"/>
    <w:rsid w:val="00D867CC"/>
    <w:rsid w:val="00D868FB"/>
    <w:rsid w:val="00D86907"/>
    <w:rsid w:val="00D86A54"/>
    <w:rsid w:val="00D86AE6"/>
    <w:rsid w:val="00D86BB0"/>
    <w:rsid w:val="00D86C74"/>
    <w:rsid w:val="00D86C87"/>
    <w:rsid w:val="00D86C99"/>
    <w:rsid w:val="00D86D22"/>
    <w:rsid w:val="00D86E1C"/>
    <w:rsid w:val="00D86E6D"/>
    <w:rsid w:val="00D8705F"/>
    <w:rsid w:val="00D87064"/>
    <w:rsid w:val="00D8710C"/>
    <w:rsid w:val="00D87245"/>
    <w:rsid w:val="00D872EB"/>
    <w:rsid w:val="00D873A1"/>
    <w:rsid w:val="00D876B9"/>
    <w:rsid w:val="00D876C6"/>
    <w:rsid w:val="00D876D5"/>
    <w:rsid w:val="00D87720"/>
    <w:rsid w:val="00D8775B"/>
    <w:rsid w:val="00D8778B"/>
    <w:rsid w:val="00D877A1"/>
    <w:rsid w:val="00D879EC"/>
    <w:rsid w:val="00D87BE2"/>
    <w:rsid w:val="00D87C0F"/>
    <w:rsid w:val="00D87CC5"/>
    <w:rsid w:val="00D87CCC"/>
    <w:rsid w:val="00D87CE8"/>
    <w:rsid w:val="00D87D45"/>
    <w:rsid w:val="00D87E47"/>
    <w:rsid w:val="00D87F35"/>
    <w:rsid w:val="00D87FB6"/>
    <w:rsid w:val="00D87FB8"/>
    <w:rsid w:val="00D87FC4"/>
    <w:rsid w:val="00D9004E"/>
    <w:rsid w:val="00D90053"/>
    <w:rsid w:val="00D900A0"/>
    <w:rsid w:val="00D900D3"/>
    <w:rsid w:val="00D901EE"/>
    <w:rsid w:val="00D90201"/>
    <w:rsid w:val="00D90282"/>
    <w:rsid w:val="00D902EA"/>
    <w:rsid w:val="00D9032D"/>
    <w:rsid w:val="00D9035A"/>
    <w:rsid w:val="00D903E3"/>
    <w:rsid w:val="00D90423"/>
    <w:rsid w:val="00D90425"/>
    <w:rsid w:val="00D904A3"/>
    <w:rsid w:val="00D904AB"/>
    <w:rsid w:val="00D904B2"/>
    <w:rsid w:val="00D904C1"/>
    <w:rsid w:val="00D9061B"/>
    <w:rsid w:val="00D9062A"/>
    <w:rsid w:val="00D90638"/>
    <w:rsid w:val="00D90668"/>
    <w:rsid w:val="00D9066E"/>
    <w:rsid w:val="00D906DD"/>
    <w:rsid w:val="00D90713"/>
    <w:rsid w:val="00D90755"/>
    <w:rsid w:val="00D907A3"/>
    <w:rsid w:val="00D907B4"/>
    <w:rsid w:val="00D907EA"/>
    <w:rsid w:val="00D907F6"/>
    <w:rsid w:val="00D9096B"/>
    <w:rsid w:val="00D909AF"/>
    <w:rsid w:val="00D90A64"/>
    <w:rsid w:val="00D90A74"/>
    <w:rsid w:val="00D90ABC"/>
    <w:rsid w:val="00D90B4D"/>
    <w:rsid w:val="00D90BB2"/>
    <w:rsid w:val="00D90C25"/>
    <w:rsid w:val="00D90D54"/>
    <w:rsid w:val="00D90E49"/>
    <w:rsid w:val="00D90ED5"/>
    <w:rsid w:val="00D90F2B"/>
    <w:rsid w:val="00D9101E"/>
    <w:rsid w:val="00D9105D"/>
    <w:rsid w:val="00D9113D"/>
    <w:rsid w:val="00D91197"/>
    <w:rsid w:val="00D9121F"/>
    <w:rsid w:val="00D91295"/>
    <w:rsid w:val="00D912A0"/>
    <w:rsid w:val="00D91309"/>
    <w:rsid w:val="00D9137E"/>
    <w:rsid w:val="00D9146C"/>
    <w:rsid w:val="00D914B5"/>
    <w:rsid w:val="00D914D8"/>
    <w:rsid w:val="00D91590"/>
    <w:rsid w:val="00D9168E"/>
    <w:rsid w:val="00D916CE"/>
    <w:rsid w:val="00D9181E"/>
    <w:rsid w:val="00D91A37"/>
    <w:rsid w:val="00D91AB4"/>
    <w:rsid w:val="00D91B1F"/>
    <w:rsid w:val="00D91BCF"/>
    <w:rsid w:val="00D91C1E"/>
    <w:rsid w:val="00D91C7F"/>
    <w:rsid w:val="00D91CE3"/>
    <w:rsid w:val="00D91D54"/>
    <w:rsid w:val="00D91DF5"/>
    <w:rsid w:val="00D91E06"/>
    <w:rsid w:val="00D91ED0"/>
    <w:rsid w:val="00D91F1A"/>
    <w:rsid w:val="00D91F46"/>
    <w:rsid w:val="00D91FC8"/>
    <w:rsid w:val="00D920D6"/>
    <w:rsid w:val="00D92112"/>
    <w:rsid w:val="00D9219F"/>
    <w:rsid w:val="00D921C2"/>
    <w:rsid w:val="00D921D8"/>
    <w:rsid w:val="00D9223C"/>
    <w:rsid w:val="00D92243"/>
    <w:rsid w:val="00D92435"/>
    <w:rsid w:val="00D924A6"/>
    <w:rsid w:val="00D924C0"/>
    <w:rsid w:val="00D925FD"/>
    <w:rsid w:val="00D92644"/>
    <w:rsid w:val="00D92694"/>
    <w:rsid w:val="00D9269B"/>
    <w:rsid w:val="00D92712"/>
    <w:rsid w:val="00D928D7"/>
    <w:rsid w:val="00D92974"/>
    <w:rsid w:val="00D92BF4"/>
    <w:rsid w:val="00D92D70"/>
    <w:rsid w:val="00D92DD7"/>
    <w:rsid w:val="00D92DFD"/>
    <w:rsid w:val="00D92E7A"/>
    <w:rsid w:val="00D92F5E"/>
    <w:rsid w:val="00D93077"/>
    <w:rsid w:val="00D930C1"/>
    <w:rsid w:val="00D931EA"/>
    <w:rsid w:val="00D9324F"/>
    <w:rsid w:val="00D933CF"/>
    <w:rsid w:val="00D93405"/>
    <w:rsid w:val="00D9340F"/>
    <w:rsid w:val="00D935AA"/>
    <w:rsid w:val="00D935B8"/>
    <w:rsid w:val="00D93739"/>
    <w:rsid w:val="00D93767"/>
    <w:rsid w:val="00D938D7"/>
    <w:rsid w:val="00D939BA"/>
    <w:rsid w:val="00D93ADB"/>
    <w:rsid w:val="00D93B07"/>
    <w:rsid w:val="00D93B82"/>
    <w:rsid w:val="00D93C2E"/>
    <w:rsid w:val="00D93D46"/>
    <w:rsid w:val="00D93D74"/>
    <w:rsid w:val="00D93DA9"/>
    <w:rsid w:val="00D93DEB"/>
    <w:rsid w:val="00D93E18"/>
    <w:rsid w:val="00D93E22"/>
    <w:rsid w:val="00D93E42"/>
    <w:rsid w:val="00D93F26"/>
    <w:rsid w:val="00D93FA7"/>
    <w:rsid w:val="00D94054"/>
    <w:rsid w:val="00D9407D"/>
    <w:rsid w:val="00D940EB"/>
    <w:rsid w:val="00D94129"/>
    <w:rsid w:val="00D94160"/>
    <w:rsid w:val="00D941B3"/>
    <w:rsid w:val="00D9422E"/>
    <w:rsid w:val="00D942BE"/>
    <w:rsid w:val="00D942DC"/>
    <w:rsid w:val="00D943F0"/>
    <w:rsid w:val="00D9440C"/>
    <w:rsid w:val="00D9449A"/>
    <w:rsid w:val="00D94618"/>
    <w:rsid w:val="00D946EE"/>
    <w:rsid w:val="00D94790"/>
    <w:rsid w:val="00D94939"/>
    <w:rsid w:val="00D9494C"/>
    <w:rsid w:val="00D94957"/>
    <w:rsid w:val="00D94C35"/>
    <w:rsid w:val="00D94D39"/>
    <w:rsid w:val="00D94DBD"/>
    <w:rsid w:val="00D94F7F"/>
    <w:rsid w:val="00D94FBA"/>
    <w:rsid w:val="00D9504F"/>
    <w:rsid w:val="00D95073"/>
    <w:rsid w:val="00D9508E"/>
    <w:rsid w:val="00D9531C"/>
    <w:rsid w:val="00D95333"/>
    <w:rsid w:val="00D95345"/>
    <w:rsid w:val="00D954C6"/>
    <w:rsid w:val="00D9552F"/>
    <w:rsid w:val="00D9558E"/>
    <w:rsid w:val="00D955AF"/>
    <w:rsid w:val="00D9564A"/>
    <w:rsid w:val="00D956BA"/>
    <w:rsid w:val="00D956D2"/>
    <w:rsid w:val="00D95934"/>
    <w:rsid w:val="00D95946"/>
    <w:rsid w:val="00D959ED"/>
    <w:rsid w:val="00D95A80"/>
    <w:rsid w:val="00D95AB6"/>
    <w:rsid w:val="00D95B01"/>
    <w:rsid w:val="00D95BD4"/>
    <w:rsid w:val="00D95CEE"/>
    <w:rsid w:val="00D95DEE"/>
    <w:rsid w:val="00D95E77"/>
    <w:rsid w:val="00D9601D"/>
    <w:rsid w:val="00D9606F"/>
    <w:rsid w:val="00D96086"/>
    <w:rsid w:val="00D96091"/>
    <w:rsid w:val="00D960C2"/>
    <w:rsid w:val="00D960DA"/>
    <w:rsid w:val="00D9610D"/>
    <w:rsid w:val="00D96354"/>
    <w:rsid w:val="00D964E7"/>
    <w:rsid w:val="00D96522"/>
    <w:rsid w:val="00D9658C"/>
    <w:rsid w:val="00D965FA"/>
    <w:rsid w:val="00D96634"/>
    <w:rsid w:val="00D96635"/>
    <w:rsid w:val="00D966E6"/>
    <w:rsid w:val="00D9679E"/>
    <w:rsid w:val="00D967AC"/>
    <w:rsid w:val="00D96926"/>
    <w:rsid w:val="00D969D0"/>
    <w:rsid w:val="00D96A54"/>
    <w:rsid w:val="00D96AD5"/>
    <w:rsid w:val="00D96B32"/>
    <w:rsid w:val="00D96C4B"/>
    <w:rsid w:val="00D96CF4"/>
    <w:rsid w:val="00D96E1E"/>
    <w:rsid w:val="00D96F47"/>
    <w:rsid w:val="00D97025"/>
    <w:rsid w:val="00D970FE"/>
    <w:rsid w:val="00D9722F"/>
    <w:rsid w:val="00D972BA"/>
    <w:rsid w:val="00D973A2"/>
    <w:rsid w:val="00D974F0"/>
    <w:rsid w:val="00D97530"/>
    <w:rsid w:val="00D97582"/>
    <w:rsid w:val="00D97584"/>
    <w:rsid w:val="00D978EA"/>
    <w:rsid w:val="00D9790B"/>
    <w:rsid w:val="00D97920"/>
    <w:rsid w:val="00D97A3D"/>
    <w:rsid w:val="00D97A6B"/>
    <w:rsid w:val="00D97B88"/>
    <w:rsid w:val="00D97CE0"/>
    <w:rsid w:val="00D97F12"/>
    <w:rsid w:val="00D97F99"/>
    <w:rsid w:val="00DA00E5"/>
    <w:rsid w:val="00DA00EB"/>
    <w:rsid w:val="00DA011F"/>
    <w:rsid w:val="00DA034F"/>
    <w:rsid w:val="00DA0495"/>
    <w:rsid w:val="00DA052B"/>
    <w:rsid w:val="00DA053E"/>
    <w:rsid w:val="00DA059A"/>
    <w:rsid w:val="00DA062E"/>
    <w:rsid w:val="00DA0713"/>
    <w:rsid w:val="00DA0724"/>
    <w:rsid w:val="00DA0754"/>
    <w:rsid w:val="00DA0757"/>
    <w:rsid w:val="00DA07C8"/>
    <w:rsid w:val="00DA091D"/>
    <w:rsid w:val="00DA0946"/>
    <w:rsid w:val="00DA0A55"/>
    <w:rsid w:val="00DA0B57"/>
    <w:rsid w:val="00DA0BCB"/>
    <w:rsid w:val="00DA0DB2"/>
    <w:rsid w:val="00DA0F21"/>
    <w:rsid w:val="00DA1134"/>
    <w:rsid w:val="00DA1161"/>
    <w:rsid w:val="00DA123B"/>
    <w:rsid w:val="00DA135F"/>
    <w:rsid w:val="00DA1429"/>
    <w:rsid w:val="00DA1484"/>
    <w:rsid w:val="00DA1502"/>
    <w:rsid w:val="00DA157A"/>
    <w:rsid w:val="00DA15D2"/>
    <w:rsid w:val="00DA1642"/>
    <w:rsid w:val="00DA1680"/>
    <w:rsid w:val="00DA16EB"/>
    <w:rsid w:val="00DA174C"/>
    <w:rsid w:val="00DA1780"/>
    <w:rsid w:val="00DA17AA"/>
    <w:rsid w:val="00DA1911"/>
    <w:rsid w:val="00DA192C"/>
    <w:rsid w:val="00DA193B"/>
    <w:rsid w:val="00DA199A"/>
    <w:rsid w:val="00DA1AFA"/>
    <w:rsid w:val="00DA1C35"/>
    <w:rsid w:val="00DA1C66"/>
    <w:rsid w:val="00DA1D79"/>
    <w:rsid w:val="00DA1E4F"/>
    <w:rsid w:val="00DA1E50"/>
    <w:rsid w:val="00DA1EB1"/>
    <w:rsid w:val="00DA1F2F"/>
    <w:rsid w:val="00DA1F63"/>
    <w:rsid w:val="00DA1FD4"/>
    <w:rsid w:val="00DA2024"/>
    <w:rsid w:val="00DA2032"/>
    <w:rsid w:val="00DA2062"/>
    <w:rsid w:val="00DA206B"/>
    <w:rsid w:val="00DA2241"/>
    <w:rsid w:val="00DA2364"/>
    <w:rsid w:val="00DA242B"/>
    <w:rsid w:val="00DA2433"/>
    <w:rsid w:val="00DA24F3"/>
    <w:rsid w:val="00DA2644"/>
    <w:rsid w:val="00DA264F"/>
    <w:rsid w:val="00DA267E"/>
    <w:rsid w:val="00DA26A3"/>
    <w:rsid w:val="00DA2702"/>
    <w:rsid w:val="00DA273D"/>
    <w:rsid w:val="00DA27D3"/>
    <w:rsid w:val="00DA2909"/>
    <w:rsid w:val="00DA2C77"/>
    <w:rsid w:val="00DA2F03"/>
    <w:rsid w:val="00DA2F5A"/>
    <w:rsid w:val="00DA2FAD"/>
    <w:rsid w:val="00DA3000"/>
    <w:rsid w:val="00DA317B"/>
    <w:rsid w:val="00DA3207"/>
    <w:rsid w:val="00DA3255"/>
    <w:rsid w:val="00DA3259"/>
    <w:rsid w:val="00DA32F3"/>
    <w:rsid w:val="00DA33D7"/>
    <w:rsid w:val="00DA3409"/>
    <w:rsid w:val="00DA36B8"/>
    <w:rsid w:val="00DA36BE"/>
    <w:rsid w:val="00DA3933"/>
    <w:rsid w:val="00DA3A41"/>
    <w:rsid w:val="00DA3AFA"/>
    <w:rsid w:val="00DA3B01"/>
    <w:rsid w:val="00DA3C8E"/>
    <w:rsid w:val="00DA3D4D"/>
    <w:rsid w:val="00DA3D6F"/>
    <w:rsid w:val="00DA3DB0"/>
    <w:rsid w:val="00DA3DB3"/>
    <w:rsid w:val="00DA3F49"/>
    <w:rsid w:val="00DA410E"/>
    <w:rsid w:val="00DA4133"/>
    <w:rsid w:val="00DA413A"/>
    <w:rsid w:val="00DA422F"/>
    <w:rsid w:val="00DA43A9"/>
    <w:rsid w:val="00DA448A"/>
    <w:rsid w:val="00DA4498"/>
    <w:rsid w:val="00DA4561"/>
    <w:rsid w:val="00DA46A9"/>
    <w:rsid w:val="00DA46F1"/>
    <w:rsid w:val="00DA4748"/>
    <w:rsid w:val="00DA4768"/>
    <w:rsid w:val="00DA4776"/>
    <w:rsid w:val="00DA4836"/>
    <w:rsid w:val="00DA48BC"/>
    <w:rsid w:val="00DA490E"/>
    <w:rsid w:val="00DA497A"/>
    <w:rsid w:val="00DA49AF"/>
    <w:rsid w:val="00DA49DE"/>
    <w:rsid w:val="00DA4ACD"/>
    <w:rsid w:val="00DA4B5A"/>
    <w:rsid w:val="00DA4BEE"/>
    <w:rsid w:val="00DA4C58"/>
    <w:rsid w:val="00DA4C76"/>
    <w:rsid w:val="00DA4CC1"/>
    <w:rsid w:val="00DA4CF3"/>
    <w:rsid w:val="00DA4D13"/>
    <w:rsid w:val="00DA4D4B"/>
    <w:rsid w:val="00DA503B"/>
    <w:rsid w:val="00DA510F"/>
    <w:rsid w:val="00DA5120"/>
    <w:rsid w:val="00DA523B"/>
    <w:rsid w:val="00DA537E"/>
    <w:rsid w:val="00DA5418"/>
    <w:rsid w:val="00DA5568"/>
    <w:rsid w:val="00DA55C3"/>
    <w:rsid w:val="00DA55F2"/>
    <w:rsid w:val="00DA5751"/>
    <w:rsid w:val="00DA578E"/>
    <w:rsid w:val="00DA593F"/>
    <w:rsid w:val="00DA5A36"/>
    <w:rsid w:val="00DA5A61"/>
    <w:rsid w:val="00DA5BB4"/>
    <w:rsid w:val="00DA5C20"/>
    <w:rsid w:val="00DA5C32"/>
    <w:rsid w:val="00DA5CEA"/>
    <w:rsid w:val="00DA5D15"/>
    <w:rsid w:val="00DA5E37"/>
    <w:rsid w:val="00DA5E48"/>
    <w:rsid w:val="00DA5E61"/>
    <w:rsid w:val="00DA6048"/>
    <w:rsid w:val="00DA6132"/>
    <w:rsid w:val="00DA61CF"/>
    <w:rsid w:val="00DA6226"/>
    <w:rsid w:val="00DA629A"/>
    <w:rsid w:val="00DA632A"/>
    <w:rsid w:val="00DA6393"/>
    <w:rsid w:val="00DA6503"/>
    <w:rsid w:val="00DA669D"/>
    <w:rsid w:val="00DA66FA"/>
    <w:rsid w:val="00DA681A"/>
    <w:rsid w:val="00DA68C1"/>
    <w:rsid w:val="00DA6964"/>
    <w:rsid w:val="00DA6965"/>
    <w:rsid w:val="00DA69C2"/>
    <w:rsid w:val="00DA6A24"/>
    <w:rsid w:val="00DA6B11"/>
    <w:rsid w:val="00DA6C3D"/>
    <w:rsid w:val="00DA6C80"/>
    <w:rsid w:val="00DA6CD8"/>
    <w:rsid w:val="00DA6E95"/>
    <w:rsid w:val="00DA6EFE"/>
    <w:rsid w:val="00DA7055"/>
    <w:rsid w:val="00DA706C"/>
    <w:rsid w:val="00DA71D1"/>
    <w:rsid w:val="00DA7227"/>
    <w:rsid w:val="00DA7357"/>
    <w:rsid w:val="00DA7410"/>
    <w:rsid w:val="00DA74BA"/>
    <w:rsid w:val="00DA7568"/>
    <w:rsid w:val="00DA7663"/>
    <w:rsid w:val="00DA7675"/>
    <w:rsid w:val="00DA7774"/>
    <w:rsid w:val="00DA78F1"/>
    <w:rsid w:val="00DA7994"/>
    <w:rsid w:val="00DA7A25"/>
    <w:rsid w:val="00DA7B73"/>
    <w:rsid w:val="00DA7BA0"/>
    <w:rsid w:val="00DA7C08"/>
    <w:rsid w:val="00DA7C60"/>
    <w:rsid w:val="00DA7D85"/>
    <w:rsid w:val="00DA7E2F"/>
    <w:rsid w:val="00DA7E54"/>
    <w:rsid w:val="00DA7EFA"/>
    <w:rsid w:val="00DB0067"/>
    <w:rsid w:val="00DB00C3"/>
    <w:rsid w:val="00DB0144"/>
    <w:rsid w:val="00DB025E"/>
    <w:rsid w:val="00DB02DE"/>
    <w:rsid w:val="00DB0311"/>
    <w:rsid w:val="00DB03FD"/>
    <w:rsid w:val="00DB044D"/>
    <w:rsid w:val="00DB0493"/>
    <w:rsid w:val="00DB04DB"/>
    <w:rsid w:val="00DB0697"/>
    <w:rsid w:val="00DB07D4"/>
    <w:rsid w:val="00DB091B"/>
    <w:rsid w:val="00DB0AE8"/>
    <w:rsid w:val="00DB0C2C"/>
    <w:rsid w:val="00DB0C92"/>
    <w:rsid w:val="00DB0CF8"/>
    <w:rsid w:val="00DB0D39"/>
    <w:rsid w:val="00DB1006"/>
    <w:rsid w:val="00DB1083"/>
    <w:rsid w:val="00DB10D9"/>
    <w:rsid w:val="00DB1109"/>
    <w:rsid w:val="00DB116D"/>
    <w:rsid w:val="00DB11CE"/>
    <w:rsid w:val="00DB11D1"/>
    <w:rsid w:val="00DB1203"/>
    <w:rsid w:val="00DB120E"/>
    <w:rsid w:val="00DB12B5"/>
    <w:rsid w:val="00DB146E"/>
    <w:rsid w:val="00DB14AB"/>
    <w:rsid w:val="00DB1552"/>
    <w:rsid w:val="00DB15FF"/>
    <w:rsid w:val="00DB169E"/>
    <w:rsid w:val="00DB16A7"/>
    <w:rsid w:val="00DB1776"/>
    <w:rsid w:val="00DB17D0"/>
    <w:rsid w:val="00DB17F9"/>
    <w:rsid w:val="00DB19D0"/>
    <w:rsid w:val="00DB1A04"/>
    <w:rsid w:val="00DB1A65"/>
    <w:rsid w:val="00DB1AB6"/>
    <w:rsid w:val="00DB1D8B"/>
    <w:rsid w:val="00DB1E82"/>
    <w:rsid w:val="00DB1EDB"/>
    <w:rsid w:val="00DB1F11"/>
    <w:rsid w:val="00DB2244"/>
    <w:rsid w:val="00DB2320"/>
    <w:rsid w:val="00DB2395"/>
    <w:rsid w:val="00DB2546"/>
    <w:rsid w:val="00DB2739"/>
    <w:rsid w:val="00DB277A"/>
    <w:rsid w:val="00DB283C"/>
    <w:rsid w:val="00DB2864"/>
    <w:rsid w:val="00DB298F"/>
    <w:rsid w:val="00DB2A75"/>
    <w:rsid w:val="00DB2BB6"/>
    <w:rsid w:val="00DB2C0D"/>
    <w:rsid w:val="00DB2C36"/>
    <w:rsid w:val="00DB2CDB"/>
    <w:rsid w:val="00DB2D19"/>
    <w:rsid w:val="00DB2E2E"/>
    <w:rsid w:val="00DB2E6D"/>
    <w:rsid w:val="00DB2F1D"/>
    <w:rsid w:val="00DB2FDC"/>
    <w:rsid w:val="00DB3020"/>
    <w:rsid w:val="00DB307D"/>
    <w:rsid w:val="00DB3093"/>
    <w:rsid w:val="00DB30E6"/>
    <w:rsid w:val="00DB312B"/>
    <w:rsid w:val="00DB3173"/>
    <w:rsid w:val="00DB31C5"/>
    <w:rsid w:val="00DB3234"/>
    <w:rsid w:val="00DB326D"/>
    <w:rsid w:val="00DB3295"/>
    <w:rsid w:val="00DB3485"/>
    <w:rsid w:val="00DB3523"/>
    <w:rsid w:val="00DB357E"/>
    <w:rsid w:val="00DB363C"/>
    <w:rsid w:val="00DB37E3"/>
    <w:rsid w:val="00DB37FB"/>
    <w:rsid w:val="00DB3828"/>
    <w:rsid w:val="00DB38F0"/>
    <w:rsid w:val="00DB3A84"/>
    <w:rsid w:val="00DB3BFF"/>
    <w:rsid w:val="00DB3C3D"/>
    <w:rsid w:val="00DB3C61"/>
    <w:rsid w:val="00DB3CBB"/>
    <w:rsid w:val="00DB3D81"/>
    <w:rsid w:val="00DB3E17"/>
    <w:rsid w:val="00DB3E7B"/>
    <w:rsid w:val="00DB3EC3"/>
    <w:rsid w:val="00DB3F22"/>
    <w:rsid w:val="00DB3FCC"/>
    <w:rsid w:val="00DB404C"/>
    <w:rsid w:val="00DB4134"/>
    <w:rsid w:val="00DB41D6"/>
    <w:rsid w:val="00DB43A4"/>
    <w:rsid w:val="00DB4623"/>
    <w:rsid w:val="00DB4719"/>
    <w:rsid w:val="00DB4738"/>
    <w:rsid w:val="00DB480D"/>
    <w:rsid w:val="00DB4924"/>
    <w:rsid w:val="00DB4A50"/>
    <w:rsid w:val="00DB4AC5"/>
    <w:rsid w:val="00DB4ACF"/>
    <w:rsid w:val="00DB4C39"/>
    <w:rsid w:val="00DB4E5E"/>
    <w:rsid w:val="00DB4EEA"/>
    <w:rsid w:val="00DB4F3E"/>
    <w:rsid w:val="00DB4FCC"/>
    <w:rsid w:val="00DB5191"/>
    <w:rsid w:val="00DB5203"/>
    <w:rsid w:val="00DB525E"/>
    <w:rsid w:val="00DB52B5"/>
    <w:rsid w:val="00DB5315"/>
    <w:rsid w:val="00DB531A"/>
    <w:rsid w:val="00DB53B3"/>
    <w:rsid w:val="00DB5471"/>
    <w:rsid w:val="00DB5529"/>
    <w:rsid w:val="00DB55A0"/>
    <w:rsid w:val="00DB55B3"/>
    <w:rsid w:val="00DB57B6"/>
    <w:rsid w:val="00DB5883"/>
    <w:rsid w:val="00DB58A6"/>
    <w:rsid w:val="00DB5B58"/>
    <w:rsid w:val="00DB5BB4"/>
    <w:rsid w:val="00DB5BE6"/>
    <w:rsid w:val="00DB5C89"/>
    <w:rsid w:val="00DB5CE4"/>
    <w:rsid w:val="00DB5D25"/>
    <w:rsid w:val="00DB5E2B"/>
    <w:rsid w:val="00DB60C0"/>
    <w:rsid w:val="00DB60F7"/>
    <w:rsid w:val="00DB61F0"/>
    <w:rsid w:val="00DB635B"/>
    <w:rsid w:val="00DB63BE"/>
    <w:rsid w:val="00DB64F7"/>
    <w:rsid w:val="00DB6733"/>
    <w:rsid w:val="00DB6777"/>
    <w:rsid w:val="00DB67A9"/>
    <w:rsid w:val="00DB67CF"/>
    <w:rsid w:val="00DB6827"/>
    <w:rsid w:val="00DB684C"/>
    <w:rsid w:val="00DB686D"/>
    <w:rsid w:val="00DB68B7"/>
    <w:rsid w:val="00DB68E2"/>
    <w:rsid w:val="00DB69FE"/>
    <w:rsid w:val="00DB6A1F"/>
    <w:rsid w:val="00DB6A60"/>
    <w:rsid w:val="00DB6B5F"/>
    <w:rsid w:val="00DB6D28"/>
    <w:rsid w:val="00DB6EB5"/>
    <w:rsid w:val="00DB6F20"/>
    <w:rsid w:val="00DB6F75"/>
    <w:rsid w:val="00DB6FE1"/>
    <w:rsid w:val="00DB7048"/>
    <w:rsid w:val="00DB70A5"/>
    <w:rsid w:val="00DB70A8"/>
    <w:rsid w:val="00DB71CD"/>
    <w:rsid w:val="00DB726F"/>
    <w:rsid w:val="00DB74FB"/>
    <w:rsid w:val="00DB7516"/>
    <w:rsid w:val="00DB7558"/>
    <w:rsid w:val="00DB75AB"/>
    <w:rsid w:val="00DB7711"/>
    <w:rsid w:val="00DB7864"/>
    <w:rsid w:val="00DB78FF"/>
    <w:rsid w:val="00DB795B"/>
    <w:rsid w:val="00DB7A07"/>
    <w:rsid w:val="00DB7A8E"/>
    <w:rsid w:val="00DB7BD2"/>
    <w:rsid w:val="00DB7C06"/>
    <w:rsid w:val="00DB7C23"/>
    <w:rsid w:val="00DB7CEB"/>
    <w:rsid w:val="00DB7D1C"/>
    <w:rsid w:val="00DB7D4A"/>
    <w:rsid w:val="00DB7ED3"/>
    <w:rsid w:val="00DB7EF0"/>
    <w:rsid w:val="00DB7F2F"/>
    <w:rsid w:val="00DB7F95"/>
    <w:rsid w:val="00DC002E"/>
    <w:rsid w:val="00DC0095"/>
    <w:rsid w:val="00DC00B3"/>
    <w:rsid w:val="00DC01FB"/>
    <w:rsid w:val="00DC0212"/>
    <w:rsid w:val="00DC0270"/>
    <w:rsid w:val="00DC027B"/>
    <w:rsid w:val="00DC02CC"/>
    <w:rsid w:val="00DC0384"/>
    <w:rsid w:val="00DC0481"/>
    <w:rsid w:val="00DC055B"/>
    <w:rsid w:val="00DC0645"/>
    <w:rsid w:val="00DC06E1"/>
    <w:rsid w:val="00DC07E4"/>
    <w:rsid w:val="00DC08F8"/>
    <w:rsid w:val="00DC09C7"/>
    <w:rsid w:val="00DC0AA4"/>
    <w:rsid w:val="00DC0AAE"/>
    <w:rsid w:val="00DC0ABE"/>
    <w:rsid w:val="00DC0B34"/>
    <w:rsid w:val="00DC0B4B"/>
    <w:rsid w:val="00DC0C16"/>
    <w:rsid w:val="00DC0D49"/>
    <w:rsid w:val="00DC0D60"/>
    <w:rsid w:val="00DC0E00"/>
    <w:rsid w:val="00DC0F06"/>
    <w:rsid w:val="00DC0F67"/>
    <w:rsid w:val="00DC0FB2"/>
    <w:rsid w:val="00DC0FF0"/>
    <w:rsid w:val="00DC1038"/>
    <w:rsid w:val="00DC10DD"/>
    <w:rsid w:val="00DC117F"/>
    <w:rsid w:val="00DC12E4"/>
    <w:rsid w:val="00DC1350"/>
    <w:rsid w:val="00DC13D3"/>
    <w:rsid w:val="00DC15DB"/>
    <w:rsid w:val="00DC16E1"/>
    <w:rsid w:val="00DC1752"/>
    <w:rsid w:val="00DC1818"/>
    <w:rsid w:val="00DC193E"/>
    <w:rsid w:val="00DC1CBF"/>
    <w:rsid w:val="00DC1D1D"/>
    <w:rsid w:val="00DC1D8C"/>
    <w:rsid w:val="00DC1DA2"/>
    <w:rsid w:val="00DC1E35"/>
    <w:rsid w:val="00DC1E89"/>
    <w:rsid w:val="00DC1F2B"/>
    <w:rsid w:val="00DC223B"/>
    <w:rsid w:val="00DC22B2"/>
    <w:rsid w:val="00DC26A2"/>
    <w:rsid w:val="00DC2779"/>
    <w:rsid w:val="00DC28A7"/>
    <w:rsid w:val="00DC28AA"/>
    <w:rsid w:val="00DC2A9B"/>
    <w:rsid w:val="00DC2AA2"/>
    <w:rsid w:val="00DC2CBF"/>
    <w:rsid w:val="00DC2D0E"/>
    <w:rsid w:val="00DC2D37"/>
    <w:rsid w:val="00DC2DC4"/>
    <w:rsid w:val="00DC304D"/>
    <w:rsid w:val="00DC309B"/>
    <w:rsid w:val="00DC30B2"/>
    <w:rsid w:val="00DC333A"/>
    <w:rsid w:val="00DC33EA"/>
    <w:rsid w:val="00DC3426"/>
    <w:rsid w:val="00DC3440"/>
    <w:rsid w:val="00DC3525"/>
    <w:rsid w:val="00DC3571"/>
    <w:rsid w:val="00DC36FA"/>
    <w:rsid w:val="00DC3826"/>
    <w:rsid w:val="00DC3833"/>
    <w:rsid w:val="00DC393D"/>
    <w:rsid w:val="00DC3941"/>
    <w:rsid w:val="00DC3B46"/>
    <w:rsid w:val="00DC3B90"/>
    <w:rsid w:val="00DC3C6F"/>
    <w:rsid w:val="00DC3D28"/>
    <w:rsid w:val="00DC3D36"/>
    <w:rsid w:val="00DC3D60"/>
    <w:rsid w:val="00DC3D91"/>
    <w:rsid w:val="00DC3DFF"/>
    <w:rsid w:val="00DC3E9A"/>
    <w:rsid w:val="00DC3EEF"/>
    <w:rsid w:val="00DC3F78"/>
    <w:rsid w:val="00DC3F81"/>
    <w:rsid w:val="00DC4047"/>
    <w:rsid w:val="00DC4165"/>
    <w:rsid w:val="00DC4166"/>
    <w:rsid w:val="00DC41A3"/>
    <w:rsid w:val="00DC4713"/>
    <w:rsid w:val="00DC4804"/>
    <w:rsid w:val="00DC49BF"/>
    <w:rsid w:val="00DC4CA4"/>
    <w:rsid w:val="00DC4CAD"/>
    <w:rsid w:val="00DC4CAF"/>
    <w:rsid w:val="00DC4F27"/>
    <w:rsid w:val="00DC50E6"/>
    <w:rsid w:val="00DC510A"/>
    <w:rsid w:val="00DC51FA"/>
    <w:rsid w:val="00DC5219"/>
    <w:rsid w:val="00DC5302"/>
    <w:rsid w:val="00DC5527"/>
    <w:rsid w:val="00DC557B"/>
    <w:rsid w:val="00DC5583"/>
    <w:rsid w:val="00DC55A8"/>
    <w:rsid w:val="00DC55DB"/>
    <w:rsid w:val="00DC574A"/>
    <w:rsid w:val="00DC57D5"/>
    <w:rsid w:val="00DC5911"/>
    <w:rsid w:val="00DC59DB"/>
    <w:rsid w:val="00DC5AA5"/>
    <w:rsid w:val="00DC5B09"/>
    <w:rsid w:val="00DC5B86"/>
    <w:rsid w:val="00DC5BD5"/>
    <w:rsid w:val="00DC5C45"/>
    <w:rsid w:val="00DC5E6B"/>
    <w:rsid w:val="00DC5F59"/>
    <w:rsid w:val="00DC5FFB"/>
    <w:rsid w:val="00DC6044"/>
    <w:rsid w:val="00DC60FB"/>
    <w:rsid w:val="00DC614C"/>
    <w:rsid w:val="00DC615D"/>
    <w:rsid w:val="00DC62FF"/>
    <w:rsid w:val="00DC635C"/>
    <w:rsid w:val="00DC6412"/>
    <w:rsid w:val="00DC643B"/>
    <w:rsid w:val="00DC6504"/>
    <w:rsid w:val="00DC6644"/>
    <w:rsid w:val="00DC6646"/>
    <w:rsid w:val="00DC6716"/>
    <w:rsid w:val="00DC672D"/>
    <w:rsid w:val="00DC6738"/>
    <w:rsid w:val="00DC676C"/>
    <w:rsid w:val="00DC67CB"/>
    <w:rsid w:val="00DC68EC"/>
    <w:rsid w:val="00DC69E1"/>
    <w:rsid w:val="00DC6A13"/>
    <w:rsid w:val="00DC6AA3"/>
    <w:rsid w:val="00DC6C4A"/>
    <w:rsid w:val="00DC6D2F"/>
    <w:rsid w:val="00DC6D70"/>
    <w:rsid w:val="00DC6D79"/>
    <w:rsid w:val="00DC6D86"/>
    <w:rsid w:val="00DC70B6"/>
    <w:rsid w:val="00DC70FF"/>
    <w:rsid w:val="00DC7103"/>
    <w:rsid w:val="00DC713D"/>
    <w:rsid w:val="00DC7308"/>
    <w:rsid w:val="00DC7323"/>
    <w:rsid w:val="00DC7372"/>
    <w:rsid w:val="00DC7387"/>
    <w:rsid w:val="00DC73AC"/>
    <w:rsid w:val="00DC73F6"/>
    <w:rsid w:val="00DC7515"/>
    <w:rsid w:val="00DC752A"/>
    <w:rsid w:val="00DC7530"/>
    <w:rsid w:val="00DC7581"/>
    <w:rsid w:val="00DC75A8"/>
    <w:rsid w:val="00DC7609"/>
    <w:rsid w:val="00DC770F"/>
    <w:rsid w:val="00DC79F3"/>
    <w:rsid w:val="00DC7A51"/>
    <w:rsid w:val="00DC7BA0"/>
    <w:rsid w:val="00DC7BF9"/>
    <w:rsid w:val="00DC7D50"/>
    <w:rsid w:val="00DC7E1E"/>
    <w:rsid w:val="00DC7E37"/>
    <w:rsid w:val="00DC7EDE"/>
    <w:rsid w:val="00DC7F20"/>
    <w:rsid w:val="00DC7F28"/>
    <w:rsid w:val="00DC7F5B"/>
    <w:rsid w:val="00DC7FCB"/>
    <w:rsid w:val="00DD0009"/>
    <w:rsid w:val="00DD005F"/>
    <w:rsid w:val="00DD0199"/>
    <w:rsid w:val="00DD01EB"/>
    <w:rsid w:val="00DD037B"/>
    <w:rsid w:val="00DD03D3"/>
    <w:rsid w:val="00DD04EE"/>
    <w:rsid w:val="00DD0522"/>
    <w:rsid w:val="00DD05EC"/>
    <w:rsid w:val="00DD0695"/>
    <w:rsid w:val="00DD070C"/>
    <w:rsid w:val="00DD0826"/>
    <w:rsid w:val="00DD0907"/>
    <w:rsid w:val="00DD096D"/>
    <w:rsid w:val="00DD0A05"/>
    <w:rsid w:val="00DD0B67"/>
    <w:rsid w:val="00DD0BC1"/>
    <w:rsid w:val="00DD0BCC"/>
    <w:rsid w:val="00DD0BF6"/>
    <w:rsid w:val="00DD0C51"/>
    <w:rsid w:val="00DD0CAF"/>
    <w:rsid w:val="00DD0CD7"/>
    <w:rsid w:val="00DD0DCD"/>
    <w:rsid w:val="00DD0E8D"/>
    <w:rsid w:val="00DD0F1D"/>
    <w:rsid w:val="00DD0FA4"/>
    <w:rsid w:val="00DD1053"/>
    <w:rsid w:val="00DD105C"/>
    <w:rsid w:val="00DD10CF"/>
    <w:rsid w:val="00DD1140"/>
    <w:rsid w:val="00DD116D"/>
    <w:rsid w:val="00DD11B1"/>
    <w:rsid w:val="00DD127F"/>
    <w:rsid w:val="00DD1366"/>
    <w:rsid w:val="00DD140F"/>
    <w:rsid w:val="00DD143A"/>
    <w:rsid w:val="00DD144F"/>
    <w:rsid w:val="00DD145B"/>
    <w:rsid w:val="00DD14D7"/>
    <w:rsid w:val="00DD153F"/>
    <w:rsid w:val="00DD187D"/>
    <w:rsid w:val="00DD1880"/>
    <w:rsid w:val="00DD18DD"/>
    <w:rsid w:val="00DD197F"/>
    <w:rsid w:val="00DD19B0"/>
    <w:rsid w:val="00DD19E7"/>
    <w:rsid w:val="00DD1B22"/>
    <w:rsid w:val="00DD1C09"/>
    <w:rsid w:val="00DD1C17"/>
    <w:rsid w:val="00DD1D35"/>
    <w:rsid w:val="00DD1D83"/>
    <w:rsid w:val="00DD1FF2"/>
    <w:rsid w:val="00DD202E"/>
    <w:rsid w:val="00DD238E"/>
    <w:rsid w:val="00DD23BC"/>
    <w:rsid w:val="00DD23C3"/>
    <w:rsid w:val="00DD246B"/>
    <w:rsid w:val="00DD257F"/>
    <w:rsid w:val="00DD2804"/>
    <w:rsid w:val="00DD29AE"/>
    <w:rsid w:val="00DD29BC"/>
    <w:rsid w:val="00DD29CF"/>
    <w:rsid w:val="00DD2A22"/>
    <w:rsid w:val="00DD2CA3"/>
    <w:rsid w:val="00DD2CAA"/>
    <w:rsid w:val="00DD2D21"/>
    <w:rsid w:val="00DD2D53"/>
    <w:rsid w:val="00DD2D90"/>
    <w:rsid w:val="00DD2E12"/>
    <w:rsid w:val="00DD2E33"/>
    <w:rsid w:val="00DD2E57"/>
    <w:rsid w:val="00DD2E95"/>
    <w:rsid w:val="00DD2FAB"/>
    <w:rsid w:val="00DD31A1"/>
    <w:rsid w:val="00DD31BB"/>
    <w:rsid w:val="00DD31FC"/>
    <w:rsid w:val="00DD320C"/>
    <w:rsid w:val="00DD3266"/>
    <w:rsid w:val="00DD339D"/>
    <w:rsid w:val="00DD33FB"/>
    <w:rsid w:val="00DD3596"/>
    <w:rsid w:val="00DD3640"/>
    <w:rsid w:val="00DD38EB"/>
    <w:rsid w:val="00DD3975"/>
    <w:rsid w:val="00DD3A93"/>
    <w:rsid w:val="00DD3ABD"/>
    <w:rsid w:val="00DD3B7B"/>
    <w:rsid w:val="00DD3B85"/>
    <w:rsid w:val="00DD3B97"/>
    <w:rsid w:val="00DD3CA3"/>
    <w:rsid w:val="00DD3E39"/>
    <w:rsid w:val="00DD3E8A"/>
    <w:rsid w:val="00DD3F4A"/>
    <w:rsid w:val="00DD3FEC"/>
    <w:rsid w:val="00DD4049"/>
    <w:rsid w:val="00DD40D2"/>
    <w:rsid w:val="00DD4145"/>
    <w:rsid w:val="00DD4179"/>
    <w:rsid w:val="00DD4282"/>
    <w:rsid w:val="00DD4341"/>
    <w:rsid w:val="00DD43F5"/>
    <w:rsid w:val="00DD43F7"/>
    <w:rsid w:val="00DD45E1"/>
    <w:rsid w:val="00DD45EB"/>
    <w:rsid w:val="00DD46FF"/>
    <w:rsid w:val="00DD488C"/>
    <w:rsid w:val="00DD4907"/>
    <w:rsid w:val="00DD492A"/>
    <w:rsid w:val="00DD497B"/>
    <w:rsid w:val="00DD49EF"/>
    <w:rsid w:val="00DD4A5A"/>
    <w:rsid w:val="00DD4B07"/>
    <w:rsid w:val="00DD4BA2"/>
    <w:rsid w:val="00DD4C66"/>
    <w:rsid w:val="00DD4CE7"/>
    <w:rsid w:val="00DD4ED7"/>
    <w:rsid w:val="00DD4FA5"/>
    <w:rsid w:val="00DD4FF6"/>
    <w:rsid w:val="00DD500D"/>
    <w:rsid w:val="00DD528C"/>
    <w:rsid w:val="00DD52DC"/>
    <w:rsid w:val="00DD5347"/>
    <w:rsid w:val="00DD55EC"/>
    <w:rsid w:val="00DD5669"/>
    <w:rsid w:val="00DD56BC"/>
    <w:rsid w:val="00DD56D5"/>
    <w:rsid w:val="00DD57C6"/>
    <w:rsid w:val="00DD5833"/>
    <w:rsid w:val="00DD5925"/>
    <w:rsid w:val="00DD59F1"/>
    <w:rsid w:val="00DD5A0B"/>
    <w:rsid w:val="00DD5A14"/>
    <w:rsid w:val="00DD5AFE"/>
    <w:rsid w:val="00DD5B09"/>
    <w:rsid w:val="00DD5B93"/>
    <w:rsid w:val="00DD5CB1"/>
    <w:rsid w:val="00DD5CE0"/>
    <w:rsid w:val="00DD5E02"/>
    <w:rsid w:val="00DD5E32"/>
    <w:rsid w:val="00DD5EA0"/>
    <w:rsid w:val="00DD5F0F"/>
    <w:rsid w:val="00DD5FA8"/>
    <w:rsid w:val="00DD5FED"/>
    <w:rsid w:val="00DD6094"/>
    <w:rsid w:val="00DD60C5"/>
    <w:rsid w:val="00DD61C1"/>
    <w:rsid w:val="00DD61FE"/>
    <w:rsid w:val="00DD62BF"/>
    <w:rsid w:val="00DD631F"/>
    <w:rsid w:val="00DD63A1"/>
    <w:rsid w:val="00DD63E1"/>
    <w:rsid w:val="00DD6485"/>
    <w:rsid w:val="00DD6498"/>
    <w:rsid w:val="00DD64F9"/>
    <w:rsid w:val="00DD66AD"/>
    <w:rsid w:val="00DD66BA"/>
    <w:rsid w:val="00DD6749"/>
    <w:rsid w:val="00DD67AE"/>
    <w:rsid w:val="00DD69A3"/>
    <w:rsid w:val="00DD69C2"/>
    <w:rsid w:val="00DD6BFC"/>
    <w:rsid w:val="00DD6C95"/>
    <w:rsid w:val="00DD6D0F"/>
    <w:rsid w:val="00DD6D71"/>
    <w:rsid w:val="00DD6EF7"/>
    <w:rsid w:val="00DD6F5C"/>
    <w:rsid w:val="00DD6F94"/>
    <w:rsid w:val="00DD7095"/>
    <w:rsid w:val="00DD70E4"/>
    <w:rsid w:val="00DD7166"/>
    <w:rsid w:val="00DD716A"/>
    <w:rsid w:val="00DD7332"/>
    <w:rsid w:val="00DD734D"/>
    <w:rsid w:val="00DD7425"/>
    <w:rsid w:val="00DD742A"/>
    <w:rsid w:val="00DD74A5"/>
    <w:rsid w:val="00DD74CD"/>
    <w:rsid w:val="00DD74D2"/>
    <w:rsid w:val="00DD74E3"/>
    <w:rsid w:val="00DD74EC"/>
    <w:rsid w:val="00DD75FA"/>
    <w:rsid w:val="00DD769A"/>
    <w:rsid w:val="00DD76F5"/>
    <w:rsid w:val="00DD7983"/>
    <w:rsid w:val="00DD79F2"/>
    <w:rsid w:val="00DD79F9"/>
    <w:rsid w:val="00DD7A05"/>
    <w:rsid w:val="00DD7BEE"/>
    <w:rsid w:val="00DD7BF9"/>
    <w:rsid w:val="00DD7CB8"/>
    <w:rsid w:val="00DD7CB9"/>
    <w:rsid w:val="00DD7D41"/>
    <w:rsid w:val="00DD7E09"/>
    <w:rsid w:val="00DD7E0D"/>
    <w:rsid w:val="00DD7E5A"/>
    <w:rsid w:val="00DE0075"/>
    <w:rsid w:val="00DE00F9"/>
    <w:rsid w:val="00DE01A5"/>
    <w:rsid w:val="00DE0268"/>
    <w:rsid w:val="00DE02CC"/>
    <w:rsid w:val="00DE02F7"/>
    <w:rsid w:val="00DE03C8"/>
    <w:rsid w:val="00DE0447"/>
    <w:rsid w:val="00DE04C2"/>
    <w:rsid w:val="00DE04C9"/>
    <w:rsid w:val="00DE054C"/>
    <w:rsid w:val="00DE06D8"/>
    <w:rsid w:val="00DE06F0"/>
    <w:rsid w:val="00DE077B"/>
    <w:rsid w:val="00DE07F2"/>
    <w:rsid w:val="00DE0B38"/>
    <w:rsid w:val="00DE0BA9"/>
    <w:rsid w:val="00DE0CF8"/>
    <w:rsid w:val="00DE0D09"/>
    <w:rsid w:val="00DE0FB5"/>
    <w:rsid w:val="00DE0FC2"/>
    <w:rsid w:val="00DE0FF9"/>
    <w:rsid w:val="00DE11A8"/>
    <w:rsid w:val="00DE1207"/>
    <w:rsid w:val="00DE1286"/>
    <w:rsid w:val="00DE12DD"/>
    <w:rsid w:val="00DE12FA"/>
    <w:rsid w:val="00DE1502"/>
    <w:rsid w:val="00DE193A"/>
    <w:rsid w:val="00DE197C"/>
    <w:rsid w:val="00DE1993"/>
    <w:rsid w:val="00DE1A93"/>
    <w:rsid w:val="00DE1B42"/>
    <w:rsid w:val="00DE1B58"/>
    <w:rsid w:val="00DE1BD0"/>
    <w:rsid w:val="00DE1BED"/>
    <w:rsid w:val="00DE1C08"/>
    <w:rsid w:val="00DE1DCE"/>
    <w:rsid w:val="00DE1DDA"/>
    <w:rsid w:val="00DE1E22"/>
    <w:rsid w:val="00DE1E69"/>
    <w:rsid w:val="00DE1E86"/>
    <w:rsid w:val="00DE1F77"/>
    <w:rsid w:val="00DE20B2"/>
    <w:rsid w:val="00DE20B4"/>
    <w:rsid w:val="00DE20D6"/>
    <w:rsid w:val="00DE21A6"/>
    <w:rsid w:val="00DE21C7"/>
    <w:rsid w:val="00DE2242"/>
    <w:rsid w:val="00DE2376"/>
    <w:rsid w:val="00DE256D"/>
    <w:rsid w:val="00DE25DD"/>
    <w:rsid w:val="00DE2640"/>
    <w:rsid w:val="00DE28AD"/>
    <w:rsid w:val="00DE28EE"/>
    <w:rsid w:val="00DE2974"/>
    <w:rsid w:val="00DE2A3A"/>
    <w:rsid w:val="00DE2A75"/>
    <w:rsid w:val="00DE2ABC"/>
    <w:rsid w:val="00DE2BAC"/>
    <w:rsid w:val="00DE2D9F"/>
    <w:rsid w:val="00DE2F10"/>
    <w:rsid w:val="00DE2FAE"/>
    <w:rsid w:val="00DE2FFE"/>
    <w:rsid w:val="00DE300B"/>
    <w:rsid w:val="00DE3020"/>
    <w:rsid w:val="00DE311E"/>
    <w:rsid w:val="00DE33B5"/>
    <w:rsid w:val="00DE353D"/>
    <w:rsid w:val="00DE3547"/>
    <w:rsid w:val="00DE3679"/>
    <w:rsid w:val="00DE3726"/>
    <w:rsid w:val="00DE380A"/>
    <w:rsid w:val="00DE382B"/>
    <w:rsid w:val="00DE3830"/>
    <w:rsid w:val="00DE3895"/>
    <w:rsid w:val="00DE3982"/>
    <w:rsid w:val="00DE3A00"/>
    <w:rsid w:val="00DE3A92"/>
    <w:rsid w:val="00DE3C73"/>
    <w:rsid w:val="00DE3D3D"/>
    <w:rsid w:val="00DE3D7B"/>
    <w:rsid w:val="00DE3F23"/>
    <w:rsid w:val="00DE3FB0"/>
    <w:rsid w:val="00DE3FBD"/>
    <w:rsid w:val="00DE40A5"/>
    <w:rsid w:val="00DE40B7"/>
    <w:rsid w:val="00DE4105"/>
    <w:rsid w:val="00DE4116"/>
    <w:rsid w:val="00DE41C1"/>
    <w:rsid w:val="00DE42AB"/>
    <w:rsid w:val="00DE42F0"/>
    <w:rsid w:val="00DE435A"/>
    <w:rsid w:val="00DE437D"/>
    <w:rsid w:val="00DE43DB"/>
    <w:rsid w:val="00DE4428"/>
    <w:rsid w:val="00DE4436"/>
    <w:rsid w:val="00DE448A"/>
    <w:rsid w:val="00DE44BD"/>
    <w:rsid w:val="00DE451C"/>
    <w:rsid w:val="00DE452A"/>
    <w:rsid w:val="00DE4635"/>
    <w:rsid w:val="00DE4690"/>
    <w:rsid w:val="00DE46AF"/>
    <w:rsid w:val="00DE4A4A"/>
    <w:rsid w:val="00DE4B0B"/>
    <w:rsid w:val="00DE4D31"/>
    <w:rsid w:val="00DE4DCA"/>
    <w:rsid w:val="00DE4DE9"/>
    <w:rsid w:val="00DE4EA7"/>
    <w:rsid w:val="00DE5026"/>
    <w:rsid w:val="00DE5094"/>
    <w:rsid w:val="00DE51BC"/>
    <w:rsid w:val="00DE5298"/>
    <w:rsid w:val="00DE52E7"/>
    <w:rsid w:val="00DE52EE"/>
    <w:rsid w:val="00DE533B"/>
    <w:rsid w:val="00DE5412"/>
    <w:rsid w:val="00DE545C"/>
    <w:rsid w:val="00DE5484"/>
    <w:rsid w:val="00DE55BD"/>
    <w:rsid w:val="00DE56E9"/>
    <w:rsid w:val="00DE57B9"/>
    <w:rsid w:val="00DE57E8"/>
    <w:rsid w:val="00DE589D"/>
    <w:rsid w:val="00DE5986"/>
    <w:rsid w:val="00DE59F4"/>
    <w:rsid w:val="00DE5B24"/>
    <w:rsid w:val="00DE5B46"/>
    <w:rsid w:val="00DE5BD0"/>
    <w:rsid w:val="00DE5C1A"/>
    <w:rsid w:val="00DE5C89"/>
    <w:rsid w:val="00DE5EA6"/>
    <w:rsid w:val="00DE5F1A"/>
    <w:rsid w:val="00DE5F66"/>
    <w:rsid w:val="00DE605D"/>
    <w:rsid w:val="00DE612E"/>
    <w:rsid w:val="00DE6139"/>
    <w:rsid w:val="00DE617D"/>
    <w:rsid w:val="00DE61BC"/>
    <w:rsid w:val="00DE61CF"/>
    <w:rsid w:val="00DE61E3"/>
    <w:rsid w:val="00DE626C"/>
    <w:rsid w:val="00DE6292"/>
    <w:rsid w:val="00DE6328"/>
    <w:rsid w:val="00DE640C"/>
    <w:rsid w:val="00DE6499"/>
    <w:rsid w:val="00DE655A"/>
    <w:rsid w:val="00DE6573"/>
    <w:rsid w:val="00DE657A"/>
    <w:rsid w:val="00DE6709"/>
    <w:rsid w:val="00DE670F"/>
    <w:rsid w:val="00DE6767"/>
    <w:rsid w:val="00DE679E"/>
    <w:rsid w:val="00DE67EB"/>
    <w:rsid w:val="00DE6841"/>
    <w:rsid w:val="00DE6862"/>
    <w:rsid w:val="00DE69E1"/>
    <w:rsid w:val="00DE6A7A"/>
    <w:rsid w:val="00DE6B33"/>
    <w:rsid w:val="00DE6C72"/>
    <w:rsid w:val="00DE6D30"/>
    <w:rsid w:val="00DE6DB9"/>
    <w:rsid w:val="00DE6DFC"/>
    <w:rsid w:val="00DE6E67"/>
    <w:rsid w:val="00DE6E8A"/>
    <w:rsid w:val="00DE6EC0"/>
    <w:rsid w:val="00DE7054"/>
    <w:rsid w:val="00DE70ED"/>
    <w:rsid w:val="00DE7148"/>
    <w:rsid w:val="00DE7158"/>
    <w:rsid w:val="00DE721A"/>
    <w:rsid w:val="00DE722B"/>
    <w:rsid w:val="00DE728C"/>
    <w:rsid w:val="00DE72F7"/>
    <w:rsid w:val="00DE7305"/>
    <w:rsid w:val="00DE733B"/>
    <w:rsid w:val="00DE7459"/>
    <w:rsid w:val="00DE74F2"/>
    <w:rsid w:val="00DE7548"/>
    <w:rsid w:val="00DE7682"/>
    <w:rsid w:val="00DE7695"/>
    <w:rsid w:val="00DE76B0"/>
    <w:rsid w:val="00DE7799"/>
    <w:rsid w:val="00DE77E3"/>
    <w:rsid w:val="00DE7806"/>
    <w:rsid w:val="00DE7989"/>
    <w:rsid w:val="00DE7A2E"/>
    <w:rsid w:val="00DE7AC2"/>
    <w:rsid w:val="00DE7C2B"/>
    <w:rsid w:val="00DE7CB3"/>
    <w:rsid w:val="00DE7CFD"/>
    <w:rsid w:val="00DE7DD3"/>
    <w:rsid w:val="00DE7E23"/>
    <w:rsid w:val="00DE7E42"/>
    <w:rsid w:val="00DE7F0F"/>
    <w:rsid w:val="00DF0003"/>
    <w:rsid w:val="00DF01D9"/>
    <w:rsid w:val="00DF02C1"/>
    <w:rsid w:val="00DF0550"/>
    <w:rsid w:val="00DF0590"/>
    <w:rsid w:val="00DF0742"/>
    <w:rsid w:val="00DF07D7"/>
    <w:rsid w:val="00DF07E5"/>
    <w:rsid w:val="00DF082E"/>
    <w:rsid w:val="00DF0873"/>
    <w:rsid w:val="00DF08A3"/>
    <w:rsid w:val="00DF09BE"/>
    <w:rsid w:val="00DF0AE5"/>
    <w:rsid w:val="00DF0C85"/>
    <w:rsid w:val="00DF0D4A"/>
    <w:rsid w:val="00DF0E28"/>
    <w:rsid w:val="00DF0E38"/>
    <w:rsid w:val="00DF0E8E"/>
    <w:rsid w:val="00DF101E"/>
    <w:rsid w:val="00DF1054"/>
    <w:rsid w:val="00DF10A1"/>
    <w:rsid w:val="00DF10CB"/>
    <w:rsid w:val="00DF122F"/>
    <w:rsid w:val="00DF123D"/>
    <w:rsid w:val="00DF12F8"/>
    <w:rsid w:val="00DF13AD"/>
    <w:rsid w:val="00DF155E"/>
    <w:rsid w:val="00DF15AC"/>
    <w:rsid w:val="00DF15E2"/>
    <w:rsid w:val="00DF15F5"/>
    <w:rsid w:val="00DF1701"/>
    <w:rsid w:val="00DF174E"/>
    <w:rsid w:val="00DF1786"/>
    <w:rsid w:val="00DF17ED"/>
    <w:rsid w:val="00DF1803"/>
    <w:rsid w:val="00DF1848"/>
    <w:rsid w:val="00DF1912"/>
    <w:rsid w:val="00DF19AF"/>
    <w:rsid w:val="00DF19ED"/>
    <w:rsid w:val="00DF1A0C"/>
    <w:rsid w:val="00DF1A8D"/>
    <w:rsid w:val="00DF1B17"/>
    <w:rsid w:val="00DF1B23"/>
    <w:rsid w:val="00DF1D1D"/>
    <w:rsid w:val="00DF1ECE"/>
    <w:rsid w:val="00DF1F1C"/>
    <w:rsid w:val="00DF1F6B"/>
    <w:rsid w:val="00DF2144"/>
    <w:rsid w:val="00DF2164"/>
    <w:rsid w:val="00DF218E"/>
    <w:rsid w:val="00DF2262"/>
    <w:rsid w:val="00DF22CE"/>
    <w:rsid w:val="00DF2320"/>
    <w:rsid w:val="00DF2492"/>
    <w:rsid w:val="00DF2518"/>
    <w:rsid w:val="00DF25AE"/>
    <w:rsid w:val="00DF268B"/>
    <w:rsid w:val="00DF2735"/>
    <w:rsid w:val="00DF2994"/>
    <w:rsid w:val="00DF2A17"/>
    <w:rsid w:val="00DF2A2D"/>
    <w:rsid w:val="00DF2ADE"/>
    <w:rsid w:val="00DF2AF2"/>
    <w:rsid w:val="00DF2B1A"/>
    <w:rsid w:val="00DF2B33"/>
    <w:rsid w:val="00DF2BAE"/>
    <w:rsid w:val="00DF2C45"/>
    <w:rsid w:val="00DF2CE1"/>
    <w:rsid w:val="00DF2D45"/>
    <w:rsid w:val="00DF2D82"/>
    <w:rsid w:val="00DF2E71"/>
    <w:rsid w:val="00DF2F21"/>
    <w:rsid w:val="00DF2F9C"/>
    <w:rsid w:val="00DF3097"/>
    <w:rsid w:val="00DF3252"/>
    <w:rsid w:val="00DF3596"/>
    <w:rsid w:val="00DF3643"/>
    <w:rsid w:val="00DF3677"/>
    <w:rsid w:val="00DF36F2"/>
    <w:rsid w:val="00DF3727"/>
    <w:rsid w:val="00DF3762"/>
    <w:rsid w:val="00DF3860"/>
    <w:rsid w:val="00DF386A"/>
    <w:rsid w:val="00DF3883"/>
    <w:rsid w:val="00DF3988"/>
    <w:rsid w:val="00DF3B5E"/>
    <w:rsid w:val="00DF3B6B"/>
    <w:rsid w:val="00DF3D7B"/>
    <w:rsid w:val="00DF3DBF"/>
    <w:rsid w:val="00DF3DFF"/>
    <w:rsid w:val="00DF3F1A"/>
    <w:rsid w:val="00DF403F"/>
    <w:rsid w:val="00DF4144"/>
    <w:rsid w:val="00DF4203"/>
    <w:rsid w:val="00DF424F"/>
    <w:rsid w:val="00DF429C"/>
    <w:rsid w:val="00DF43AA"/>
    <w:rsid w:val="00DF4425"/>
    <w:rsid w:val="00DF444B"/>
    <w:rsid w:val="00DF44F3"/>
    <w:rsid w:val="00DF46BF"/>
    <w:rsid w:val="00DF4788"/>
    <w:rsid w:val="00DF48B4"/>
    <w:rsid w:val="00DF49CB"/>
    <w:rsid w:val="00DF4B94"/>
    <w:rsid w:val="00DF4D38"/>
    <w:rsid w:val="00DF4D39"/>
    <w:rsid w:val="00DF4D4C"/>
    <w:rsid w:val="00DF4E16"/>
    <w:rsid w:val="00DF4E22"/>
    <w:rsid w:val="00DF4E4A"/>
    <w:rsid w:val="00DF4E70"/>
    <w:rsid w:val="00DF4FE0"/>
    <w:rsid w:val="00DF50F0"/>
    <w:rsid w:val="00DF5140"/>
    <w:rsid w:val="00DF5257"/>
    <w:rsid w:val="00DF52FE"/>
    <w:rsid w:val="00DF55C8"/>
    <w:rsid w:val="00DF55EA"/>
    <w:rsid w:val="00DF5648"/>
    <w:rsid w:val="00DF5664"/>
    <w:rsid w:val="00DF56A8"/>
    <w:rsid w:val="00DF5808"/>
    <w:rsid w:val="00DF5832"/>
    <w:rsid w:val="00DF5852"/>
    <w:rsid w:val="00DF5891"/>
    <w:rsid w:val="00DF58B9"/>
    <w:rsid w:val="00DF5A7C"/>
    <w:rsid w:val="00DF5AE6"/>
    <w:rsid w:val="00DF5BC5"/>
    <w:rsid w:val="00DF5C1B"/>
    <w:rsid w:val="00DF5CE7"/>
    <w:rsid w:val="00DF5D48"/>
    <w:rsid w:val="00DF5DE1"/>
    <w:rsid w:val="00DF5E3B"/>
    <w:rsid w:val="00DF5EA8"/>
    <w:rsid w:val="00DF5F1E"/>
    <w:rsid w:val="00DF5F88"/>
    <w:rsid w:val="00DF5FA3"/>
    <w:rsid w:val="00DF5FE7"/>
    <w:rsid w:val="00DF6027"/>
    <w:rsid w:val="00DF60C0"/>
    <w:rsid w:val="00DF60D8"/>
    <w:rsid w:val="00DF6146"/>
    <w:rsid w:val="00DF6201"/>
    <w:rsid w:val="00DF620A"/>
    <w:rsid w:val="00DF62DB"/>
    <w:rsid w:val="00DF6381"/>
    <w:rsid w:val="00DF657E"/>
    <w:rsid w:val="00DF65A4"/>
    <w:rsid w:val="00DF6645"/>
    <w:rsid w:val="00DF66CE"/>
    <w:rsid w:val="00DF674D"/>
    <w:rsid w:val="00DF67FC"/>
    <w:rsid w:val="00DF688D"/>
    <w:rsid w:val="00DF6970"/>
    <w:rsid w:val="00DF698F"/>
    <w:rsid w:val="00DF6A10"/>
    <w:rsid w:val="00DF6A5E"/>
    <w:rsid w:val="00DF6ADA"/>
    <w:rsid w:val="00DF6BCB"/>
    <w:rsid w:val="00DF6C49"/>
    <w:rsid w:val="00DF6E28"/>
    <w:rsid w:val="00DF6E70"/>
    <w:rsid w:val="00DF6F36"/>
    <w:rsid w:val="00DF6F45"/>
    <w:rsid w:val="00DF6F69"/>
    <w:rsid w:val="00DF6FBF"/>
    <w:rsid w:val="00DF7049"/>
    <w:rsid w:val="00DF708F"/>
    <w:rsid w:val="00DF711D"/>
    <w:rsid w:val="00DF72AB"/>
    <w:rsid w:val="00DF7560"/>
    <w:rsid w:val="00DF768E"/>
    <w:rsid w:val="00DF76EA"/>
    <w:rsid w:val="00DF77AB"/>
    <w:rsid w:val="00DF77E6"/>
    <w:rsid w:val="00DF7889"/>
    <w:rsid w:val="00DF789C"/>
    <w:rsid w:val="00DF7953"/>
    <w:rsid w:val="00DF796A"/>
    <w:rsid w:val="00DF79EB"/>
    <w:rsid w:val="00DF7C80"/>
    <w:rsid w:val="00DF7CE5"/>
    <w:rsid w:val="00DF7D27"/>
    <w:rsid w:val="00DF7DA6"/>
    <w:rsid w:val="00DF7E39"/>
    <w:rsid w:val="00DF7E51"/>
    <w:rsid w:val="00E00025"/>
    <w:rsid w:val="00E00081"/>
    <w:rsid w:val="00E0008E"/>
    <w:rsid w:val="00E00113"/>
    <w:rsid w:val="00E0018C"/>
    <w:rsid w:val="00E00309"/>
    <w:rsid w:val="00E003D1"/>
    <w:rsid w:val="00E004D3"/>
    <w:rsid w:val="00E005E0"/>
    <w:rsid w:val="00E00639"/>
    <w:rsid w:val="00E006BA"/>
    <w:rsid w:val="00E0073E"/>
    <w:rsid w:val="00E007C2"/>
    <w:rsid w:val="00E00805"/>
    <w:rsid w:val="00E00928"/>
    <w:rsid w:val="00E009F6"/>
    <w:rsid w:val="00E00B20"/>
    <w:rsid w:val="00E00C00"/>
    <w:rsid w:val="00E00C6F"/>
    <w:rsid w:val="00E00E92"/>
    <w:rsid w:val="00E00F5F"/>
    <w:rsid w:val="00E00FB5"/>
    <w:rsid w:val="00E00FC3"/>
    <w:rsid w:val="00E00FF0"/>
    <w:rsid w:val="00E00FF1"/>
    <w:rsid w:val="00E01016"/>
    <w:rsid w:val="00E01124"/>
    <w:rsid w:val="00E011B9"/>
    <w:rsid w:val="00E012A1"/>
    <w:rsid w:val="00E01327"/>
    <w:rsid w:val="00E01371"/>
    <w:rsid w:val="00E013A5"/>
    <w:rsid w:val="00E0146F"/>
    <w:rsid w:val="00E014B5"/>
    <w:rsid w:val="00E01579"/>
    <w:rsid w:val="00E015BA"/>
    <w:rsid w:val="00E0177F"/>
    <w:rsid w:val="00E0183D"/>
    <w:rsid w:val="00E018F8"/>
    <w:rsid w:val="00E01951"/>
    <w:rsid w:val="00E019F4"/>
    <w:rsid w:val="00E01A63"/>
    <w:rsid w:val="00E01ADF"/>
    <w:rsid w:val="00E01BCC"/>
    <w:rsid w:val="00E01BD9"/>
    <w:rsid w:val="00E01BDB"/>
    <w:rsid w:val="00E01C29"/>
    <w:rsid w:val="00E01C6C"/>
    <w:rsid w:val="00E01CF7"/>
    <w:rsid w:val="00E01D37"/>
    <w:rsid w:val="00E01F31"/>
    <w:rsid w:val="00E01F4E"/>
    <w:rsid w:val="00E01F54"/>
    <w:rsid w:val="00E0201B"/>
    <w:rsid w:val="00E0203D"/>
    <w:rsid w:val="00E02068"/>
    <w:rsid w:val="00E02077"/>
    <w:rsid w:val="00E0209C"/>
    <w:rsid w:val="00E020DD"/>
    <w:rsid w:val="00E021A1"/>
    <w:rsid w:val="00E021D4"/>
    <w:rsid w:val="00E0221B"/>
    <w:rsid w:val="00E02229"/>
    <w:rsid w:val="00E02268"/>
    <w:rsid w:val="00E022CA"/>
    <w:rsid w:val="00E023DF"/>
    <w:rsid w:val="00E026A6"/>
    <w:rsid w:val="00E026D0"/>
    <w:rsid w:val="00E02731"/>
    <w:rsid w:val="00E027B8"/>
    <w:rsid w:val="00E027E2"/>
    <w:rsid w:val="00E028F2"/>
    <w:rsid w:val="00E02A80"/>
    <w:rsid w:val="00E02B19"/>
    <w:rsid w:val="00E02C69"/>
    <w:rsid w:val="00E02CFC"/>
    <w:rsid w:val="00E02CFE"/>
    <w:rsid w:val="00E02DC7"/>
    <w:rsid w:val="00E02F06"/>
    <w:rsid w:val="00E02F15"/>
    <w:rsid w:val="00E030E2"/>
    <w:rsid w:val="00E031FD"/>
    <w:rsid w:val="00E03221"/>
    <w:rsid w:val="00E0335B"/>
    <w:rsid w:val="00E035AC"/>
    <w:rsid w:val="00E037D3"/>
    <w:rsid w:val="00E03961"/>
    <w:rsid w:val="00E0397A"/>
    <w:rsid w:val="00E03AB7"/>
    <w:rsid w:val="00E03AF2"/>
    <w:rsid w:val="00E03B13"/>
    <w:rsid w:val="00E03B2B"/>
    <w:rsid w:val="00E03B4E"/>
    <w:rsid w:val="00E03BB1"/>
    <w:rsid w:val="00E03D4E"/>
    <w:rsid w:val="00E03D7D"/>
    <w:rsid w:val="00E03DFF"/>
    <w:rsid w:val="00E03E64"/>
    <w:rsid w:val="00E03F1A"/>
    <w:rsid w:val="00E03F25"/>
    <w:rsid w:val="00E03FD2"/>
    <w:rsid w:val="00E0421C"/>
    <w:rsid w:val="00E04255"/>
    <w:rsid w:val="00E042B3"/>
    <w:rsid w:val="00E043DE"/>
    <w:rsid w:val="00E04449"/>
    <w:rsid w:val="00E044F1"/>
    <w:rsid w:val="00E04540"/>
    <w:rsid w:val="00E04639"/>
    <w:rsid w:val="00E0470E"/>
    <w:rsid w:val="00E047B4"/>
    <w:rsid w:val="00E047C9"/>
    <w:rsid w:val="00E047FA"/>
    <w:rsid w:val="00E0483E"/>
    <w:rsid w:val="00E048EE"/>
    <w:rsid w:val="00E049EB"/>
    <w:rsid w:val="00E04A3E"/>
    <w:rsid w:val="00E04A43"/>
    <w:rsid w:val="00E04AE5"/>
    <w:rsid w:val="00E04B0C"/>
    <w:rsid w:val="00E04CE6"/>
    <w:rsid w:val="00E04DD8"/>
    <w:rsid w:val="00E04DFB"/>
    <w:rsid w:val="00E04EFF"/>
    <w:rsid w:val="00E04F75"/>
    <w:rsid w:val="00E04F96"/>
    <w:rsid w:val="00E05206"/>
    <w:rsid w:val="00E0522A"/>
    <w:rsid w:val="00E05292"/>
    <w:rsid w:val="00E05367"/>
    <w:rsid w:val="00E053C6"/>
    <w:rsid w:val="00E054AF"/>
    <w:rsid w:val="00E055CF"/>
    <w:rsid w:val="00E0564B"/>
    <w:rsid w:val="00E05668"/>
    <w:rsid w:val="00E05817"/>
    <w:rsid w:val="00E05855"/>
    <w:rsid w:val="00E058A1"/>
    <w:rsid w:val="00E058CA"/>
    <w:rsid w:val="00E05A2D"/>
    <w:rsid w:val="00E05AE3"/>
    <w:rsid w:val="00E05BAF"/>
    <w:rsid w:val="00E05BFD"/>
    <w:rsid w:val="00E05C34"/>
    <w:rsid w:val="00E05C60"/>
    <w:rsid w:val="00E05C62"/>
    <w:rsid w:val="00E05C98"/>
    <w:rsid w:val="00E05D40"/>
    <w:rsid w:val="00E05D6C"/>
    <w:rsid w:val="00E05DB5"/>
    <w:rsid w:val="00E05E43"/>
    <w:rsid w:val="00E05E4F"/>
    <w:rsid w:val="00E05E88"/>
    <w:rsid w:val="00E05F4C"/>
    <w:rsid w:val="00E05FBB"/>
    <w:rsid w:val="00E06074"/>
    <w:rsid w:val="00E061B8"/>
    <w:rsid w:val="00E0624B"/>
    <w:rsid w:val="00E0652F"/>
    <w:rsid w:val="00E0654F"/>
    <w:rsid w:val="00E065AB"/>
    <w:rsid w:val="00E0672B"/>
    <w:rsid w:val="00E06800"/>
    <w:rsid w:val="00E06813"/>
    <w:rsid w:val="00E068B6"/>
    <w:rsid w:val="00E068D9"/>
    <w:rsid w:val="00E069BB"/>
    <w:rsid w:val="00E069E5"/>
    <w:rsid w:val="00E06B0E"/>
    <w:rsid w:val="00E06BF3"/>
    <w:rsid w:val="00E06D22"/>
    <w:rsid w:val="00E06D7E"/>
    <w:rsid w:val="00E06EAF"/>
    <w:rsid w:val="00E06EEE"/>
    <w:rsid w:val="00E06FC6"/>
    <w:rsid w:val="00E0702B"/>
    <w:rsid w:val="00E07082"/>
    <w:rsid w:val="00E0709D"/>
    <w:rsid w:val="00E07236"/>
    <w:rsid w:val="00E07250"/>
    <w:rsid w:val="00E0725B"/>
    <w:rsid w:val="00E07364"/>
    <w:rsid w:val="00E073C8"/>
    <w:rsid w:val="00E073DD"/>
    <w:rsid w:val="00E0750A"/>
    <w:rsid w:val="00E0752F"/>
    <w:rsid w:val="00E07578"/>
    <w:rsid w:val="00E075F9"/>
    <w:rsid w:val="00E077D9"/>
    <w:rsid w:val="00E07808"/>
    <w:rsid w:val="00E078C8"/>
    <w:rsid w:val="00E079AE"/>
    <w:rsid w:val="00E07A25"/>
    <w:rsid w:val="00E07A5E"/>
    <w:rsid w:val="00E07A74"/>
    <w:rsid w:val="00E07B78"/>
    <w:rsid w:val="00E07BA1"/>
    <w:rsid w:val="00E07BCD"/>
    <w:rsid w:val="00E07C1C"/>
    <w:rsid w:val="00E07CAE"/>
    <w:rsid w:val="00E07DBC"/>
    <w:rsid w:val="00E07DF7"/>
    <w:rsid w:val="00E10381"/>
    <w:rsid w:val="00E103B3"/>
    <w:rsid w:val="00E103BB"/>
    <w:rsid w:val="00E1042B"/>
    <w:rsid w:val="00E10473"/>
    <w:rsid w:val="00E1048E"/>
    <w:rsid w:val="00E1056C"/>
    <w:rsid w:val="00E10623"/>
    <w:rsid w:val="00E10635"/>
    <w:rsid w:val="00E10668"/>
    <w:rsid w:val="00E106E5"/>
    <w:rsid w:val="00E1070B"/>
    <w:rsid w:val="00E1088A"/>
    <w:rsid w:val="00E10A96"/>
    <w:rsid w:val="00E10AD9"/>
    <w:rsid w:val="00E10B44"/>
    <w:rsid w:val="00E10BC2"/>
    <w:rsid w:val="00E10C06"/>
    <w:rsid w:val="00E10D2E"/>
    <w:rsid w:val="00E10D33"/>
    <w:rsid w:val="00E10DBA"/>
    <w:rsid w:val="00E10EF6"/>
    <w:rsid w:val="00E10F56"/>
    <w:rsid w:val="00E11089"/>
    <w:rsid w:val="00E110BC"/>
    <w:rsid w:val="00E110F6"/>
    <w:rsid w:val="00E1144B"/>
    <w:rsid w:val="00E1158C"/>
    <w:rsid w:val="00E1160B"/>
    <w:rsid w:val="00E117D1"/>
    <w:rsid w:val="00E1183E"/>
    <w:rsid w:val="00E1184F"/>
    <w:rsid w:val="00E118B4"/>
    <w:rsid w:val="00E11A8E"/>
    <w:rsid w:val="00E11AED"/>
    <w:rsid w:val="00E11B04"/>
    <w:rsid w:val="00E11B35"/>
    <w:rsid w:val="00E11B64"/>
    <w:rsid w:val="00E11D1C"/>
    <w:rsid w:val="00E11E71"/>
    <w:rsid w:val="00E11F21"/>
    <w:rsid w:val="00E11FB9"/>
    <w:rsid w:val="00E122E6"/>
    <w:rsid w:val="00E12331"/>
    <w:rsid w:val="00E1244D"/>
    <w:rsid w:val="00E1247A"/>
    <w:rsid w:val="00E126FA"/>
    <w:rsid w:val="00E127A1"/>
    <w:rsid w:val="00E127EA"/>
    <w:rsid w:val="00E1285F"/>
    <w:rsid w:val="00E12889"/>
    <w:rsid w:val="00E12898"/>
    <w:rsid w:val="00E128C2"/>
    <w:rsid w:val="00E12AF4"/>
    <w:rsid w:val="00E12B0C"/>
    <w:rsid w:val="00E12B9F"/>
    <w:rsid w:val="00E12CA0"/>
    <w:rsid w:val="00E12CA9"/>
    <w:rsid w:val="00E12EAF"/>
    <w:rsid w:val="00E12F5F"/>
    <w:rsid w:val="00E12FE2"/>
    <w:rsid w:val="00E1301E"/>
    <w:rsid w:val="00E1303F"/>
    <w:rsid w:val="00E13069"/>
    <w:rsid w:val="00E131EC"/>
    <w:rsid w:val="00E13278"/>
    <w:rsid w:val="00E13414"/>
    <w:rsid w:val="00E13470"/>
    <w:rsid w:val="00E13538"/>
    <w:rsid w:val="00E13766"/>
    <w:rsid w:val="00E13783"/>
    <w:rsid w:val="00E137DC"/>
    <w:rsid w:val="00E137FD"/>
    <w:rsid w:val="00E13A45"/>
    <w:rsid w:val="00E13A96"/>
    <w:rsid w:val="00E13B95"/>
    <w:rsid w:val="00E13C2A"/>
    <w:rsid w:val="00E13CCE"/>
    <w:rsid w:val="00E13CEE"/>
    <w:rsid w:val="00E13D9F"/>
    <w:rsid w:val="00E13F03"/>
    <w:rsid w:val="00E13F75"/>
    <w:rsid w:val="00E14051"/>
    <w:rsid w:val="00E14083"/>
    <w:rsid w:val="00E141AD"/>
    <w:rsid w:val="00E141FE"/>
    <w:rsid w:val="00E14282"/>
    <w:rsid w:val="00E14294"/>
    <w:rsid w:val="00E1436F"/>
    <w:rsid w:val="00E14384"/>
    <w:rsid w:val="00E14400"/>
    <w:rsid w:val="00E145EE"/>
    <w:rsid w:val="00E1461C"/>
    <w:rsid w:val="00E14624"/>
    <w:rsid w:val="00E1463E"/>
    <w:rsid w:val="00E14708"/>
    <w:rsid w:val="00E14752"/>
    <w:rsid w:val="00E147B1"/>
    <w:rsid w:val="00E14858"/>
    <w:rsid w:val="00E148AB"/>
    <w:rsid w:val="00E14914"/>
    <w:rsid w:val="00E14937"/>
    <w:rsid w:val="00E14948"/>
    <w:rsid w:val="00E149A5"/>
    <w:rsid w:val="00E14A3F"/>
    <w:rsid w:val="00E14B2E"/>
    <w:rsid w:val="00E14C41"/>
    <w:rsid w:val="00E14D11"/>
    <w:rsid w:val="00E14DAA"/>
    <w:rsid w:val="00E14DD5"/>
    <w:rsid w:val="00E14DDA"/>
    <w:rsid w:val="00E14DF5"/>
    <w:rsid w:val="00E14F89"/>
    <w:rsid w:val="00E1502E"/>
    <w:rsid w:val="00E1505F"/>
    <w:rsid w:val="00E150F9"/>
    <w:rsid w:val="00E1516D"/>
    <w:rsid w:val="00E151DE"/>
    <w:rsid w:val="00E154AD"/>
    <w:rsid w:val="00E158E6"/>
    <w:rsid w:val="00E1595F"/>
    <w:rsid w:val="00E15966"/>
    <w:rsid w:val="00E15A84"/>
    <w:rsid w:val="00E15B58"/>
    <w:rsid w:val="00E15C57"/>
    <w:rsid w:val="00E15CBC"/>
    <w:rsid w:val="00E15CCB"/>
    <w:rsid w:val="00E15E03"/>
    <w:rsid w:val="00E15E1A"/>
    <w:rsid w:val="00E15E43"/>
    <w:rsid w:val="00E15E51"/>
    <w:rsid w:val="00E160B7"/>
    <w:rsid w:val="00E162CC"/>
    <w:rsid w:val="00E16319"/>
    <w:rsid w:val="00E163DB"/>
    <w:rsid w:val="00E163E9"/>
    <w:rsid w:val="00E16463"/>
    <w:rsid w:val="00E1648A"/>
    <w:rsid w:val="00E1653E"/>
    <w:rsid w:val="00E16679"/>
    <w:rsid w:val="00E16811"/>
    <w:rsid w:val="00E16839"/>
    <w:rsid w:val="00E1689E"/>
    <w:rsid w:val="00E169CB"/>
    <w:rsid w:val="00E16AB0"/>
    <w:rsid w:val="00E16B0D"/>
    <w:rsid w:val="00E16CC9"/>
    <w:rsid w:val="00E16D74"/>
    <w:rsid w:val="00E16DD1"/>
    <w:rsid w:val="00E16FAE"/>
    <w:rsid w:val="00E170C4"/>
    <w:rsid w:val="00E1715B"/>
    <w:rsid w:val="00E171DA"/>
    <w:rsid w:val="00E1724D"/>
    <w:rsid w:val="00E172B9"/>
    <w:rsid w:val="00E172F8"/>
    <w:rsid w:val="00E17423"/>
    <w:rsid w:val="00E175BE"/>
    <w:rsid w:val="00E175FA"/>
    <w:rsid w:val="00E1763D"/>
    <w:rsid w:val="00E176F8"/>
    <w:rsid w:val="00E177FC"/>
    <w:rsid w:val="00E1782A"/>
    <w:rsid w:val="00E17886"/>
    <w:rsid w:val="00E178D1"/>
    <w:rsid w:val="00E17A57"/>
    <w:rsid w:val="00E17A7A"/>
    <w:rsid w:val="00E17AEF"/>
    <w:rsid w:val="00E17B07"/>
    <w:rsid w:val="00E17B26"/>
    <w:rsid w:val="00E17BFC"/>
    <w:rsid w:val="00E17C97"/>
    <w:rsid w:val="00E17D37"/>
    <w:rsid w:val="00E17E9B"/>
    <w:rsid w:val="00E17EBC"/>
    <w:rsid w:val="00E17FAC"/>
    <w:rsid w:val="00E17FCA"/>
    <w:rsid w:val="00E2010A"/>
    <w:rsid w:val="00E20205"/>
    <w:rsid w:val="00E20208"/>
    <w:rsid w:val="00E20255"/>
    <w:rsid w:val="00E20290"/>
    <w:rsid w:val="00E20390"/>
    <w:rsid w:val="00E20474"/>
    <w:rsid w:val="00E20488"/>
    <w:rsid w:val="00E205BD"/>
    <w:rsid w:val="00E205F1"/>
    <w:rsid w:val="00E20633"/>
    <w:rsid w:val="00E20642"/>
    <w:rsid w:val="00E2067C"/>
    <w:rsid w:val="00E208EA"/>
    <w:rsid w:val="00E209AA"/>
    <w:rsid w:val="00E209C3"/>
    <w:rsid w:val="00E209EF"/>
    <w:rsid w:val="00E20A75"/>
    <w:rsid w:val="00E20A7E"/>
    <w:rsid w:val="00E20AA6"/>
    <w:rsid w:val="00E20AC6"/>
    <w:rsid w:val="00E20B2F"/>
    <w:rsid w:val="00E20B97"/>
    <w:rsid w:val="00E20BF8"/>
    <w:rsid w:val="00E20CBC"/>
    <w:rsid w:val="00E20E92"/>
    <w:rsid w:val="00E20EE5"/>
    <w:rsid w:val="00E20F41"/>
    <w:rsid w:val="00E20F54"/>
    <w:rsid w:val="00E2116D"/>
    <w:rsid w:val="00E211B8"/>
    <w:rsid w:val="00E21343"/>
    <w:rsid w:val="00E2135F"/>
    <w:rsid w:val="00E2142F"/>
    <w:rsid w:val="00E21474"/>
    <w:rsid w:val="00E21527"/>
    <w:rsid w:val="00E2155F"/>
    <w:rsid w:val="00E215B0"/>
    <w:rsid w:val="00E218D2"/>
    <w:rsid w:val="00E218E6"/>
    <w:rsid w:val="00E21936"/>
    <w:rsid w:val="00E21A6B"/>
    <w:rsid w:val="00E21A91"/>
    <w:rsid w:val="00E21B68"/>
    <w:rsid w:val="00E21B6C"/>
    <w:rsid w:val="00E21C96"/>
    <w:rsid w:val="00E21DD3"/>
    <w:rsid w:val="00E21E0C"/>
    <w:rsid w:val="00E21EE1"/>
    <w:rsid w:val="00E21FA5"/>
    <w:rsid w:val="00E2203E"/>
    <w:rsid w:val="00E22272"/>
    <w:rsid w:val="00E22337"/>
    <w:rsid w:val="00E22511"/>
    <w:rsid w:val="00E225B3"/>
    <w:rsid w:val="00E225DB"/>
    <w:rsid w:val="00E2263F"/>
    <w:rsid w:val="00E22794"/>
    <w:rsid w:val="00E227A4"/>
    <w:rsid w:val="00E2282A"/>
    <w:rsid w:val="00E22897"/>
    <w:rsid w:val="00E22951"/>
    <w:rsid w:val="00E22BB1"/>
    <w:rsid w:val="00E22C54"/>
    <w:rsid w:val="00E22CA1"/>
    <w:rsid w:val="00E22CC2"/>
    <w:rsid w:val="00E22CED"/>
    <w:rsid w:val="00E22D84"/>
    <w:rsid w:val="00E22D9A"/>
    <w:rsid w:val="00E22DCE"/>
    <w:rsid w:val="00E22E32"/>
    <w:rsid w:val="00E22EF2"/>
    <w:rsid w:val="00E22F8D"/>
    <w:rsid w:val="00E22FC4"/>
    <w:rsid w:val="00E230AC"/>
    <w:rsid w:val="00E230F2"/>
    <w:rsid w:val="00E23136"/>
    <w:rsid w:val="00E23231"/>
    <w:rsid w:val="00E23314"/>
    <w:rsid w:val="00E2339A"/>
    <w:rsid w:val="00E233DD"/>
    <w:rsid w:val="00E234DE"/>
    <w:rsid w:val="00E23525"/>
    <w:rsid w:val="00E23635"/>
    <w:rsid w:val="00E2366B"/>
    <w:rsid w:val="00E237A0"/>
    <w:rsid w:val="00E237FC"/>
    <w:rsid w:val="00E2389B"/>
    <w:rsid w:val="00E238D4"/>
    <w:rsid w:val="00E2390F"/>
    <w:rsid w:val="00E23B56"/>
    <w:rsid w:val="00E23B65"/>
    <w:rsid w:val="00E23B93"/>
    <w:rsid w:val="00E23CA5"/>
    <w:rsid w:val="00E23D5D"/>
    <w:rsid w:val="00E23D60"/>
    <w:rsid w:val="00E23E23"/>
    <w:rsid w:val="00E23E98"/>
    <w:rsid w:val="00E23EBC"/>
    <w:rsid w:val="00E23F40"/>
    <w:rsid w:val="00E23FF3"/>
    <w:rsid w:val="00E2413C"/>
    <w:rsid w:val="00E24282"/>
    <w:rsid w:val="00E242E2"/>
    <w:rsid w:val="00E242F5"/>
    <w:rsid w:val="00E24321"/>
    <w:rsid w:val="00E24332"/>
    <w:rsid w:val="00E243B8"/>
    <w:rsid w:val="00E24401"/>
    <w:rsid w:val="00E244B5"/>
    <w:rsid w:val="00E244DC"/>
    <w:rsid w:val="00E2453B"/>
    <w:rsid w:val="00E24540"/>
    <w:rsid w:val="00E24598"/>
    <w:rsid w:val="00E24675"/>
    <w:rsid w:val="00E247AB"/>
    <w:rsid w:val="00E247DC"/>
    <w:rsid w:val="00E248F4"/>
    <w:rsid w:val="00E248FF"/>
    <w:rsid w:val="00E24955"/>
    <w:rsid w:val="00E24B30"/>
    <w:rsid w:val="00E24BC0"/>
    <w:rsid w:val="00E24C1D"/>
    <w:rsid w:val="00E24C68"/>
    <w:rsid w:val="00E24CD5"/>
    <w:rsid w:val="00E24D41"/>
    <w:rsid w:val="00E24DF7"/>
    <w:rsid w:val="00E24FF4"/>
    <w:rsid w:val="00E25015"/>
    <w:rsid w:val="00E25078"/>
    <w:rsid w:val="00E251E9"/>
    <w:rsid w:val="00E25225"/>
    <w:rsid w:val="00E253AE"/>
    <w:rsid w:val="00E2545F"/>
    <w:rsid w:val="00E2549F"/>
    <w:rsid w:val="00E2551A"/>
    <w:rsid w:val="00E255C0"/>
    <w:rsid w:val="00E2561F"/>
    <w:rsid w:val="00E25703"/>
    <w:rsid w:val="00E25807"/>
    <w:rsid w:val="00E2583B"/>
    <w:rsid w:val="00E259B8"/>
    <w:rsid w:val="00E259C0"/>
    <w:rsid w:val="00E25B6B"/>
    <w:rsid w:val="00E25C5B"/>
    <w:rsid w:val="00E25CBA"/>
    <w:rsid w:val="00E25E42"/>
    <w:rsid w:val="00E260BD"/>
    <w:rsid w:val="00E2616D"/>
    <w:rsid w:val="00E2624F"/>
    <w:rsid w:val="00E26467"/>
    <w:rsid w:val="00E26504"/>
    <w:rsid w:val="00E2650C"/>
    <w:rsid w:val="00E2652F"/>
    <w:rsid w:val="00E2662C"/>
    <w:rsid w:val="00E2684E"/>
    <w:rsid w:val="00E26886"/>
    <w:rsid w:val="00E268D6"/>
    <w:rsid w:val="00E26953"/>
    <w:rsid w:val="00E26985"/>
    <w:rsid w:val="00E26B2C"/>
    <w:rsid w:val="00E26B3D"/>
    <w:rsid w:val="00E26B87"/>
    <w:rsid w:val="00E26C58"/>
    <w:rsid w:val="00E26C78"/>
    <w:rsid w:val="00E26D44"/>
    <w:rsid w:val="00E26D59"/>
    <w:rsid w:val="00E26E51"/>
    <w:rsid w:val="00E26EBD"/>
    <w:rsid w:val="00E26EF1"/>
    <w:rsid w:val="00E26FCD"/>
    <w:rsid w:val="00E270A7"/>
    <w:rsid w:val="00E27131"/>
    <w:rsid w:val="00E27167"/>
    <w:rsid w:val="00E2729E"/>
    <w:rsid w:val="00E272C6"/>
    <w:rsid w:val="00E2743B"/>
    <w:rsid w:val="00E274BD"/>
    <w:rsid w:val="00E27566"/>
    <w:rsid w:val="00E275F0"/>
    <w:rsid w:val="00E27649"/>
    <w:rsid w:val="00E276BA"/>
    <w:rsid w:val="00E27733"/>
    <w:rsid w:val="00E27873"/>
    <w:rsid w:val="00E278D8"/>
    <w:rsid w:val="00E27AAC"/>
    <w:rsid w:val="00E27CA0"/>
    <w:rsid w:val="00E27D38"/>
    <w:rsid w:val="00E27DD1"/>
    <w:rsid w:val="00E27F90"/>
    <w:rsid w:val="00E30033"/>
    <w:rsid w:val="00E3008F"/>
    <w:rsid w:val="00E30098"/>
    <w:rsid w:val="00E301C9"/>
    <w:rsid w:val="00E301EC"/>
    <w:rsid w:val="00E303D1"/>
    <w:rsid w:val="00E30424"/>
    <w:rsid w:val="00E30440"/>
    <w:rsid w:val="00E304A8"/>
    <w:rsid w:val="00E304ED"/>
    <w:rsid w:val="00E30556"/>
    <w:rsid w:val="00E307E4"/>
    <w:rsid w:val="00E307E8"/>
    <w:rsid w:val="00E30920"/>
    <w:rsid w:val="00E30955"/>
    <w:rsid w:val="00E309C9"/>
    <w:rsid w:val="00E30B2E"/>
    <w:rsid w:val="00E30B44"/>
    <w:rsid w:val="00E30B72"/>
    <w:rsid w:val="00E30B84"/>
    <w:rsid w:val="00E30C5F"/>
    <w:rsid w:val="00E30C7E"/>
    <w:rsid w:val="00E30C8E"/>
    <w:rsid w:val="00E30CAA"/>
    <w:rsid w:val="00E30E2E"/>
    <w:rsid w:val="00E30F04"/>
    <w:rsid w:val="00E310B1"/>
    <w:rsid w:val="00E31156"/>
    <w:rsid w:val="00E31187"/>
    <w:rsid w:val="00E311C0"/>
    <w:rsid w:val="00E31244"/>
    <w:rsid w:val="00E312AE"/>
    <w:rsid w:val="00E31397"/>
    <w:rsid w:val="00E313FC"/>
    <w:rsid w:val="00E31476"/>
    <w:rsid w:val="00E31483"/>
    <w:rsid w:val="00E315F7"/>
    <w:rsid w:val="00E31815"/>
    <w:rsid w:val="00E31818"/>
    <w:rsid w:val="00E3183C"/>
    <w:rsid w:val="00E318C9"/>
    <w:rsid w:val="00E31A36"/>
    <w:rsid w:val="00E31BF5"/>
    <w:rsid w:val="00E31C3D"/>
    <w:rsid w:val="00E31D5B"/>
    <w:rsid w:val="00E31DFF"/>
    <w:rsid w:val="00E31EA2"/>
    <w:rsid w:val="00E31EDC"/>
    <w:rsid w:val="00E32013"/>
    <w:rsid w:val="00E32225"/>
    <w:rsid w:val="00E323AD"/>
    <w:rsid w:val="00E323E1"/>
    <w:rsid w:val="00E323F8"/>
    <w:rsid w:val="00E32436"/>
    <w:rsid w:val="00E32471"/>
    <w:rsid w:val="00E32540"/>
    <w:rsid w:val="00E32617"/>
    <w:rsid w:val="00E32799"/>
    <w:rsid w:val="00E32873"/>
    <w:rsid w:val="00E32898"/>
    <w:rsid w:val="00E32958"/>
    <w:rsid w:val="00E32A31"/>
    <w:rsid w:val="00E32A43"/>
    <w:rsid w:val="00E32C5E"/>
    <w:rsid w:val="00E32D24"/>
    <w:rsid w:val="00E32E80"/>
    <w:rsid w:val="00E32F75"/>
    <w:rsid w:val="00E32F76"/>
    <w:rsid w:val="00E32FD0"/>
    <w:rsid w:val="00E330C0"/>
    <w:rsid w:val="00E331D2"/>
    <w:rsid w:val="00E33398"/>
    <w:rsid w:val="00E33444"/>
    <w:rsid w:val="00E33460"/>
    <w:rsid w:val="00E334A7"/>
    <w:rsid w:val="00E33571"/>
    <w:rsid w:val="00E3358F"/>
    <w:rsid w:val="00E33647"/>
    <w:rsid w:val="00E33866"/>
    <w:rsid w:val="00E338BE"/>
    <w:rsid w:val="00E338CB"/>
    <w:rsid w:val="00E339AA"/>
    <w:rsid w:val="00E33A35"/>
    <w:rsid w:val="00E33B76"/>
    <w:rsid w:val="00E33BC5"/>
    <w:rsid w:val="00E33C38"/>
    <w:rsid w:val="00E33CBF"/>
    <w:rsid w:val="00E33D75"/>
    <w:rsid w:val="00E33DD3"/>
    <w:rsid w:val="00E33DF2"/>
    <w:rsid w:val="00E33E0B"/>
    <w:rsid w:val="00E33E37"/>
    <w:rsid w:val="00E33E60"/>
    <w:rsid w:val="00E33E88"/>
    <w:rsid w:val="00E33EDF"/>
    <w:rsid w:val="00E33F19"/>
    <w:rsid w:val="00E33FB9"/>
    <w:rsid w:val="00E34037"/>
    <w:rsid w:val="00E3404F"/>
    <w:rsid w:val="00E34079"/>
    <w:rsid w:val="00E34165"/>
    <w:rsid w:val="00E343E7"/>
    <w:rsid w:val="00E3453A"/>
    <w:rsid w:val="00E345A4"/>
    <w:rsid w:val="00E346C3"/>
    <w:rsid w:val="00E34764"/>
    <w:rsid w:val="00E34795"/>
    <w:rsid w:val="00E34885"/>
    <w:rsid w:val="00E34A23"/>
    <w:rsid w:val="00E34AC3"/>
    <w:rsid w:val="00E34B20"/>
    <w:rsid w:val="00E34BA2"/>
    <w:rsid w:val="00E34D0D"/>
    <w:rsid w:val="00E34DCC"/>
    <w:rsid w:val="00E34E7F"/>
    <w:rsid w:val="00E34EB9"/>
    <w:rsid w:val="00E34EE3"/>
    <w:rsid w:val="00E34F2A"/>
    <w:rsid w:val="00E35045"/>
    <w:rsid w:val="00E350FD"/>
    <w:rsid w:val="00E351BD"/>
    <w:rsid w:val="00E3520A"/>
    <w:rsid w:val="00E3520F"/>
    <w:rsid w:val="00E352E9"/>
    <w:rsid w:val="00E352F4"/>
    <w:rsid w:val="00E354E2"/>
    <w:rsid w:val="00E35540"/>
    <w:rsid w:val="00E35566"/>
    <w:rsid w:val="00E355E3"/>
    <w:rsid w:val="00E35866"/>
    <w:rsid w:val="00E3587E"/>
    <w:rsid w:val="00E35948"/>
    <w:rsid w:val="00E35968"/>
    <w:rsid w:val="00E35A8E"/>
    <w:rsid w:val="00E35B03"/>
    <w:rsid w:val="00E35B19"/>
    <w:rsid w:val="00E35B1F"/>
    <w:rsid w:val="00E35BDF"/>
    <w:rsid w:val="00E35CDF"/>
    <w:rsid w:val="00E35D04"/>
    <w:rsid w:val="00E35D59"/>
    <w:rsid w:val="00E35DE8"/>
    <w:rsid w:val="00E35E49"/>
    <w:rsid w:val="00E35EDE"/>
    <w:rsid w:val="00E35F5F"/>
    <w:rsid w:val="00E35FED"/>
    <w:rsid w:val="00E36052"/>
    <w:rsid w:val="00E3627A"/>
    <w:rsid w:val="00E36302"/>
    <w:rsid w:val="00E363FF"/>
    <w:rsid w:val="00E364E5"/>
    <w:rsid w:val="00E36591"/>
    <w:rsid w:val="00E3665B"/>
    <w:rsid w:val="00E366F3"/>
    <w:rsid w:val="00E36709"/>
    <w:rsid w:val="00E367F1"/>
    <w:rsid w:val="00E3692C"/>
    <w:rsid w:val="00E36A7F"/>
    <w:rsid w:val="00E36B7D"/>
    <w:rsid w:val="00E36C2E"/>
    <w:rsid w:val="00E36C44"/>
    <w:rsid w:val="00E36D41"/>
    <w:rsid w:val="00E36F4F"/>
    <w:rsid w:val="00E37016"/>
    <w:rsid w:val="00E37018"/>
    <w:rsid w:val="00E370DF"/>
    <w:rsid w:val="00E372B2"/>
    <w:rsid w:val="00E37352"/>
    <w:rsid w:val="00E37385"/>
    <w:rsid w:val="00E37488"/>
    <w:rsid w:val="00E3748B"/>
    <w:rsid w:val="00E3749B"/>
    <w:rsid w:val="00E374C6"/>
    <w:rsid w:val="00E374D4"/>
    <w:rsid w:val="00E3753B"/>
    <w:rsid w:val="00E3763A"/>
    <w:rsid w:val="00E37885"/>
    <w:rsid w:val="00E378C7"/>
    <w:rsid w:val="00E378D0"/>
    <w:rsid w:val="00E379DB"/>
    <w:rsid w:val="00E37B97"/>
    <w:rsid w:val="00E37BAB"/>
    <w:rsid w:val="00E37DF9"/>
    <w:rsid w:val="00E37EC5"/>
    <w:rsid w:val="00E37EFF"/>
    <w:rsid w:val="00E37F5D"/>
    <w:rsid w:val="00E37FEC"/>
    <w:rsid w:val="00E3F6BF"/>
    <w:rsid w:val="00E4000C"/>
    <w:rsid w:val="00E4005B"/>
    <w:rsid w:val="00E401A1"/>
    <w:rsid w:val="00E402D7"/>
    <w:rsid w:val="00E4049C"/>
    <w:rsid w:val="00E405B7"/>
    <w:rsid w:val="00E40618"/>
    <w:rsid w:val="00E4074F"/>
    <w:rsid w:val="00E4091D"/>
    <w:rsid w:val="00E40A88"/>
    <w:rsid w:val="00E40ACF"/>
    <w:rsid w:val="00E40B60"/>
    <w:rsid w:val="00E40BBA"/>
    <w:rsid w:val="00E40C4D"/>
    <w:rsid w:val="00E40CA7"/>
    <w:rsid w:val="00E40DCF"/>
    <w:rsid w:val="00E40F4D"/>
    <w:rsid w:val="00E41011"/>
    <w:rsid w:val="00E41013"/>
    <w:rsid w:val="00E41019"/>
    <w:rsid w:val="00E41191"/>
    <w:rsid w:val="00E411A4"/>
    <w:rsid w:val="00E411DF"/>
    <w:rsid w:val="00E41299"/>
    <w:rsid w:val="00E4149F"/>
    <w:rsid w:val="00E414E2"/>
    <w:rsid w:val="00E41525"/>
    <w:rsid w:val="00E4156A"/>
    <w:rsid w:val="00E41615"/>
    <w:rsid w:val="00E417C6"/>
    <w:rsid w:val="00E417C7"/>
    <w:rsid w:val="00E417D0"/>
    <w:rsid w:val="00E418A6"/>
    <w:rsid w:val="00E418C4"/>
    <w:rsid w:val="00E41989"/>
    <w:rsid w:val="00E41A7E"/>
    <w:rsid w:val="00E41A8A"/>
    <w:rsid w:val="00E41BC9"/>
    <w:rsid w:val="00E41CB9"/>
    <w:rsid w:val="00E41E58"/>
    <w:rsid w:val="00E41E6B"/>
    <w:rsid w:val="00E41EC6"/>
    <w:rsid w:val="00E41EEE"/>
    <w:rsid w:val="00E41EFF"/>
    <w:rsid w:val="00E42151"/>
    <w:rsid w:val="00E421A6"/>
    <w:rsid w:val="00E421DA"/>
    <w:rsid w:val="00E423F8"/>
    <w:rsid w:val="00E4263C"/>
    <w:rsid w:val="00E426F3"/>
    <w:rsid w:val="00E4275E"/>
    <w:rsid w:val="00E427D4"/>
    <w:rsid w:val="00E4295B"/>
    <w:rsid w:val="00E42B37"/>
    <w:rsid w:val="00E42C97"/>
    <w:rsid w:val="00E42F14"/>
    <w:rsid w:val="00E42F1C"/>
    <w:rsid w:val="00E4300D"/>
    <w:rsid w:val="00E431BF"/>
    <w:rsid w:val="00E4328B"/>
    <w:rsid w:val="00E432E0"/>
    <w:rsid w:val="00E43305"/>
    <w:rsid w:val="00E43329"/>
    <w:rsid w:val="00E4337C"/>
    <w:rsid w:val="00E433B0"/>
    <w:rsid w:val="00E43406"/>
    <w:rsid w:val="00E43451"/>
    <w:rsid w:val="00E434D6"/>
    <w:rsid w:val="00E436EA"/>
    <w:rsid w:val="00E43756"/>
    <w:rsid w:val="00E437CA"/>
    <w:rsid w:val="00E43A66"/>
    <w:rsid w:val="00E43C3A"/>
    <w:rsid w:val="00E43DA6"/>
    <w:rsid w:val="00E43F59"/>
    <w:rsid w:val="00E43FF4"/>
    <w:rsid w:val="00E44051"/>
    <w:rsid w:val="00E44070"/>
    <w:rsid w:val="00E44096"/>
    <w:rsid w:val="00E44122"/>
    <w:rsid w:val="00E44138"/>
    <w:rsid w:val="00E44359"/>
    <w:rsid w:val="00E44384"/>
    <w:rsid w:val="00E4467A"/>
    <w:rsid w:val="00E446A5"/>
    <w:rsid w:val="00E44800"/>
    <w:rsid w:val="00E44881"/>
    <w:rsid w:val="00E448E9"/>
    <w:rsid w:val="00E44C0F"/>
    <w:rsid w:val="00E44C27"/>
    <w:rsid w:val="00E44C4C"/>
    <w:rsid w:val="00E44E25"/>
    <w:rsid w:val="00E44E5F"/>
    <w:rsid w:val="00E44EDF"/>
    <w:rsid w:val="00E44F19"/>
    <w:rsid w:val="00E44FEF"/>
    <w:rsid w:val="00E45014"/>
    <w:rsid w:val="00E450B6"/>
    <w:rsid w:val="00E450F0"/>
    <w:rsid w:val="00E451C2"/>
    <w:rsid w:val="00E45210"/>
    <w:rsid w:val="00E452D0"/>
    <w:rsid w:val="00E45507"/>
    <w:rsid w:val="00E45518"/>
    <w:rsid w:val="00E45750"/>
    <w:rsid w:val="00E45804"/>
    <w:rsid w:val="00E4588B"/>
    <w:rsid w:val="00E4589A"/>
    <w:rsid w:val="00E458C5"/>
    <w:rsid w:val="00E45A26"/>
    <w:rsid w:val="00E45A40"/>
    <w:rsid w:val="00E45AF0"/>
    <w:rsid w:val="00E45C46"/>
    <w:rsid w:val="00E45F1C"/>
    <w:rsid w:val="00E45F6F"/>
    <w:rsid w:val="00E460C1"/>
    <w:rsid w:val="00E46251"/>
    <w:rsid w:val="00E46285"/>
    <w:rsid w:val="00E463BF"/>
    <w:rsid w:val="00E46415"/>
    <w:rsid w:val="00E464B5"/>
    <w:rsid w:val="00E464C5"/>
    <w:rsid w:val="00E464CB"/>
    <w:rsid w:val="00E46538"/>
    <w:rsid w:val="00E46671"/>
    <w:rsid w:val="00E46691"/>
    <w:rsid w:val="00E46703"/>
    <w:rsid w:val="00E46848"/>
    <w:rsid w:val="00E468A4"/>
    <w:rsid w:val="00E468E6"/>
    <w:rsid w:val="00E46A4F"/>
    <w:rsid w:val="00E46A55"/>
    <w:rsid w:val="00E46ABE"/>
    <w:rsid w:val="00E46B47"/>
    <w:rsid w:val="00E46B7C"/>
    <w:rsid w:val="00E46D53"/>
    <w:rsid w:val="00E46DD2"/>
    <w:rsid w:val="00E46E60"/>
    <w:rsid w:val="00E46EDB"/>
    <w:rsid w:val="00E46F27"/>
    <w:rsid w:val="00E46F3B"/>
    <w:rsid w:val="00E46F91"/>
    <w:rsid w:val="00E47009"/>
    <w:rsid w:val="00E4700B"/>
    <w:rsid w:val="00E47038"/>
    <w:rsid w:val="00E47083"/>
    <w:rsid w:val="00E470FD"/>
    <w:rsid w:val="00E4733B"/>
    <w:rsid w:val="00E47432"/>
    <w:rsid w:val="00E47482"/>
    <w:rsid w:val="00E474E5"/>
    <w:rsid w:val="00E47739"/>
    <w:rsid w:val="00E4774B"/>
    <w:rsid w:val="00E478B2"/>
    <w:rsid w:val="00E4798D"/>
    <w:rsid w:val="00E47AAC"/>
    <w:rsid w:val="00E47B36"/>
    <w:rsid w:val="00E47B7E"/>
    <w:rsid w:val="00E47BF6"/>
    <w:rsid w:val="00E47D0C"/>
    <w:rsid w:val="00E47D14"/>
    <w:rsid w:val="00E47D93"/>
    <w:rsid w:val="00E47F0C"/>
    <w:rsid w:val="00E47FC3"/>
    <w:rsid w:val="00E5001A"/>
    <w:rsid w:val="00E5003F"/>
    <w:rsid w:val="00E500BC"/>
    <w:rsid w:val="00E501D4"/>
    <w:rsid w:val="00E501E8"/>
    <w:rsid w:val="00E50373"/>
    <w:rsid w:val="00E5037A"/>
    <w:rsid w:val="00E50429"/>
    <w:rsid w:val="00E5046C"/>
    <w:rsid w:val="00E5049E"/>
    <w:rsid w:val="00E504F7"/>
    <w:rsid w:val="00E50681"/>
    <w:rsid w:val="00E50715"/>
    <w:rsid w:val="00E507B7"/>
    <w:rsid w:val="00E50898"/>
    <w:rsid w:val="00E508A3"/>
    <w:rsid w:val="00E50A15"/>
    <w:rsid w:val="00E50AB7"/>
    <w:rsid w:val="00E50AC1"/>
    <w:rsid w:val="00E50AC8"/>
    <w:rsid w:val="00E50B03"/>
    <w:rsid w:val="00E50B6C"/>
    <w:rsid w:val="00E50BB8"/>
    <w:rsid w:val="00E50C45"/>
    <w:rsid w:val="00E50C50"/>
    <w:rsid w:val="00E50D2B"/>
    <w:rsid w:val="00E50DA7"/>
    <w:rsid w:val="00E50F88"/>
    <w:rsid w:val="00E510BD"/>
    <w:rsid w:val="00E511AC"/>
    <w:rsid w:val="00E51386"/>
    <w:rsid w:val="00E513D3"/>
    <w:rsid w:val="00E513E2"/>
    <w:rsid w:val="00E513E9"/>
    <w:rsid w:val="00E513EA"/>
    <w:rsid w:val="00E51424"/>
    <w:rsid w:val="00E51494"/>
    <w:rsid w:val="00E5158E"/>
    <w:rsid w:val="00E515D7"/>
    <w:rsid w:val="00E51616"/>
    <w:rsid w:val="00E5162F"/>
    <w:rsid w:val="00E516D0"/>
    <w:rsid w:val="00E51968"/>
    <w:rsid w:val="00E5198F"/>
    <w:rsid w:val="00E51ACA"/>
    <w:rsid w:val="00E51B53"/>
    <w:rsid w:val="00E51BD1"/>
    <w:rsid w:val="00E51C95"/>
    <w:rsid w:val="00E51CB9"/>
    <w:rsid w:val="00E51D5F"/>
    <w:rsid w:val="00E51EE9"/>
    <w:rsid w:val="00E51F13"/>
    <w:rsid w:val="00E51F2E"/>
    <w:rsid w:val="00E5202E"/>
    <w:rsid w:val="00E52034"/>
    <w:rsid w:val="00E52184"/>
    <w:rsid w:val="00E523F8"/>
    <w:rsid w:val="00E52510"/>
    <w:rsid w:val="00E5252C"/>
    <w:rsid w:val="00E52530"/>
    <w:rsid w:val="00E52642"/>
    <w:rsid w:val="00E527E4"/>
    <w:rsid w:val="00E52843"/>
    <w:rsid w:val="00E52875"/>
    <w:rsid w:val="00E52996"/>
    <w:rsid w:val="00E52A9C"/>
    <w:rsid w:val="00E52AB1"/>
    <w:rsid w:val="00E52ADE"/>
    <w:rsid w:val="00E52C25"/>
    <w:rsid w:val="00E52C50"/>
    <w:rsid w:val="00E52C6D"/>
    <w:rsid w:val="00E52CCE"/>
    <w:rsid w:val="00E530F0"/>
    <w:rsid w:val="00E530F9"/>
    <w:rsid w:val="00E53108"/>
    <w:rsid w:val="00E53110"/>
    <w:rsid w:val="00E53124"/>
    <w:rsid w:val="00E5336F"/>
    <w:rsid w:val="00E533C2"/>
    <w:rsid w:val="00E534F1"/>
    <w:rsid w:val="00E53647"/>
    <w:rsid w:val="00E5368B"/>
    <w:rsid w:val="00E536D2"/>
    <w:rsid w:val="00E53715"/>
    <w:rsid w:val="00E53763"/>
    <w:rsid w:val="00E538E8"/>
    <w:rsid w:val="00E5390B"/>
    <w:rsid w:val="00E53A8F"/>
    <w:rsid w:val="00E53C5F"/>
    <w:rsid w:val="00E53CB3"/>
    <w:rsid w:val="00E53CE2"/>
    <w:rsid w:val="00E53E0E"/>
    <w:rsid w:val="00E53E7B"/>
    <w:rsid w:val="00E53F06"/>
    <w:rsid w:val="00E54077"/>
    <w:rsid w:val="00E5429C"/>
    <w:rsid w:val="00E542EB"/>
    <w:rsid w:val="00E54383"/>
    <w:rsid w:val="00E5444F"/>
    <w:rsid w:val="00E5449F"/>
    <w:rsid w:val="00E544F5"/>
    <w:rsid w:val="00E54522"/>
    <w:rsid w:val="00E547E9"/>
    <w:rsid w:val="00E548CD"/>
    <w:rsid w:val="00E549F0"/>
    <w:rsid w:val="00E54A28"/>
    <w:rsid w:val="00E54A7D"/>
    <w:rsid w:val="00E54A9D"/>
    <w:rsid w:val="00E54B35"/>
    <w:rsid w:val="00E54C8B"/>
    <w:rsid w:val="00E54CA2"/>
    <w:rsid w:val="00E54CD6"/>
    <w:rsid w:val="00E54D33"/>
    <w:rsid w:val="00E54D8D"/>
    <w:rsid w:val="00E54DCB"/>
    <w:rsid w:val="00E54E3D"/>
    <w:rsid w:val="00E54E48"/>
    <w:rsid w:val="00E54EC8"/>
    <w:rsid w:val="00E5501E"/>
    <w:rsid w:val="00E550CC"/>
    <w:rsid w:val="00E5510E"/>
    <w:rsid w:val="00E55197"/>
    <w:rsid w:val="00E551D6"/>
    <w:rsid w:val="00E55729"/>
    <w:rsid w:val="00E557BC"/>
    <w:rsid w:val="00E558B9"/>
    <w:rsid w:val="00E55925"/>
    <w:rsid w:val="00E5599F"/>
    <w:rsid w:val="00E55A0F"/>
    <w:rsid w:val="00E55B81"/>
    <w:rsid w:val="00E55DF7"/>
    <w:rsid w:val="00E55E21"/>
    <w:rsid w:val="00E55F18"/>
    <w:rsid w:val="00E55F2E"/>
    <w:rsid w:val="00E55F8C"/>
    <w:rsid w:val="00E56049"/>
    <w:rsid w:val="00E56058"/>
    <w:rsid w:val="00E5605D"/>
    <w:rsid w:val="00E56190"/>
    <w:rsid w:val="00E563BD"/>
    <w:rsid w:val="00E564E5"/>
    <w:rsid w:val="00E565F6"/>
    <w:rsid w:val="00E5664D"/>
    <w:rsid w:val="00E56769"/>
    <w:rsid w:val="00E56859"/>
    <w:rsid w:val="00E56942"/>
    <w:rsid w:val="00E56960"/>
    <w:rsid w:val="00E56A7A"/>
    <w:rsid w:val="00E56B33"/>
    <w:rsid w:val="00E56C07"/>
    <w:rsid w:val="00E56E99"/>
    <w:rsid w:val="00E56EE8"/>
    <w:rsid w:val="00E56FA6"/>
    <w:rsid w:val="00E57029"/>
    <w:rsid w:val="00E570D4"/>
    <w:rsid w:val="00E57126"/>
    <w:rsid w:val="00E5723F"/>
    <w:rsid w:val="00E573DF"/>
    <w:rsid w:val="00E573E9"/>
    <w:rsid w:val="00E57483"/>
    <w:rsid w:val="00E57493"/>
    <w:rsid w:val="00E57611"/>
    <w:rsid w:val="00E5764D"/>
    <w:rsid w:val="00E578A4"/>
    <w:rsid w:val="00E578C5"/>
    <w:rsid w:val="00E57981"/>
    <w:rsid w:val="00E57A2F"/>
    <w:rsid w:val="00E57A88"/>
    <w:rsid w:val="00E57B11"/>
    <w:rsid w:val="00E57B1E"/>
    <w:rsid w:val="00E57BBB"/>
    <w:rsid w:val="00E57CC0"/>
    <w:rsid w:val="00E57E71"/>
    <w:rsid w:val="00E57F56"/>
    <w:rsid w:val="00E57F66"/>
    <w:rsid w:val="00E57F67"/>
    <w:rsid w:val="00E60024"/>
    <w:rsid w:val="00E6003D"/>
    <w:rsid w:val="00E60073"/>
    <w:rsid w:val="00E6007B"/>
    <w:rsid w:val="00E60137"/>
    <w:rsid w:val="00E6027A"/>
    <w:rsid w:val="00E6030F"/>
    <w:rsid w:val="00E60310"/>
    <w:rsid w:val="00E6040F"/>
    <w:rsid w:val="00E60530"/>
    <w:rsid w:val="00E605E6"/>
    <w:rsid w:val="00E6062F"/>
    <w:rsid w:val="00E60706"/>
    <w:rsid w:val="00E60773"/>
    <w:rsid w:val="00E60860"/>
    <w:rsid w:val="00E60984"/>
    <w:rsid w:val="00E60A4F"/>
    <w:rsid w:val="00E60AE4"/>
    <w:rsid w:val="00E60BBB"/>
    <w:rsid w:val="00E60BBE"/>
    <w:rsid w:val="00E60C8F"/>
    <w:rsid w:val="00E60D5D"/>
    <w:rsid w:val="00E60D66"/>
    <w:rsid w:val="00E60FC5"/>
    <w:rsid w:val="00E6106A"/>
    <w:rsid w:val="00E610B5"/>
    <w:rsid w:val="00E611E2"/>
    <w:rsid w:val="00E612B0"/>
    <w:rsid w:val="00E61389"/>
    <w:rsid w:val="00E61398"/>
    <w:rsid w:val="00E613FD"/>
    <w:rsid w:val="00E61417"/>
    <w:rsid w:val="00E61495"/>
    <w:rsid w:val="00E614C4"/>
    <w:rsid w:val="00E615D7"/>
    <w:rsid w:val="00E615DB"/>
    <w:rsid w:val="00E61621"/>
    <w:rsid w:val="00E61885"/>
    <w:rsid w:val="00E6193F"/>
    <w:rsid w:val="00E6194C"/>
    <w:rsid w:val="00E619FB"/>
    <w:rsid w:val="00E61A20"/>
    <w:rsid w:val="00E61A34"/>
    <w:rsid w:val="00E61B9C"/>
    <w:rsid w:val="00E61BAF"/>
    <w:rsid w:val="00E61C12"/>
    <w:rsid w:val="00E61C8D"/>
    <w:rsid w:val="00E61CA6"/>
    <w:rsid w:val="00E61CDC"/>
    <w:rsid w:val="00E61DE0"/>
    <w:rsid w:val="00E61DEF"/>
    <w:rsid w:val="00E61E59"/>
    <w:rsid w:val="00E61EDC"/>
    <w:rsid w:val="00E61EE7"/>
    <w:rsid w:val="00E62040"/>
    <w:rsid w:val="00E62061"/>
    <w:rsid w:val="00E620CB"/>
    <w:rsid w:val="00E620D2"/>
    <w:rsid w:val="00E620ED"/>
    <w:rsid w:val="00E621EB"/>
    <w:rsid w:val="00E62234"/>
    <w:rsid w:val="00E6232E"/>
    <w:rsid w:val="00E62459"/>
    <w:rsid w:val="00E62496"/>
    <w:rsid w:val="00E624E2"/>
    <w:rsid w:val="00E624F3"/>
    <w:rsid w:val="00E6251B"/>
    <w:rsid w:val="00E6255E"/>
    <w:rsid w:val="00E625E6"/>
    <w:rsid w:val="00E62604"/>
    <w:rsid w:val="00E6271F"/>
    <w:rsid w:val="00E628EC"/>
    <w:rsid w:val="00E629B4"/>
    <w:rsid w:val="00E629E2"/>
    <w:rsid w:val="00E62AF9"/>
    <w:rsid w:val="00E62B9D"/>
    <w:rsid w:val="00E62C96"/>
    <w:rsid w:val="00E62CE8"/>
    <w:rsid w:val="00E62DC3"/>
    <w:rsid w:val="00E62DD5"/>
    <w:rsid w:val="00E62EBD"/>
    <w:rsid w:val="00E62EC7"/>
    <w:rsid w:val="00E6305B"/>
    <w:rsid w:val="00E63124"/>
    <w:rsid w:val="00E63161"/>
    <w:rsid w:val="00E63255"/>
    <w:rsid w:val="00E635E1"/>
    <w:rsid w:val="00E63720"/>
    <w:rsid w:val="00E6372B"/>
    <w:rsid w:val="00E6375D"/>
    <w:rsid w:val="00E637E0"/>
    <w:rsid w:val="00E6382A"/>
    <w:rsid w:val="00E63872"/>
    <w:rsid w:val="00E63899"/>
    <w:rsid w:val="00E6397C"/>
    <w:rsid w:val="00E63A65"/>
    <w:rsid w:val="00E63B60"/>
    <w:rsid w:val="00E63C8C"/>
    <w:rsid w:val="00E63D92"/>
    <w:rsid w:val="00E63D96"/>
    <w:rsid w:val="00E63E11"/>
    <w:rsid w:val="00E63EAD"/>
    <w:rsid w:val="00E63F10"/>
    <w:rsid w:val="00E63F29"/>
    <w:rsid w:val="00E64136"/>
    <w:rsid w:val="00E642DB"/>
    <w:rsid w:val="00E64302"/>
    <w:rsid w:val="00E6432A"/>
    <w:rsid w:val="00E64355"/>
    <w:rsid w:val="00E644E4"/>
    <w:rsid w:val="00E6462F"/>
    <w:rsid w:val="00E646CB"/>
    <w:rsid w:val="00E647A7"/>
    <w:rsid w:val="00E647F5"/>
    <w:rsid w:val="00E64842"/>
    <w:rsid w:val="00E64857"/>
    <w:rsid w:val="00E64862"/>
    <w:rsid w:val="00E6486E"/>
    <w:rsid w:val="00E648E1"/>
    <w:rsid w:val="00E64AC3"/>
    <w:rsid w:val="00E64CA8"/>
    <w:rsid w:val="00E64D12"/>
    <w:rsid w:val="00E64D78"/>
    <w:rsid w:val="00E64E48"/>
    <w:rsid w:val="00E64EA4"/>
    <w:rsid w:val="00E64F40"/>
    <w:rsid w:val="00E64F43"/>
    <w:rsid w:val="00E64F48"/>
    <w:rsid w:val="00E65074"/>
    <w:rsid w:val="00E6535B"/>
    <w:rsid w:val="00E65384"/>
    <w:rsid w:val="00E6541D"/>
    <w:rsid w:val="00E65423"/>
    <w:rsid w:val="00E654D8"/>
    <w:rsid w:val="00E654E6"/>
    <w:rsid w:val="00E65567"/>
    <w:rsid w:val="00E6569C"/>
    <w:rsid w:val="00E656C5"/>
    <w:rsid w:val="00E656EE"/>
    <w:rsid w:val="00E65701"/>
    <w:rsid w:val="00E6579C"/>
    <w:rsid w:val="00E6585F"/>
    <w:rsid w:val="00E65894"/>
    <w:rsid w:val="00E65918"/>
    <w:rsid w:val="00E65942"/>
    <w:rsid w:val="00E65961"/>
    <w:rsid w:val="00E65A85"/>
    <w:rsid w:val="00E65B26"/>
    <w:rsid w:val="00E65B91"/>
    <w:rsid w:val="00E65C6C"/>
    <w:rsid w:val="00E65C94"/>
    <w:rsid w:val="00E65DE6"/>
    <w:rsid w:val="00E65E17"/>
    <w:rsid w:val="00E65E51"/>
    <w:rsid w:val="00E65E64"/>
    <w:rsid w:val="00E65F8D"/>
    <w:rsid w:val="00E66195"/>
    <w:rsid w:val="00E6621D"/>
    <w:rsid w:val="00E66222"/>
    <w:rsid w:val="00E6634A"/>
    <w:rsid w:val="00E664B6"/>
    <w:rsid w:val="00E666B5"/>
    <w:rsid w:val="00E666C0"/>
    <w:rsid w:val="00E6672D"/>
    <w:rsid w:val="00E667AB"/>
    <w:rsid w:val="00E6684B"/>
    <w:rsid w:val="00E668A5"/>
    <w:rsid w:val="00E668DE"/>
    <w:rsid w:val="00E6691D"/>
    <w:rsid w:val="00E669C5"/>
    <w:rsid w:val="00E66A62"/>
    <w:rsid w:val="00E66BDC"/>
    <w:rsid w:val="00E66BE3"/>
    <w:rsid w:val="00E66D28"/>
    <w:rsid w:val="00E66D81"/>
    <w:rsid w:val="00E66EB6"/>
    <w:rsid w:val="00E66EE3"/>
    <w:rsid w:val="00E66FDD"/>
    <w:rsid w:val="00E670AF"/>
    <w:rsid w:val="00E671A8"/>
    <w:rsid w:val="00E67272"/>
    <w:rsid w:val="00E672CF"/>
    <w:rsid w:val="00E672F0"/>
    <w:rsid w:val="00E67386"/>
    <w:rsid w:val="00E673B9"/>
    <w:rsid w:val="00E67413"/>
    <w:rsid w:val="00E67414"/>
    <w:rsid w:val="00E6747B"/>
    <w:rsid w:val="00E674A7"/>
    <w:rsid w:val="00E6757F"/>
    <w:rsid w:val="00E6763A"/>
    <w:rsid w:val="00E67643"/>
    <w:rsid w:val="00E67754"/>
    <w:rsid w:val="00E677F4"/>
    <w:rsid w:val="00E6783E"/>
    <w:rsid w:val="00E6788C"/>
    <w:rsid w:val="00E679C6"/>
    <w:rsid w:val="00E67C6B"/>
    <w:rsid w:val="00E67CEF"/>
    <w:rsid w:val="00E67D76"/>
    <w:rsid w:val="00E67DB4"/>
    <w:rsid w:val="00E67E44"/>
    <w:rsid w:val="00E67FE8"/>
    <w:rsid w:val="00E70023"/>
    <w:rsid w:val="00E70300"/>
    <w:rsid w:val="00E7038F"/>
    <w:rsid w:val="00E703D6"/>
    <w:rsid w:val="00E7043B"/>
    <w:rsid w:val="00E70668"/>
    <w:rsid w:val="00E70784"/>
    <w:rsid w:val="00E70865"/>
    <w:rsid w:val="00E70AA7"/>
    <w:rsid w:val="00E70AD6"/>
    <w:rsid w:val="00E70B2A"/>
    <w:rsid w:val="00E70B79"/>
    <w:rsid w:val="00E70CC7"/>
    <w:rsid w:val="00E70CDE"/>
    <w:rsid w:val="00E70D0E"/>
    <w:rsid w:val="00E70D3F"/>
    <w:rsid w:val="00E70D8A"/>
    <w:rsid w:val="00E70DC7"/>
    <w:rsid w:val="00E70DD6"/>
    <w:rsid w:val="00E70EA4"/>
    <w:rsid w:val="00E70EAF"/>
    <w:rsid w:val="00E70FCE"/>
    <w:rsid w:val="00E7100B"/>
    <w:rsid w:val="00E71027"/>
    <w:rsid w:val="00E71142"/>
    <w:rsid w:val="00E71285"/>
    <w:rsid w:val="00E712D3"/>
    <w:rsid w:val="00E712FC"/>
    <w:rsid w:val="00E7144C"/>
    <w:rsid w:val="00E71552"/>
    <w:rsid w:val="00E716CE"/>
    <w:rsid w:val="00E7171D"/>
    <w:rsid w:val="00E717AA"/>
    <w:rsid w:val="00E717B7"/>
    <w:rsid w:val="00E71867"/>
    <w:rsid w:val="00E718F0"/>
    <w:rsid w:val="00E7196E"/>
    <w:rsid w:val="00E7197D"/>
    <w:rsid w:val="00E71A08"/>
    <w:rsid w:val="00E71B65"/>
    <w:rsid w:val="00E71BFA"/>
    <w:rsid w:val="00E71D6F"/>
    <w:rsid w:val="00E71DBA"/>
    <w:rsid w:val="00E71E3F"/>
    <w:rsid w:val="00E71E80"/>
    <w:rsid w:val="00E71F69"/>
    <w:rsid w:val="00E72004"/>
    <w:rsid w:val="00E720DF"/>
    <w:rsid w:val="00E721C0"/>
    <w:rsid w:val="00E7223C"/>
    <w:rsid w:val="00E7228E"/>
    <w:rsid w:val="00E722FB"/>
    <w:rsid w:val="00E7230A"/>
    <w:rsid w:val="00E72330"/>
    <w:rsid w:val="00E72342"/>
    <w:rsid w:val="00E72453"/>
    <w:rsid w:val="00E724D4"/>
    <w:rsid w:val="00E7262F"/>
    <w:rsid w:val="00E72776"/>
    <w:rsid w:val="00E727D0"/>
    <w:rsid w:val="00E727DB"/>
    <w:rsid w:val="00E727E6"/>
    <w:rsid w:val="00E727EE"/>
    <w:rsid w:val="00E72844"/>
    <w:rsid w:val="00E729FB"/>
    <w:rsid w:val="00E72A0A"/>
    <w:rsid w:val="00E72A85"/>
    <w:rsid w:val="00E72BBD"/>
    <w:rsid w:val="00E72D74"/>
    <w:rsid w:val="00E72DD3"/>
    <w:rsid w:val="00E72E0A"/>
    <w:rsid w:val="00E72E71"/>
    <w:rsid w:val="00E72E8E"/>
    <w:rsid w:val="00E72EC5"/>
    <w:rsid w:val="00E73113"/>
    <w:rsid w:val="00E73134"/>
    <w:rsid w:val="00E731CA"/>
    <w:rsid w:val="00E73302"/>
    <w:rsid w:val="00E73466"/>
    <w:rsid w:val="00E734BB"/>
    <w:rsid w:val="00E73500"/>
    <w:rsid w:val="00E7357D"/>
    <w:rsid w:val="00E735F8"/>
    <w:rsid w:val="00E736FA"/>
    <w:rsid w:val="00E7380D"/>
    <w:rsid w:val="00E73964"/>
    <w:rsid w:val="00E739BC"/>
    <w:rsid w:val="00E73B1F"/>
    <w:rsid w:val="00E73B54"/>
    <w:rsid w:val="00E73C6B"/>
    <w:rsid w:val="00E73C88"/>
    <w:rsid w:val="00E73CBB"/>
    <w:rsid w:val="00E73D03"/>
    <w:rsid w:val="00E73D32"/>
    <w:rsid w:val="00E73D68"/>
    <w:rsid w:val="00E73D7E"/>
    <w:rsid w:val="00E73E0A"/>
    <w:rsid w:val="00E73E41"/>
    <w:rsid w:val="00E73E48"/>
    <w:rsid w:val="00E73EA2"/>
    <w:rsid w:val="00E73ECF"/>
    <w:rsid w:val="00E73F9E"/>
    <w:rsid w:val="00E7402A"/>
    <w:rsid w:val="00E7406E"/>
    <w:rsid w:val="00E74097"/>
    <w:rsid w:val="00E74112"/>
    <w:rsid w:val="00E74120"/>
    <w:rsid w:val="00E74139"/>
    <w:rsid w:val="00E7416C"/>
    <w:rsid w:val="00E7417F"/>
    <w:rsid w:val="00E742B8"/>
    <w:rsid w:val="00E74460"/>
    <w:rsid w:val="00E74691"/>
    <w:rsid w:val="00E746CB"/>
    <w:rsid w:val="00E74792"/>
    <w:rsid w:val="00E748BB"/>
    <w:rsid w:val="00E748D6"/>
    <w:rsid w:val="00E74912"/>
    <w:rsid w:val="00E749C9"/>
    <w:rsid w:val="00E74A7A"/>
    <w:rsid w:val="00E74AC7"/>
    <w:rsid w:val="00E74AD5"/>
    <w:rsid w:val="00E74AED"/>
    <w:rsid w:val="00E74B3C"/>
    <w:rsid w:val="00E74BA2"/>
    <w:rsid w:val="00E74C37"/>
    <w:rsid w:val="00E74DCC"/>
    <w:rsid w:val="00E74DE0"/>
    <w:rsid w:val="00E74F2C"/>
    <w:rsid w:val="00E74FC3"/>
    <w:rsid w:val="00E74FDB"/>
    <w:rsid w:val="00E74FF0"/>
    <w:rsid w:val="00E75032"/>
    <w:rsid w:val="00E75055"/>
    <w:rsid w:val="00E75076"/>
    <w:rsid w:val="00E750C9"/>
    <w:rsid w:val="00E752CF"/>
    <w:rsid w:val="00E7553E"/>
    <w:rsid w:val="00E75543"/>
    <w:rsid w:val="00E7555B"/>
    <w:rsid w:val="00E755C8"/>
    <w:rsid w:val="00E7560F"/>
    <w:rsid w:val="00E75691"/>
    <w:rsid w:val="00E756FE"/>
    <w:rsid w:val="00E7574A"/>
    <w:rsid w:val="00E757B6"/>
    <w:rsid w:val="00E7582B"/>
    <w:rsid w:val="00E759B4"/>
    <w:rsid w:val="00E75A5B"/>
    <w:rsid w:val="00E75A6A"/>
    <w:rsid w:val="00E75A78"/>
    <w:rsid w:val="00E75B43"/>
    <w:rsid w:val="00E75BB2"/>
    <w:rsid w:val="00E75C41"/>
    <w:rsid w:val="00E75C81"/>
    <w:rsid w:val="00E75DA8"/>
    <w:rsid w:val="00E75E30"/>
    <w:rsid w:val="00E75EE6"/>
    <w:rsid w:val="00E75F9D"/>
    <w:rsid w:val="00E7601F"/>
    <w:rsid w:val="00E76051"/>
    <w:rsid w:val="00E760B9"/>
    <w:rsid w:val="00E761C7"/>
    <w:rsid w:val="00E762E9"/>
    <w:rsid w:val="00E7639B"/>
    <w:rsid w:val="00E763FF"/>
    <w:rsid w:val="00E76435"/>
    <w:rsid w:val="00E76485"/>
    <w:rsid w:val="00E7649B"/>
    <w:rsid w:val="00E76506"/>
    <w:rsid w:val="00E7667C"/>
    <w:rsid w:val="00E766B9"/>
    <w:rsid w:val="00E766FA"/>
    <w:rsid w:val="00E7675F"/>
    <w:rsid w:val="00E76808"/>
    <w:rsid w:val="00E7685C"/>
    <w:rsid w:val="00E76993"/>
    <w:rsid w:val="00E76994"/>
    <w:rsid w:val="00E7699B"/>
    <w:rsid w:val="00E769A2"/>
    <w:rsid w:val="00E76A50"/>
    <w:rsid w:val="00E76AEB"/>
    <w:rsid w:val="00E76BC4"/>
    <w:rsid w:val="00E76C1C"/>
    <w:rsid w:val="00E76C72"/>
    <w:rsid w:val="00E76C97"/>
    <w:rsid w:val="00E76DB2"/>
    <w:rsid w:val="00E76E52"/>
    <w:rsid w:val="00E77068"/>
    <w:rsid w:val="00E77073"/>
    <w:rsid w:val="00E770AA"/>
    <w:rsid w:val="00E770B4"/>
    <w:rsid w:val="00E7719C"/>
    <w:rsid w:val="00E771D1"/>
    <w:rsid w:val="00E7721A"/>
    <w:rsid w:val="00E77242"/>
    <w:rsid w:val="00E77380"/>
    <w:rsid w:val="00E7738D"/>
    <w:rsid w:val="00E77402"/>
    <w:rsid w:val="00E7741C"/>
    <w:rsid w:val="00E77451"/>
    <w:rsid w:val="00E77485"/>
    <w:rsid w:val="00E7752B"/>
    <w:rsid w:val="00E77536"/>
    <w:rsid w:val="00E77698"/>
    <w:rsid w:val="00E77829"/>
    <w:rsid w:val="00E77938"/>
    <w:rsid w:val="00E7794D"/>
    <w:rsid w:val="00E77CEB"/>
    <w:rsid w:val="00E77D95"/>
    <w:rsid w:val="00E77EB1"/>
    <w:rsid w:val="00E77F2C"/>
    <w:rsid w:val="00E77F57"/>
    <w:rsid w:val="00E77F6B"/>
    <w:rsid w:val="00E80160"/>
    <w:rsid w:val="00E80169"/>
    <w:rsid w:val="00E8019B"/>
    <w:rsid w:val="00E80299"/>
    <w:rsid w:val="00E80393"/>
    <w:rsid w:val="00E8056F"/>
    <w:rsid w:val="00E8058D"/>
    <w:rsid w:val="00E806AD"/>
    <w:rsid w:val="00E80756"/>
    <w:rsid w:val="00E8076B"/>
    <w:rsid w:val="00E8094F"/>
    <w:rsid w:val="00E80AA2"/>
    <w:rsid w:val="00E80AA9"/>
    <w:rsid w:val="00E80AE2"/>
    <w:rsid w:val="00E80B36"/>
    <w:rsid w:val="00E80C62"/>
    <w:rsid w:val="00E80CE7"/>
    <w:rsid w:val="00E80D4D"/>
    <w:rsid w:val="00E80DB5"/>
    <w:rsid w:val="00E80E27"/>
    <w:rsid w:val="00E80E49"/>
    <w:rsid w:val="00E80F39"/>
    <w:rsid w:val="00E80F3E"/>
    <w:rsid w:val="00E81016"/>
    <w:rsid w:val="00E810CA"/>
    <w:rsid w:val="00E81107"/>
    <w:rsid w:val="00E81202"/>
    <w:rsid w:val="00E81220"/>
    <w:rsid w:val="00E812A8"/>
    <w:rsid w:val="00E8140B"/>
    <w:rsid w:val="00E81452"/>
    <w:rsid w:val="00E8150F"/>
    <w:rsid w:val="00E81674"/>
    <w:rsid w:val="00E8168B"/>
    <w:rsid w:val="00E8179D"/>
    <w:rsid w:val="00E81831"/>
    <w:rsid w:val="00E81845"/>
    <w:rsid w:val="00E8185D"/>
    <w:rsid w:val="00E81877"/>
    <w:rsid w:val="00E81940"/>
    <w:rsid w:val="00E81B1E"/>
    <w:rsid w:val="00E81B2C"/>
    <w:rsid w:val="00E81B44"/>
    <w:rsid w:val="00E81C2F"/>
    <w:rsid w:val="00E81D71"/>
    <w:rsid w:val="00E81E83"/>
    <w:rsid w:val="00E81F29"/>
    <w:rsid w:val="00E81FAA"/>
    <w:rsid w:val="00E820B7"/>
    <w:rsid w:val="00E820F6"/>
    <w:rsid w:val="00E82461"/>
    <w:rsid w:val="00E824D3"/>
    <w:rsid w:val="00E8259A"/>
    <w:rsid w:val="00E825B2"/>
    <w:rsid w:val="00E82722"/>
    <w:rsid w:val="00E82851"/>
    <w:rsid w:val="00E82962"/>
    <w:rsid w:val="00E82971"/>
    <w:rsid w:val="00E82AC6"/>
    <w:rsid w:val="00E82B33"/>
    <w:rsid w:val="00E82BA0"/>
    <w:rsid w:val="00E82C33"/>
    <w:rsid w:val="00E82D37"/>
    <w:rsid w:val="00E82EF8"/>
    <w:rsid w:val="00E82EFE"/>
    <w:rsid w:val="00E82F00"/>
    <w:rsid w:val="00E82F1B"/>
    <w:rsid w:val="00E8301C"/>
    <w:rsid w:val="00E830FA"/>
    <w:rsid w:val="00E83134"/>
    <w:rsid w:val="00E83177"/>
    <w:rsid w:val="00E83216"/>
    <w:rsid w:val="00E83237"/>
    <w:rsid w:val="00E83282"/>
    <w:rsid w:val="00E8328D"/>
    <w:rsid w:val="00E83301"/>
    <w:rsid w:val="00E8337E"/>
    <w:rsid w:val="00E83532"/>
    <w:rsid w:val="00E83540"/>
    <w:rsid w:val="00E835BB"/>
    <w:rsid w:val="00E837B5"/>
    <w:rsid w:val="00E83811"/>
    <w:rsid w:val="00E8385C"/>
    <w:rsid w:val="00E8398B"/>
    <w:rsid w:val="00E839B1"/>
    <w:rsid w:val="00E839CF"/>
    <w:rsid w:val="00E83BB2"/>
    <w:rsid w:val="00E83C25"/>
    <w:rsid w:val="00E83D3B"/>
    <w:rsid w:val="00E83D3F"/>
    <w:rsid w:val="00E83E29"/>
    <w:rsid w:val="00E83E5E"/>
    <w:rsid w:val="00E83EEC"/>
    <w:rsid w:val="00E83F05"/>
    <w:rsid w:val="00E83F80"/>
    <w:rsid w:val="00E8403F"/>
    <w:rsid w:val="00E84054"/>
    <w:rsid w:val="00E8408F"/>
    <w:rsid w:val="00E840C3"/>
    <w:rsid w:val="00E8418E"/>
    <w:rsid w:val="00E841C5"/>
    <w:rsid w:val="00E8425A"/>
    <w:rsid w:val="00E84293"/>
    <w:rsid w:val="00E842B3"/>
    <w:rsid w:val="00E8456F"/>
    <w:rsid w:val="00E84677"/>
    <w:rsid w:val="00E8471B"/>
    <w:rsid w:val="00E8471E"/>
    <w:rsid w:val="00E84734"/>
    <w:rsid w:val="00E8478D"/>
    <w:rsid w:val="00E847CC"/>
    <w:rsid w:val="00E8488E"/>
    <w:rsid w:val="00E848E3"/>
    <w:rsid w:val="00E848F9"/>
    <w:rsid w:val="00E84A5D"/>
    <w:rsid w:val="00E84A81"/>
    <w:rsid w:val="00E84C8E"/>
    <w:rsid w:val="00E84CA9"/>
    <w:rsid w:val="00E84E2E"/>
    <w:rsid w:val="00E84EDA"/>
    <w:rsid w:val="00E84F91"/>
    <w:rsid w:val="00E84FEF"/>
    <w:rsid w:val="00E85025"/>
    <w:rsid w:val="00E8503B"/>
    <w:rsid w:val="00E85054"/>
    <w:rsid w:val="00E8522A"/>
    <w:rsid w:val="00E85458"/>
    <w:rsid w:val="00E854E1"/>
    <w:rsid w:val="00E855CC"/>
    <w:rsid w:val="00E85601"/>
    <w:rsid w:val="00E85632"/>
    <w:rsid w:val="00E85792"/>
    <w:rsid w:val="00E857AC"/>
    <w:rsid w:val="00E857C9"/>
    <w:rsid w:val="00E857FA"/>
    <w:rsid w:val="00E85824"/>
    <w:rsid w:val="00E858E9"/>
    <w:rsid w:val="00E85A11"/>
    <w:rsid w:val="00E85ABF"/>
    <w:rsid w:val="00E85BD1"/>
    <w:rsid w:val="00E85CB1"/>
    <w:rsid w:val="00E85CCE"/>
    <w:rsid w:val="00E85F2E"/>
    <w:rsid w:val="00E85F5E"/>
    <w:rsid w:val="00E86147"/>
    <w:rsid w:val="00E861FE"/>
    <w:rsid w:val="00E86235"/>
    <w:rsid w:val="00E86345"/>
    <w:rsid w:val="00E86371"/>
    <w:rsid w:val="00E86446"/>
    <w:rsid w:val="00E86553"/>
    <w:rsid w:val="00E865E6"/>
    <w:rsid w:val="00E86752"/>
    <w:rsid w:val="00E867C9"/>
    <w:rsid w:val="00E867D5"/>
    <w:rsid w:val="00E86862"/>
    <w:rsid w:val="00E86874"/>
    <w:rsid w:val="00E86A71"/>
    <w:rsid w:val="00E86B83"/>
    <w:rsid w:val="00E86B9B"/>
    <w:rsid w:val="00E86BFF"/>
    <w:rsid w:val="00E86C6A"/>
    <w:rsid w:val="00E86C77"/>
    <w:rsid w:val="00E86D43"/>
    <w:rsid w:val="00E86FBF"/>
    <w:rsid w:val="00E87026"/>
    <w:rsid w:val="00E87086"/>
    <w:rsid w:val="00E870E5"/>
    <w:rsid w:val="00E87168"/>
    <w:rsid w:val="00E87296"/>
    <w:rsid w:val="00E872A0"/>
    <w:rsid w:val="00E872A3"/>
    <w:rsid w:val="00E872CC"/>
    <w:rsid w:val="00E872DB"/>
    <w:rsid w:val="00E872E2"/>
    <w:rsid w:val="00E8732E"/>
    <w:rsid w:val="00E8733D"/>
    <w:rsid w:val="00E87387"/>
    <w:rsid w:val="00E873FC"/>
    <w:rsid w:val="00E87461"/>
    <w:rsid w:val="00E87539"/>
    <w:rsid w:val="00E8778F"/>
    <w:rsid w:val="00E878E4"/>
    <w:rsid w:val="00E8792E"/>
    <w:rsid w:val="00E87A35"/>
    <w:rsid w:val="00E87AA3"/>
    <w:rsid w:val="00E87B46"/>
    <w:rsid w:val="00E87BC9"/>
    <w:rsid w:val="00E87CE2"/>
    <w:rsid w:val="00E87D66"/>
    <w:rsid w:val="00E87D74"/>
    <w:rsid w:val="00E87EB8"/>
    <w:rsid w:val="00E87ECC"/>
    <w:rsid w:val="00E87F18"/>
    <w:rsid w:val="00E9017F"/>
    <w:rsid w:val="00E9019E"/>
    <w:rsid w:val="00E9020C"/>
    <w:rsid w:val="00E90314"/>
    <w:rsid w:val="00E90597"/>
    <w:rsid w:val="00E90623"/>
    <w:rsid w:val="00E907FE"/>
    <w:rsid w:val="00E90992"/>
    <w:rsid w:val="00E90995"/>
    <w:rsid w:val="00E90A41"/>
    <w:rsid w:val="00E90AB7"/>
    <w:rsid w:val="00E90C61"/>
    <w:rsid w:val="00E90C63"/>
    <w:rsid w:val="00E90CE3"/>
    <w:rsid w:val="00E90ED6"/>
    <w:rsid w:val="00E90EF9"/>
    <w:rsid w:val="00E90F2D"/>
    <w:rsid w:val="00E90FFC"/>
    <w:rsid w:val="00E91024"/>
    <w:rsid w:val="00E9107F"/>
    <w:rsid w:val="00E910D2"/>
    <w:rsid w:val="00E9116F"/>
    <w:rsid w:val="00E91268"/>
    <w:rsid w:val="00E9140F"/>
    <w:rsid w:val="00E91439"/>
    <w:rsid w:val="00E914B3"/>
    <w:rsid w:val="00E914B9"/>
    <w:rsid w:val="00E914E7"/>
    <w:rsid w:val="00E9150F"/>
    <w:rsid w:val="00E9158D"/>
    <w:rsid w:val="00E915C2"/>
    <w:rsid w:val="00E915ED"/>
    <w:rsid w:val="00E9164B"/>
    <w:rsid w:val="00E91699"/>
    <w:rsid w:val="00E91789"/>
    <w:rsid w:val="00E9181A"/>
    <w:rsid w:val="00E9191A"/>
    <w:rsid w:val="00E919BC"/>
    <w:rsid w:val="00E91AC0"/>
    <w:rsid w:val="00E91B0A"/>
    <w:rsid w:val="00E91D57"/>
    <w:rsid w:val="00E91D63"/>
    <w:rsid w:val="00E91EE1"/>
    <w:rsid w:val="00E91EED"/>
    <w:rsid w:val="00E91F2E"/>
    <w:rsid w:val="00E91FBC"/>
    <w:rsid w:val="00E92009"/>
    <w:rsid w:val="00E92054"/>
    <w:rsid w:val="00E9208E"/>
    <w:rsid w:val="00E92340"/>
    <w:rsid w:val="00E92374"/>
    <w:rsid w:val="00E923A8"/>
    <w:rsid w:val="00E92409"/>
    <w:rsid w:val="00E924AC"/>
    <w:rsid w:val="00E924D9"/>
    <w:rsid w:val="00E92521"/>
    <w:rsid w:val="00E926C8"/>
    <w:rsid w:val="00E926F4"/>
    <w:rsid w:val="00E92890"/>
    <w:rsid w:val="00E92922"/>
    <w:rsid w:val="00E9299F"/>
    <w:rsid w:val="00E929A9"/>
    <w:rsid w:val="00E929DE"/>
    <w:rsid w:val="00E92A04"/>
    <w:rsid w:val="00E92A51"/>
    <w:rsid w:val="00E92AD5"/>
    <w:rsid w:val="00E92B72"/>
    <w:rsid w:val="00E92BFA"/>
    <w:rsid w:val="00E92CE3"/>
    <w:rsid w:val="00E92D4C"/>
    <w:rsid w:val="00E92DB5"/>
    <w:rsid w:val="00E92DEE"/>
    <w:rsid w:val="00E92E19"/>
    <w:rsid w:val="00E92E8F"/>
    <w:rsid w:val="00E92FFA"/>
    <w:rsid w:val="00E93125"/>
    <w:rsid w:val="00E9328D"/>
    <w:rsid w:val="00E93291"/>
    <w:rsid w:val="00E9331C"/>
    <w:rsid w:val="00E93385"/>
    <w:rsid w:val="00E934FC"/>
    <w:rsid w:val="00E9356C"/>
    <w:rsid w:val="00E935B3"/>
    <w:rsid w:val="00E9363C"/>
    <w:rsid w:val="00E936FE"/>
    <w:rsid w:val="00E93795"/>
    <w:rsid w:val="00E93A11"/>
    <w:rsid w:val="00E93A19"/>
    <w:rsid w:val="00E93B0C"/>
    <w:rsid w:val="00E93C37"/>
    <w:rsid w:val="00E93D55"/>
    <w:rsid w:val="00E93E08"/>
    <w:rsid w:val="00E93F26"/>
    <w:rsid w:val="00E93FC7"/>
    <w:rsid w:val="00E93FCE"/>
    <w:rsid w:val="00E94190"/>
    <w:rsid w:val="00E941DE"/>
    <w:rsid w:val="00E941E8"/>
    <w:rsid w:val="00E942D0"/>
    <w:rsid w:val="00E942F8"/>
    <w:rsid w:val="00E94353"/>
    <w:rsid w:val="00E943D8"/>
    <w:rsid w:val="00E943EF"/>
    <w:rsid w:val="00E94434"/>
    <w:rsid w:val="00E94590"/>
    <w:rsid w:val="00E94655"/>
    <w:rsid w:val="00E94667"/>
    <w:rsid w:val="00E94677"/>
    <w:rsid w:val="00E94693"/>
    <w:rsid w:val="00E9484E"/>
    <w:rsid w:val="00E948CD"/>
    <w:rsid w:val="00E948F7"/>
    <w:rsid w:val="00E94A0C"/>
    <w:rsid w:val="00E94C70"/>
    <w:rsid w:val="00E94D89"/>
    <w:rsid w:val="00E94E35"/>
    <w:rsid w:val="00E94F24"/>
    <w:rsid w:val="00E94FA4"/>
    <w:rsid w:val="00E9501D"/>
    <w:rsid w:val="00E95042"/>
    <w:rsid w:val="00E950D3"/>
    <w:rsid w:val="00E951E4"/>
    <w:rsid w:val="00E9522F"/>
    <w:rsid w:val="00E9523B"/>
    <w:rsid w:val="00E95254"/>
    <w:rsid w:val="00E952D1"/>
    <w:rsid w:val="00E95339"/>
    <w:rsid w:val="00E95388"/>
    <w:rsid w:val="00E95398"/>
    <w:rsid w:val="00E954F1"/>
    <w:rsid w:val="00E95654"/>
    <w:rsid w:val="00E9566A"/>
    <w:rsid w:val="00E957CC"/>
    <w:rsid w:val="00E95825"/>
    <w:rsid w:val="00E958C1"/>
    <w:rsid w:val="00E95A11"/>
    <w:rsid w:val="00E95A71"/>
    <w:rsid w:val="00E95A78"/>
    <w:rsid w:val="00E95A7A"/>
    <w:rsid w:val="00E95AB9"/>
    <w:rsid w:val="00E95B2B"/>
    <w:rsid w:val="00E95C4B"/>
    <w:rsid w:val="00E95C6C"/>
    <w:rsid w:val="00E95D54"/>
    <w:rsid w:val="00E95D5C"/>
    <w:rsid w:val="00E96063"/>
    <w:rsid w:val="00E960F4"/>
    <w:rsid w:val="00E9610B"/>
    <w:rsid w:val="00E9628C"/>
    <w:rsid w:val="00E962EF"/>
    <w:rsid w:val="00E963B3"/>
    <w:rsid w:val="00E96492"/>
    <w:rsid w:val="00E965BF"/>
    <w:rsid w:val="00E965ED"/>
    <w:rsid w:val="00E965EF"/>
    <w:rsid w:val="00E96670"/>
    <w:rsid w:val="00E9669B"/>
    <w:rsid w:val="00E966E4"/>
    <w:rsid w:val="00E96760"/>
    <w:rsid w:val="00E968AE"/>
    <w:rsid w:val="00E968E7"/>
    <w:rsid w:val="00E96961"/>
    <w:rsid w:val="00E96970"/>
    <w:rsid w:val="00E96974"/>
    <w:rsid w:val="00E969CB"/>
    <w:rsid w:val="00E96A16"/>
    <w:rsid w:val="00E96A6E"/>
    <w:rsid w:val="00E96A89"/>
    <w:rsid w:val="00E96BBB"/>
    <w:rsid w:val="00E96E84"/>
    <w:rsid w:val="00E96F16"/>
    <w:rsid w:val="00E9701F"/>
    <w:rsid w:val="00E97066"/>
    <w:rsid w:val="00E97170"/>
    <w:rsid w:val="00E9721A"/>
    <w:rsid w:val="00E9733C"/>
    <w:rsid w:val="00E9733D"/>
    <w:rsid w:val="00E9736F"/>
    <w:rsid w:val="00E973E3"/>
    <w:rsid w:val="00E9749A"/>
    <w:rsid w:val="00E97519"/>
    <w:rsid w:val="00E97607"/>
    <w:rsid w:val="00E976A6"/>
    <w:rsid w:val="00E97800"/>
    <w:rsid w:val="00E97833"/>
    <w:rsid w:val="00E97A69"/>
    <w:rsid w:val="00E97BEE"/>
    <w:rsid w:val="00E97C57"/>
    <w:rsid w:val="00E97C77"/>
    <w:rsid w:val="00E97D72"/>
    <w:rsid w:val="00E97D95"/>
    <w:rsid w:val="00E97EE3"/>
    <w:rsid w:val="00E97F2C"/>
    <w:rsid w:val="00E97F92"/>
    <w:rsid w:val="00EA009A"/>
    <w:rsid w:val="00EA0106"/>
    <w:rsid w:val="00EA0291"/>
    <w:rsid w:val="00EA0345"/>
    <w:rsid w:val="00EA058B"/>
    <w:rsid w:val="00EA0785"/>
    <w:rsid w:val="00EA07EE"/>
    <w:rsid w:val="00EA088D"/>
    <w:rsid w:val="00EA08B9"/>
    <w:rsid w:val="00EA09B0"/>
    <w:rsid w:val="00EA0A13"/>
    <w:rsid w:val="00EA0AD5"/>
    <w:rsid w:val="00EA0B67"/>
    <w:rsid w:val="00EA0BA4"/>
    <w:rsid w:val="00EA0BDE"/>
    <w:rsid w:val="00EA0D7E"/>
    <w:rsid w:val="00EA0E21"/>
    <w:rsid w:val="00EA0EDF"/>
    <w:rsid w:val="00EA0F0A"/>
    <w:rsid w:val="00EA0F8E"/>
    <w:rsid w:val="00EA105E"/>
    <w:rsid w:val="00EA10DE"/>
    <w:rsid w:val="00EA1124"/>
    <w:rsid w:val="00EA1138"/>
    <w:rsid w:val="00EA115B"/>
    <w:rsid w:val="00EA1292"/>
    <w:rsid w:val="00EA1298"/>
    <w:rsid w:val="00EA1352"/>
    <w:rsid w:val="00EA13A5"/>
    <w:rsid w:val="00EA13FC"/>
    <w:rsid w:val="00EA16CF"/>
    <w:rsid w:val="00EA1789"/>
    <w:rsid w:val="00EA180A"/>
    <w:rsid w:val="00EA185E"/>
    <w:rsid w:val="00EA1871"/>
    <w:rsid w:val="00EA1886"/>
    <w:rsid w:val="00EA193F"/>
    <w:rsid w:val="00EA1A24"/>
    <w:rsid w:val="00EA1A3B"/>
    <w:rsid w:val="00EA1A7F"/>
    <w:rsid w:val="00EA1BC1"/>
    <w:rsid w:val="00EA1E68"/>
    <w:rsid w:val="00EA1F32"/>
    <w:rsid w:val="00EA1F7F"/>
    <w:rsid w:val="00EA1FD4"/>
    <w:rsid w:val="00EA204E"/>
    <w:rsid w:val="00EA20B6"/>
    <w:rsid w:val="00EA218D"/>
    <w:rsid w:val="00EA21CA"/>
    <w:rsid w:val="00EA2512"/>
    <w:rsid w:val="00EA253A"/>
    <w:rsid w:val="00EA2675"/>
    <w:rsid w:val="00EA26A6"/>
    <w:rsid w:val="00EA2739"/>
    <w:rsid w:val="00EA27B4"/>
    <w:rsid w:val="00EA27E8"/>
    <w:rsid w:val="00EA2815"/>
    <w:rsid w:val="00EA28D1"/>
    <w:rsid w:val="00EA28D4"/>
    <w:rsid w:val="00EA294E"/>
    <w:rsid w:val="00EA2B1B"/>
    <w:rsid w:val="00EA2B54"/>
    <w:rsid w:val="00EA2BA8"/>
    <w:rsid w:val="00EA2C01"/>
    <w:rsid w:val="00EA2C77"/>
    <w:rsid w:val="00EA2D27"/>
    <w:rsid w:val="00EA2E19"/>
    <w:rsid w:val="00EA2EF6"/>
    <w:rsid w:val="00EA305E"/>
    <w:rsid w:val="00EA3123"/>
    <w:rsid w:val="00EA34EC"/>
    <w:rsid w:val="00EA34FE"/>
    <w:rsid w:val="00EA353B"/>
    <w:rsid w:val="00EA358D"/>
    <w:rsid w:val="00EA375C"/>
    <w:rsid w:val="00EA37DC"/>
    <w:rsid w:val="00EA38FB"/>
    <w:rsid w:val="00EA39A7"/>
    <w:rsid w:val="00EA3AB5"/>
    <w:rsid w:val="00EA3B4D"/>
    <w:rsid w:val="00EA3B8E"/>
    <w:rsid w:val="00EA3BCE"/>
    <w:rsid w:val="00EA3C34"/>
    <w:rsid w:val="00EA3C7A"/>
    <w:rsid w:val="00EA3CC5"/>
    <w:rsid w:val="00EA3DF7"/>
    <w:rsid w:val="00EA3E02"/>
    <w:rsid w:val="00EA3EA3"/>
    <w:rsid w:val="00EA3EAE"/>
    <w:rsid w:val="00EA3F95"/>
    <w:rsid w:val="00EA4077"/>
    <w:rsid w:val="00EA40E0"/>
    <w:rsid w:val="00EA40E3"/>
    <w:rsid w:val="00EA4142"/>
    <w:rsid w:val="00EA41B8"/>
    <w:rsid w:val="00EA4229"/>
    <w:rsid w:val="00EA42B1"/>
    <w:rsid w:val="00EA44A1"/>
    <w:rsid w:val="00EA44C0"/>
    <w:rsid w:val="00EA459C"/>
    <w:rsid w:val="00EA46DD"/>
    <w:rsid w:val="00EA475D"/>
    <w:rsid w:val="00EA4798"/>
    <w:rsid w:val="00EA492B"/>
    <w:rsid w:val="00EA49F7"/>
    <w:rsid w:val="00EA49F9"/>
    <w:rsid w:val="00EA4A7F"/>
    <w:rsid w:val="00EA4B99"/>
    <w:rsid w:val="00EA4BC0"/>
    <w:rsid w:val="00EA4BE3"/>
    <w:rsid w:val="00EA4BE8"/>
    <w:rsid w:val="00EA4C4C"/>
    <w:rsid w:val="00EA4D0E"/>
    <w:rsid w:val="00EA4E1A"/>
    <w:rsid w:val="00EA4E41"/>
    <w:rsid w:val="00EA4E71"/>
    <w:rsid w:val="00EA4EA8"/>
    <w:rsid w:val="00EA4F19"/>
    <w:rsid w:val="00EA4F6D"/>
    <w:rsid w:val="00EA4FA1"/>
    <w:rsid w:val="00EA4FAB"/>
    <w:rsid w:val="00EA5008"/>
    <w:rsid w:val="00EA524E"/>
    <w:rsid w:val="00EA5323"/>
    <w:rsid w:val="00EA53F1"/>
    <w:rsid w:val="00EA548C"/>
    <w:rsid w:val="00EA5508"/>
    <w:rsid w:val="00EA5594"/>
    <w:rsid w:val="00EA55DF"/>
    <w:rsid w:val="00EA56B6"/>
    <w:rsid w:val="00EA5745"/>
    <w:rsid w:val="00EA57DA"/>
    <w:rsid w:val="00EA598F"/>
    <w:rsid w:val="00EA59D2"/>
    <w:rsid w:val="00EA5B01"/>
    <w:rsid w:val="00EA5B89"/>
    <w:rsid w:val="00EA5C3F"/>
    <w:rsid w:val="00EA5DC2"/>
    <w:rsid w:val="00EA5E3F"/>
    <w:rsid w:val="00EA5E43"/>
    <w:rsid w:val="00EA5FDA"/>
    <w:rsid w:val="00EA6025"/>
    <w:rsid w:val="00EA6043"/>
    <w:rsid w:val="00EA60AC"/>
    <w:rsid w:val="00EA6111"/>
    <w:rsid w:val="00EA61E4"/>
    <w:rsid w:val="00EA629E"/>
    <w:rsid w:val="00EA6332"/>
    <w:rsid w:val="00EA6370"/>
    <w:rsid w:val="00EA641D"/>
    <w:rsid w:val="00EA64C7"/>
    <w:rsid w:val="00EA6718"/>
    <w:rsid w:val="00EA67EC"/>
    <w:rsid w:val="00EA688B"/>
    <w:rsid w:val="00EA6903"/>
    <w:rsid w:val="00EA6948"/>
    <w:rsid w:val="00EA69A4"/>
    <w:rsid w:val="00EA6AA4"/>
    <w:rsid w:val="00EA6AA7"/>
    <w:rsid w:val="00EA6AD3"/>
    <w:rsid w:val="00EA6AEA"/>
    <w:rsid w:val="00EA6B4A"/>
    <w:rsid w:val="00EA6D31"/>
    <w:rsid w:val="00EA6D35"/>
    <w:rsid w:val="00EA6D52"/>
    <w:rsid w:val="00EA6DB4"/>
    <w:rsid w:val="00EA6DBD"/>
    <w:rsid w:val="00EA6ED5"/>
    <w:rsid w:val="00EA6F87"/>
    <w:rsid w:val="00EA7019"/>
    <w:rsid w:val="00EA7124"/>
    <w:rsid w:val="00EA71D1"/>
    <w:rsid w:val="00EA722C"/>
    <w:rsid w:val="00EA73F4"/>
    <w:rsid w:val="00EA7460"/>
    <w:rsid w:val="00EA74B4"/>
    <w:rsid w:val="00EA74B6"/>
    <w:rsid w:val="00EA75EE"/>
    <w:rsid w:val="00EA7855"/>
    <w:rsid w:val="00EA7884"/>
    <w:rsid w:val="00EA7949"/>
    <w:rsid w:val="00EA79B1"/>
    <w:rsid w:val="00EA79C6"/>
    <w:rsid w:val="00EA79CE"/>
    <w:rsid w:val="00EA7A59"/>
    <w:rsid w:val="00EA7A63"/>
    <w:rsid w:val="00EA7AB2"/>
    <w:rsid w:val="00EA7AFD"/>
    <w:rsid w:val="00EA7B62"/>
    <w:rsid w:val="00EA7C4C"/>
    <w:rsid w:val="00EA7D3C"/>
    <w:rsid w:val="00EA7DFD"/>
    <w:rsid w:val="00EA7E74"/>
    <w:rsid w:val="00EA7E8A"/>
    <w:rsid w:val="00EA7F03"/>
    <w:rsid w:val="00EB00B0"/>
    <w:rsid w:val="00EB017A"/>
    <w:rsid w:val="00EB0271"/>
    <w:rsid w:val="00EB031F"/>
    <w:rsid w:val="00EB0440"/>
    <w:rsid w:val="00EB04C7"/>
    <w:rsid w:val="00EB053E"/>
    <w:rsid w:val="00EB0607"/>
    <w:rsid w:val="00EB06B2"/>
    <w:rsid w:val="00EB071E"/>
    <w:rsid w:val="00EB073B"/>
    <w:rsid w:val="00EB074E"/>
    <w:rsid w:val="00EB085D"/>
    <w:rsid w:val="00EB08E2"/>
    <w:rsid w:val="00EB09B8"/>
    <w:rsid w:val="00EB0A18"/>
    <w:rsid w:val="00EB0A9F"/>
    <w:rsid w:val="00EB0B0B"/>
    <w:rsid w:val="00EB0B8F"/>
    <w:rsid w:val="00EB0D2A"/>
    <w:rsid w:val="00EB0D8C"/>
    <w:rsid w:val="00EB0FAD"/>
    <w:rsid w:val="00EB1067"/>
    <w:rsid w:val="00EB1096"/>
    <w:rsid w:val="00EB10A5"/>
    <w:rsid w:val="00EB1177"/>
    <w:rsid w:val="00EB127D"/>
    <w:rsid w:val="00EB13D3"/>
    <w:rsid w:val="00EB14B3"/>
    <w:rsid w:val="00EB14D0"/>
    <w:rsid w:val="00EB1612"/>
    <w:rsid w:val="00EB1629"/>
    <w:rsid w:val="00EB16F6"/>
    <w:rsid w:val="00EB184F"/>
    <w:rsid w:val="00EB194D"/>
    <w:rsid w:val="00EB1A4C"/>
    <w:rsid w:val="00EB1B1A"/>
    <w:rsid w:val="00EB1B1F"/>
    <w:rsid w:val="00EB1BFA"/>
    <w:rsid w:val="00EB1BFF"/>
    <w:rsid w:val="00EB1C02"/>
    <w:rsid w:val="00EB1C0F"/>
    <w:rsid w:val="00EB1C7E"/>
    <w:rsid w:val="00EB1D48"/>
    <w:rsid w:val="00EB1E1A"/>
    <w:rsid w:val="00EB1E1C"/>
    <w:rsid w:val="00EB20C0"/>
    <w:rsid w:val="00EB2110"/>
    <w:rsid w:val="00EB21A6"/>
    <w:rsid w:val="00EB21C6"/>
    <w:rsid w:val="00EB2281"/>
    <w:rsid w:val="00EB22C8"/>
    <w:rsid w:val="00EB2362"/>
    <w:rsid w:val="00EB23FD"/>
    <w:rsid w:val="00EB24E5"/>
    <w:rsid w:val="00EB25A0"/>
    <w:rsid w:val="00EB262C"/>
    <w:rsid w:val="00EB263B"/>
    <w:rsid w:val="00EB26BB"/>
    <w:rsid w:val="00EB26EA"/>
    <w:rsid w:val="00EB26F5"/>
    <w:rsid w:val="00EB26FF"/>
    <w:rsid w:val="00EB2750"/>
    <w:rsid w:val="00EB288D"/>
    <w:rsid w:val="00EB2894"/>
    <w:rsid w:val="00EB28FC"/>
    <w:rsid w:val="00EB292A"/>
    <w:rsid w:val="00EB29B3"/>
    <w:rsid w:val="00EB2A97"/>
    <w:rsid w:val="00EB2B84"/>
    <w:rsid w:val="00EB2C8C"/>
    <w:rsid w:val="00EB2CCB"/>
    <w:rsid w:val="00EB2E5C"/>
    <w:rsid w:val="00EB2E91"/>
    <w:rsid w:val="00EB2FD6"/>
    <w:rsid w:val="00EB32D6"/>
    <w:rsid w:val="00EB354F"/>
    <w:rsid w:val="00EB35C9"/>
    <w:rsid w:val="00EB3697"/>
    <w:rsid w:val="00EB3728"/>
    <w:rsid w:val="00EB3743"/>
    <w:rsid w:val="00EB3750"/>
    <w:rsid w:val="00EB37FD"/>
    <w:rsid w:val="00EB3869"/>
    <w:rsid w:val="00EB38BE"/>
    <w:rsid w:val="00EB3950"/>
    <w:rsid w:val="00EB39A3"/>
    <w:rsid w:val="00EB39A4"/>
    <w:rsid w:val="00EB39E1"/>
    <w:rsid w:val="00EB3BC9"/>
    <w:rsid w:val="00EB3BD6"/>
    <w:rsid w:val="00EB3C47"/>
    <w:rsid w:val="00EB3C4F"/>
    <w:rsid w:val="00EB3C8F"/>
    <w:rsid w:val="00EB3D06"/>
    <w:rsid w:val="00EB3D19"/>
    <w:rsid w:val="00EB4062"/>
    <w:rsid w:val="00EB4070"/>
    <w:rsid w:val="00EB4098"/>
    <w:rsid w:val="00EB41BF"/>
    <w:rsid w:val="00EB41F9"/>
    <w:rsid w:val="00EB4233"/>
    <w:rsid w:val="00EB44D7"/>
    <w:rsid w:val="00EB45A1"/>
    <w:rsid w:val="00EB4612"/>
    <w:rsid w:val="00EB46DE"/>
    <w:rsid w:val="00EB473F"/>
    <w:rsid w:val="00EB4777"/>
    <w:rsid w:val="00EB4855"/>
    <w:rsid w:val="00EB4866"/>
    <w:rsid w:val="00EB49F7"/>
    <w:rsid w:val="00EB4A95"/>
    <w:rsid w:val="00EB4B93"/>
    <w:rsid w:val="00EB4BD7"/>
    <w:rsid w:val="00EB4C0C"/>
    <w:rsid w:val="00EB4C10"/>
    <w:rsid w:val="00EB4D8D"/>
    <w:rsid w:val="00EB4E62"/>
    <w:rsid w:val="00EB4E92"/>
    <w:rsid w:val="00EB4F4E"/>
    <w:rsid w:val="00EB4FBA"/>
    <w:rsid w:val="00EB5025"/>
    <w:rsid w:val="00EB5087"/>
    <w:rsid w:val="00EB5115"/>
    <w:rsid w:val="00EB518B"/>
    <w:rsid w:val="00EB53A0"/>
    <w:rsid w:val="00EB5440"/>
    <w:rsid w:val="00EB54AE"/>
    <w:rsid w:val="00EB54DE"/>
    <w:rsid w:val="00EB54F0"/>
    <w:rsid w:val="00EB556B"/>
    <w:rsid w:val="00EB55DD"/>
    <w:rsid w:val="00EB5661"/>
    <w:rsid w:val="00EB56AC"/>
    <w:rsid w:val="00EB5718"/>
    <w:rsid w:val="00EB5751"/>
    <w:rsid w:val="00EB57FC"/>
    <w:rsid w:val="00EB584B"/>
    <w:rsid w:val="00EB5856"/>
    <w:rsid w:val="00EB5865"/>
    <w:rsid w:val="00EB5A1C"/>
    <w:rsid w:val="00EB5A75"/>
    <w:rsid w:val="00EB5AAE"/>
    <w:rsid w:val="00EB5B88"/>
    <w:rsid w:val="00EB5C4C"/>
    <w:rsid w:val="00EB5CAE"/>
    <w:rsid w:val="00EB5D11"/>
    <w:rsid w:val="00EB5D25"/>
    <w:rsid w:val="00EB5E69"/>
    <w:rsid w:val="00EB5F14"/>
    <w:rsid w:val="00EB5F38"/>
    <w:rsid w:val="00EB6109"/>
    <w:rsid w:val="00EB614E"/>
    <w:rsid w:val="00EB620E"/>
    <w:rsid w:val="00EB62A5"/>
    <w:rsid w:val="00EB62AC"/>
    <w:rsid w:val="00EB636D"/>
    <w:rsid w:val="00EB63D8"/>
    <w:rsid w:val="00EB6716"/>
    <w:rsid w:val="00EB67CC"/>
    <w:rsid w:val="00EB67D2"/>
    <w:rsid w:val="00EB6812"/>
    <w:rsid w:val="00EB6836"/>
    <w:rsid w:val="00EB6864"/>
    <w:rsid w:val="00EB6942"/>
    <w:rsid w:val="00EB69DB"/>
    <w:rsid w:val="00EB69E3"/>
    <w:rsid w:val="00EB6C40"/>
    <w:rsid w:val="00EB6CB5"/>
    <w:rsid w:val="00EB6DCA"/>
    <w:rsid w:val="00EB6F6C"/>
    <w:rsid w:val="00EB6F6E"/>
    <w:rsid w:val="00EB703F"/>
    <w:rsid w:val="00EB7115"/>
    <w:rsid w:val="00EB71F8"/>
    <w:rsid w:val="00EB72BC"/>
    <w:rsid w:val="00EB7384"/>
    <w:rsid w:val="00EB7389"/>
    <w:rsid w:val="00EB73CB"/>
    <w:rsid w:val="00EB745C"/>
    <w:rsid w:val="00EB747D"/>
    <w:rsid w:val="00EB74AF"/>
    <w:rsid w:val="00EB7528"/>
    <w:rsid w:val="00EB7593"/>
    <w:rsid w:val="00EB75B3"/>
    <w:rsid w:val="00EB7660"/>
    <w:rsid w:val="00EB76DE"/>
    <w:rsid w:val="00EB78E5"/>
    <w:rsid w:val="00EB78FD"/>
    <w:rsid w:val="00EB7C09"/>
    <w:rsid w:val="00EB7CE4"/>
    <w:rsid w:val="00EB7CFE"/>
    <w:rsid w:val="00EB7DA7"/>
    <w:rsid w:val="00EB7E24"/>
    <w:rsid w:val="00EB7E80"/>
    <w:rsid w:val="00EB7ECE"/>
    <w:rsid w:val="00EB7F27"/>
    <w:rsid w:val="00EB7FC1"/>
    <w:rsid w:val="00EC0183"/>
    <w:rsid w:val="00EC01D1"/>
    <w:rsid w:val="00EC02E5"/>
    <w:rsid w:val="00EC041F"/>
    <w:rsid w:val="00EC04BE"/>
    <w:rsid w:val="00EC0618"/>
    <w:rsid w:val="00EC0636"/>
    <w:rsid w:val="00EC06F1"/>
    <w:rsid w:val="00EC0732"/>
    <w:rsid w:val="00EC089B"/>
    <w:rsid w:val="00EC08A5"/>
    <w:rsid w:val="00EC0931"/>
    <w:rsid w:val="00EC0A67"/>
    <w:rsid w:val="00EC0B2E"/>
    <w:rsid w:val="00EC0C74"/>
    <w:rsid w:val="00EC0DA9"/>
    <w:rsid w:val="00EC0E32"/>
    <w:rsid w:val="00EC0EB9"/>
    <w:rsid w:val="00EC0F73"/>
    <w:rsid w:val="00EC0F7C"/>
    <w:rsid w:val="00EC1092"/>
    <w:rsid w:val="00EC11FD"/>
    <w:rsid w:val="00EC14D4"/>
    <w:rsid w:val="00EC1563"/>
    <w:rsid w:val="00EC185C"/>
    <w:rsid w:val="00EC18FB"/>
    <w:rsid w:val="00EC19A7"/>
    <w:rsid w:val="00EC19FD"/>
    <w:rsid w:val="00EC1B5C"/>
    <w:rsid w:val="00EC1B82"/>
    <w:rsid w:val="00EC1E00"/>
    <w:rsid w:val="00EC1E42"/>
    <w:rsid w:val="00EC1E81"/>
    <w:rsid w:val="00EC1F24"/>
    <w:rsid w:val="00EC1F91"/>
    <w:rsid w:val="00EC1FBF"/>
    <w:rsid w:val="00EC20DA"/>
    <w:rsid w:val="00EC22D6"/>
    <w:rsid w:val="00EC234F"/>
    <w:rsid w:val="00EC23EB"/>
    <w:rsid w:val="00EC266F"/>
    <w:rsid w:val="00EC2686"/>
    <w:rsid w:val="00EC26E7"/>
    <w:rsid w:val="00EC273C"/>
    <w:rsid w:val="00EC2798"/>
    <w:rsid w:val="00EC2874"/>
    <w:rsid w:val="00EC29AF"/>
    <w:rsid w:val="00EC29D4"/>
    <w:rsid w:val="00EC29F4"/>
    <w:rsid w:val="00EC2A12"/>
    <w:rsid w:val="00EC2ACA"/>
    <w:rsid w:val="00EC2B1A"/>
    <w:rsid w:val="00EC2B9A"/>
    <w:rsid w:val="00EC2C2B"/>
    <w:rsid w:val="00EC2D05"/>
    <w:rsid w:val="00EC2DEB"/>
    <w:rsid w:val="00EC2E21"/>
    <w:rsid w:val="00EC2E5B"/>
    <w:rsid w:val="00EC2EC9"/>
    <w:rsid w:val="00EC2EF0"/>
    <w:rsid w:val="00EC2F18"/>
    <w:rsid w:val="00EC31D3"/>
    <w:rsid w:val="00EC31E5"/>
    <w:rsid w:val="00EC3268"/>
    <w:rsid w:val="00EC32A2"/>
    <w:rsid w:val="00EC32E2"/>
    <w:rsid w:val="00EC33D4"/>
    <w:rsid w:val="00EC3625"/>
    <w:rsid w:val="00EC3654"/>
    <w:rsid w:val="00EC36A2"/>
    <w:rsid w:val="00EC36F5"/>
    <w:rsid w:val="00EC379D"/>
    <w:rsid w:val="00EC3AB8"/>
    <w:rsid w:val="00EC3ACB"/>
    <w:rsid w:val="00EC3B32"/>
    <w:rsid w:val="00EC3B77"/>
    <w:rsid w:val="00EC3D94"/>
    <w:rsid w:val="00EC4013"/>
    <w:rsid w:val="00EC4054"/>
    <w:rsid w:val="00EC40FB"/>
    <w:rsid w:val="00EC4101"/>
    <w:rsid w:val="00EC41D6"/>
    <w:rsid w:val="00EC43AB"/>
    <w:rsid w:val="00EC4446"/>
    <w:rsid w:val="00EC4480"/>
    <w:rsid w:val="00EC4486"/>
    <w:rsid w:val="00EC44FF"/>
    <w:rsid w:val="00EC4677"/>
    <w:rsid w:val="00EC469B"/>
    <w:rsid w:val="00EC4806"/>
    <w:rsid w:val="00EC493E"/>
    <w:rsid w:val="00EC494A"/>
    <w:rsid w:val="00EC49D7"/>
    <w:rsid w:val="00EC49D8"/>
    <w:rsid w:val="00EC4A1E"/>
    <w:rsid w:val="00EC4E2C"/>
    <w:rsid w:val="00EC4F47"/>
    <w:rsid w:val="00EC5150"/>
    <w:rsid w:val="00EC51DE"/>
    <w:rsid w:val="00EC53F7"/>
    <w:rsid w:val="00EC5621"/>
    <w:rsid w:val="00EC562A"/>
    <w:rsid w:val="00EC573C"/>
    <w:rsid w:val="00EC5765"/>
    <w:rsid w:val="00EC57BC"/>
    <w:rsid w:val="00EC57D6"/>
    <w:rsid w:val="00EC58E5"/>
    <w:rsid w:val="00EC58EA"/>
    <w:rsid w:val="00EC590C"/>
    <w:rsid w:val="00EC59B2"/>
    <w:rsid w:val="00EC59C9"/>
    <w:rsid w:val="00EC59CF"/>
    <w:rsid w:val="00EC59F3"/>
    <w:rsid w:val="00EC5B2F"/>
    <w:rsid w:val="00EC5B37"/>
    <w:rsid w:val="00EC5B56"/>
    <w:rsid w:val="00EC5BBC"/>
    <w:rsid w:val="00EC5BC1"/>
    <w:rsid w:val="00EC5C12"/>
    <w:rsid w:val="00EC5CD4"/>
    <w:rsid w:val="00EC5D63"/>
    <w:rsid w:val="00EC5EE7"/>
    <w:rsid w:val="00EC5FA7"/>
    <w:rsid w:val="00EC6084"/>
    <w:rsid w:val="00EC61BC"/>
    <w:rsid w:val="00EC61E0"/>
    <w:rsid w:val="00EC61F5"/>
    <w:rsid w:val="00EC6222"/>
    <w:rsid w:val="00EC62C4"/>
    <w:rsid w:val="00EC6348"/>
    <w:rsid w:val="00EC63B7"/>
    <w:rsid w:val="00EC652F"/>
    <w:rsid w:val="00EC6531"/>
    <w:rsid w:val="00EC65A6"/>
    <w:rsid w:val="00EC67D6"/>
    <w:rsid w:val="00EC69D0"/>
    <w:rsid w:val="00EC6C05"/>
    <w:rsid w:val="00EC6C65"/>
    <w:rsid w:val="00EC6CD7"/>
    <w:rsid w:val="00EC6CDE"/>
    <w:rsid w:val="00EC6E36"/>
    <w:rsid w:val="00EC6E7E"/>
    <w:rsid w:val="00EC7146"/>
    <w:rsid w:val="00EC715C"/>
    <w:rsid w:val="00EC72F0"/>
    <w:rsid w:val="00EC73A4"/>
    <w:rsid w:val="00EC7448"/>
    <w:rsid w:val="00EC7465"/>
    <w:rsid w:val="00EC7480"/>
    <w:rsid w:val="00EC74AC"/>
    <w:rsid w:val="00EC74F6"/>
    <w:rsid w:val="00EC757D"/>
    <w:rsid w:val="00EC770B"/>
    <w:rsid w:val="00EC77D9"/>
    <w:rsid w:val="00EC77F5"/>
    <w:rsid w:val="00EC79EB"/>
    <w:rsid w:val="00EC7A0A"/>
    <w:rsid w:val="00EC7AFE"/>
    <w:rsid w:val="00EC7B69"/>
    <w:rsid w:val="00EC7BA0"/>
    <w:rsid w:val="00EC7D6D"/>
    <w:rsid w:val="00EC7F15"/>
    <w:rsid w:val="00ED00BC"/>
    <w:rsid w:val="00ED015A"/>
    <w:rsid w:val="00ED019E"/>
    <w:rsid w:val="00ED01C9"/>
    <w:rsid w:val="00ED01D7"/>
    <w:rsid w:val="00ED01E7"/>
    <w:rsid w:val="00ED0261"/>
    <w:rsid w:val="00ED02B3"/>
    <w:rsid w:val="00ED034D"/>
    <w:rsid w:val="00ED0356"/>
    <w:rsid w:val="00ED0599"/>
    <w:rsid w:val="00ED0699"/>
    <w:rsid w:val="00ED06C2"/>
    <w:rsid w:val="00ED073A"/>
    <w:rsid w:val="00ED07CE"/>
    <w:rsid w:val="00ED07DF"/>
    <w:rsid w:val="00ED0809"/>
    <w:rsid w:val="00ED08AA"/>
    <w:rsid w:val="00ED08AD"/>
    <w:rsid w:val="00ED0A85"/>
    <w:rsid w:val="00ED0B69"/>
    <w:rsid w:val="00ED0C4E"/>
    <w:rsid w:val="00ED0D65"/>
    <w:rsid w:val="00ED0F31"/>
    <w:rsid w:val="00ED0FF7"/>
    <w:rsid w:val="00ED1055"/>
    <w:rsid w:val="00ED113C"/>
    <w:rsid w:val="00ED11F4"/>
    <w:rsid w:val="00ED1228"/>
    <w:rsid w:val="00ED14A3"/>
    <w:rsid w:val="00ED14F6"/>
    <w:rsid w:val="00ED15DA"/>
    <w:rsid w:val="00ED1648"/>
    <w:rsid w:val="00ED1660"/>
    <w:rsid w:val="00ED1721"/>
    <w:rsid w:val="00ED1953"/>
    <w:rsid w:val="00ED1980"/>
    <w:rsid w:val="00ED1A10"/>
    <w:rsid w:val="00ED1A5B"/>
    <w:rsid w:val="00ED1A65"/>
    <w:rsid w:val="00ED1AB7"/>
    <w:rsid w:val="00ED1ABE"/>
    <w:rsid w:val="00ED1BCE"/>
    <w:rsid w:val="00ED1D90"/>
    <w:rsid w:val="00ED1E57"/>
    <w:rsid w:val="00ED1F83"/>
    <w:rsid w:val="00ED1FAD"/>
    <w:rsid w:val="00ED2077"/>
    <w:rsid w:val="00ED21B9"/>
    <w:rsid w:val="00ED21BF"/>
    <w:rsid w:val="00ED2266"/>
    <w:rsid w:val="00ED22EA"/>
    <w:rsid w:val="00ED233A"/>
    <w:rsid w:val="00ED23C9"/>
    <w:rsid w:val="00ED2436"/>
    <w:rsid w:val="00ED2486"/>
    <w:rsid w:val="00ED24DF"/>
    <w:rsid w:val="00ED24F2"/>
    <w:rsid w:val="00ED25EB"/>
    <w:rsid w:val="00ED2620"/>
    <w:rsid w:val="00ED274A"/>
    <w:rsid w:val="00ED28B8"/>
    <w:rsid w:val="00ED2921"/>
    <w:rsid w:val="00ED2981"/>
    <w:rsid w:val="00ED29B0"/>
    <w:rsid w:val="00ED2A11"/>
    <w:rsid w:val="00ED2A47"/>
    <w:rsid w:val="00ED2AAD"/>
    <w:rsid w:val="00ED2B71"/>
    <w:rsid w:val="00ED2CA5"/>
    <w:rsid w:val="00ED2CB9"/>
    <w:rsid w:val="00ED2DCD"/>
    <w:rsid w:val="00ED2E19"/>
    <w:rsid w:val="00ED2E6C"/>
    <w:rsid w:val="00ED2E73"/>
    <w:rsid w:val="00ED2F6D"/>
    <w:rsid w:val="00ED2F8D"/>
    <w:rsid w:val="00ED30AE"/>
    <w:rsid w:val="00ED3124"/>
    <w:rsid w:val="00ED31DC"/>
    <w:rsid w:val="00ED321E"/>
    <w:rsid w:val="00ED330C"/>
    <w:rsid w:val="00ED331E"/>
    <w:rsid w:val="00ED3392"/>
    <w:rsid w:val="00ED3426"/>
    <w:rsid w:val="00ED34A8"/>
    <w:rsid w:val="00ED34C3"/>
    <w:rsid w:val="00ED34EB"/>
    <w:rsid w:val="00ED353B"/>
    <w:rsid w:val="00ED3545"/>
    <w:rsid w:val="00ED356D"/>
    <w:rsid w:val="00ED35D2"/>
    <w:rsid w:val="00ED36BD"/>
    <w:rsid w:val="00ED36D3"/>
    <w:rsid w:val="00ED3962"/>
    <w:rsid w:val="00ED3A0B"/>
    <w:rsid w:val="00ED3B01"/>
    <w:rsid w:val="00ED3BF9"/>
    <w:rsid w:val="00ED3C64"/>
    <w:rsid w:val="00ED3D24"/>
    <w:rsid w:val="00ED3E62"/>
    <w:rsid w:val="00ED3F3F"/>
    <w:rsid w:val="00ED3F71"/>
    <w:rsid w:val="00ED40DC"/>
    <w:rsid w:val="00ED418C"/>
    <w:rsid w:val="00ED42E9"/>
    <w:rsid w:val="00ED4615"/>
    <w:rsid w:val="00ED4636"/>
    <w:rsid w:val="00ED4680"/>
    <w:rsid w:val="00ED468F"/>
    <w:rsid w:val="00ED4728"/>
    <w:rsid w:val="00ED47F0"/>
    <w:rsid w:val="00ED4809"/>
    <w:rsid w:val="00ED482D"/>
    <w:rsid w:val="00ED4868"/>
    <w:rsid w:val="00ED48D5"/>
    <w:rsid w:val="00ED497E"/>
    <w:rsid w:val="00ED4AE0"/>
    <w:rsid w:val="00ED4B22"/>
    <w:rsid w:val="00ED4B59"/>
    <w:rsid w:val="00ED4CA1"/>
    <w:rsid w:val="00ED4D5C"/>
    <w:rsid w:val="00ED5071"/>
    <w:rsid w:val="00ED5090"/>
    <w:rsid w:val="00ED51F4"/>
    <w:rsid w:val="00ED5225"/>
    <w:rsid w:val="00ED52C5"/>
    <w:rsid w:val="00ED53FF"/>
    <w:rsid w:val="00ED546E"/>
    <w:rsid w:val="00ED54E4"/>
    <w:rsid w:val="00ED56B9"/>
    <w:rsid w:val="00ED5788"/>
    <w:rsid w:val="00ED5855"/>
    <w:rsid w:val="00ED587C"/>
    <w:rsid w:val="00ED5901"/>
    <w:rsid w:val="00ED5971"/>
    <w:rsid w:val="00ED59A0"/>
    <w:rsid w:val="00ED59E9"/>
    <w:rsid w:val="00ED5BF8"/>
    <w:rsid w:val="00ED5CA6"/>
    <w:rsid w:val="00ED5D72"/>
    <w:rsid w:val="00ED5EC8"/>
    <w:rsid w:val="00ED5F0D"/>
    <w:rsid w:val="00ED5F2C"/>
    <w:rsid w:val="00ED5FDD"/>
    <w:rsid w:val="00ED6182"/>
    <w:rsid w:val="00ED6308"/>
    <w:rsid w:val="00ED6327"/>
    <w:rsid w:val="00ED6345"/>
    <w:rsid w:val="00ED6351"/>
    <w:rsid w:val="00ED6426"/>
    <w:rsid w:val="00ED6519"/>
    <w:rsid w:val="00ED654B"/>
    <w:rsid w:val="00ED6743"/>
    <w:rsid w:val="00ED678B"/>
    <w:rsid w:val="00ED68CA"/>
    <w:rsid w:val="00ED68E0"/>
    <w:rsid w:val="00ED6B00"/>
    <w:rsid w:val="00ED6B40"/>
    <w:rsid w:val="00ED6B91"/>
    <w:rsid w:val="00ED6C28"/>
    <w:rsid w:val="00ED6D1A"/>
    <w:rsid w:val="00ED6D79"/>
    <w:rsid w:val="00ED6E20"/>
    <w:rsid w:val="00ED6E41"/>
    <w:rsid w:val="00ED70EA"/>
    <w:rsid w:val="00ED722C"/>
    <w:rsid w:val="00ED7260"/>
    <w:rsid w:val="00ED72DF"/>
    <w:rsid w:val="00ED743A"/>
    <w:rsid w:val="00ED7562"/>
    <w:rsid w:val="00ED756B"/>
    <w:rsid w:val="00ED7604"/>
    <w:rsid w:val="00ED76A1"/>
    <w:rsid w:val="00ED76AB"/>
    <w:rsid w:val="00ED77BD"/>
    <w:rsid w:val="00ED784A"/>
    <w:rsid w:val="00ED78CF"/>
    <w:rsid w:val="00ED7949"/>
    <w:rsid w:val="00ED7974"/>
    <w:rsid w:val="00ED7981"/>
    <w:rsid w:val="00ED7A08"/>
    <w:rsid w:val="00ED7B9A"/>
    <w:rsid w:val="00ED7C94"/>
    <w:rsid w:val="00ED7CB5"/>
    <w:rsid w:val="00ED7CD6"/>
    <w:rsid w:val="00ED7DAD"/>
    <w:rsid w:val="00EE0045"/>
    <w:rsid w:val="00EE011E"/>
    <w:rsid w:val="00EE0159"/>
    <w:rsid w:val="00EE018B"/>
    <w:rsid w:val="00EE02F5"/>
    <w:rsid w:val="00EE03B8"/>
    <w:rsid w:val="00EE0542"/>
    <w:rsid w:val="00EE0552"/>
    <w:rsid w:val="00EE061C"/>
    <w:rsid w:val="00EE08AA"/>
    <w:rsid w:val="00EE08C1"/>
    <w:rsid w:val="00EE090F"/>
    <w:rsid w:val="00EE0923"/>
    <w:rsid w:val="00EE09D1"/>
    <w:rsid w:val="00EE0C21"/>
    <w:rsid w:val="00EE0D3B"/>
    <w:rsid w:val="00EE0D94"/>
    <w:rsid w:val="00EE0DE5"/>
    <w:rsid w:val="00EE0E09"/>
    <w:rsid w:val="00EE0F9B"/>
    <w:rsid w:val="00EE0FBD"/>
    <w:rsid w:val="00EE1021"/>
    <w:rsid w:val="00EE1022"/>
    <w:rsid w:val="00EE10DC"/>
    <w:rsid w:val="00EE1108"/>
    <w:rsid w:val="00EE1156"/>
    <w:rsid w:val="00EE1227"/>
    <w:rsid w:val="00EE124F"/>
    <w:rsid w:val="00EE12DE"/>
    <w:rsid w:val="00EE1335"/>
    <w:rsid w:val="00EE1342"/>
    <w:rsid w:val="00EE1387"/>
    <w:rsid w:val="00EE14F7"/>
    <w:rsid w:val="00EE154F"/>
    <w:rsid w:val="00EE1587"/>
    <w:rsid w:val="00EE159C"/>
    <w:rsid w:val="00EE15FB"/>
    <w:rsid w:val="00EE164E"/>
    <w:rsid w:val="00EE16EC"/>
    <w:rsid w:val="00EE1740"/>
    <w:rsid w:val="00EE1765"/>
    <w:rsid w:val="00EE1877"/>
    <w:rsid w:val="00EE1913"/>
    <w:rsid w:val="00EE19B5"/>
    <w:rsid w:val="00EE1A4C"/>
    <w:rsid w:val="00EE1E6F"/>
    <w:rsid w:val="00EE1FF3"/>
    <w:rsid w:val="00EE20BE"/>
    <w:rsid w:val="00EE2103"/>
    <w:rsid w:val="00EE215D"/>
    <w:rsid w:val="00EE2167"/>
    <w:rsid w:val="00EE2199"/>
    <w:rsid w:val="00EE21D6"/>
    <w:rsid w:val="00EE229B"/>
    <w:rsid w:val="00EE255F"/>
    <w:rsid w:val="00EE25A5"/>
    <w:rsid w:val="00EE25B7"/>
    <w:rsid w:val="00EE262B"/>
    <w:rsid w:val="00EE2861"/>
    <w:rsid w:val="00EE2AB7"/>
    <w:rsid w:val="00EE2B39"/>
    <w:rsid w:val="00EE2C74"/>
    <w:rsid w:val="00EE2CCF"/>
    <w:rsid w:val="00EE2DF5"/>
    <w:rsid w:val="00EE2DFE"/>
    <w:rsid w:val="00EE2E4B"/>
    <w:rsid w:val="00EE2E61"/>
    <w:rsid w:val="00EE2E68"/>
    <w:rsid w:val="00EE2EBF"/>
    <w:rsid w:val="00EE2F9D"/>
    <w:rsid w:val="00EE3171"/>
    <w:rsid w:val="00EE3181"/>
    <w:rsid w:val="00EE31C0"/>
    <w:rsid w:val="00EE31F2"/>
    <w:rsid w:val="00EE3309"/>
    <w:rsid w:val="00EE331A"/>
    <w:rsid w:val="00EE3328"/>
    <w:rsid w:val="00EE335B"/>
    <w:rsid w:val="00EE338E"/>
    <w:rsid w:val="00EE3399"/>
    <w:rsid w:val="00EE351C"/>
    <w:rsid w:val="00EE3582"/>
    <w:rsid w:val="00EE3610"/>
    <w:rsid w:val="00EE36B2"/>
    <w:rsid w:val="00EE381D"/>
    <w:rsid w:val="00EE38FB"/>
    <w:rsid w:val="00EE3940"/>
    <w:rsid w:val="00EE3A14"/>
    <w:rsid w:val="00EE3AC8"/>
    <w:rsid w:val="00EE3B0E"/>
    <w:rsid w:val="00EE3CCE"/>
    <w:rsid w:val="00EE3CEF"/>
    <w:rsid w:val="00EE3CF8"/>
    <w:rsid w:val="00EE3DA7"/>
    <w:rsid w:val="00EE3F6E"/>
    <w:rsid w:val="00EE40E3"/>
    <w:rsid w:val="00EE4163"/>
    <w:rsid w:val="00EE4255"/>
    <w:rsid w:val="00EE4278"/>
    <w:rsid w:val="00EE42F1"/>
    <w:rsid w:val="00EE43DE"/>
    <w:rsid w:val="00EE4455"/>
    <w:rsid w:val="00EE456F"/>
    <w:rsid w:val="00EE459C"/>
    <w:rsid w:val="00EE4622"/>
    <w:rsid w:val="00EE481F"/>
    <w:rsid w:val="00EE4851"/>
    <w:rsid w:val="00EE489A"/>
    <w:rsid w:val="00EE4930"/>
    <w:rsid w:val="00EE4976"/>
    <w:rsid w:val="00EE49D2"/>
    <w:rsid w:val="00EE49FB"/>
    <w:rsid w:val="00EE4A32"/>
    <w:rsid w:val="00EE4AAD"/>
    <w:rsid w:val="00EE4B15"/>
    <w:rsid w:val="00EE4BB1"/>
    <w:rsid w:val="00EE4D20"/>
    <w:rsid w:val="00EE4D36"/>
    <w:rsid w:val="00EE4E37"/>
    <w:rsid w:val="00EE4FA9"/>
    <w:rsid w:val="00EE5034"/>
    <w:rsid w:val="00EE504B"/>
    <w:rsid w:val="00EE50B9"/>
    <w:rsid w:val="00EE51B6"/>
    <w:rsid w:val="00EE53B9"/>
    <w:rsid w:val="00EE5416"/>
    <w:rsid w:val="00EE547A"/>
    <w:rsid w:val="00EE5565"/>
    <w:rsid w:val="00EE564D"/>
    <w:rsid w:val="00EE583C"/>
    <w:rsid w:val="00EE5896"/>
    <w:rsid w:val="00EE58E8"/>
    <w:rsid w:val="00EE58F5"/>
    <w:rsid w:val="00EE5963"/>
    <w:rsid w:val="00EE599E"/>
    <w:rsid w:val="00EE5A02"/>
    <w:rsid w:val="00EE5CC3"/>
    <w:rsid w:val="00EE5D7A"/>
    <w:rsid w:val="00EE5DE6"/>
    <w:rsid w:val="00EE5E00"/>
    <w:rsid w:val="00EE5E03"/>
    <w:rsid w:val="00EE5EB0"/>
    <w:rsid w:val="00EE5FC1"/>
    <w:rsid w:val="00EE5FC5"/>
    <w:rsid w:val="00EE6010"/>
    <w:rsid w:val="00EE6054"/>
    <w:rsid w:val="00EE614E"/>
    <w:rsid w:val="00EE61A0"/>
    <w:rsid w:val="00EE61DF"/>
    <w:rsid w:val="00EE6362"/>
    <w:rsid w:val="00EE646C"/>
    <w:rsid w:val="00EE648C"/>
    <w:rsid w:val="00EE64B3"/>
    <w:rsid w:val="00EE65E9"/>
    <w:rsid w:val="00EE66C1"/>
    <w:rsid w:val="00EE6713"/>
    <w:rsid w:val="00EE678D"/>
    <w:rsid w:val="00EE67A3"/>
    <w:rsid w:val="00EE67DB"/>
    <w:rsid w:val="00EE6906"/>
    <w:rsid w:val="00EE69B5"/>
    <w:rsid w:val="00EE6A90"/>
    <w:rsid w:val="00EE6A9A"/>
    <w:rsid w:val="00EE6B04"/>
    <w:rsid w:val="00EE6B86"/>
    <w:rsid w:val="00EE6B8B"/>
    <w:rsid w:val="00EE6BF1"/>
    <w:rsid w:val="00EE6C86"/>
    <w:rsid w:val="00EE6C93"/>
    <w:rsid w:val="00EE6D31"/>
    <w:rsid w:val="00EE6D9F"/>
    <w:rsid w:val="00EE6E5D"/>
    <w:rsid w:val="00EE6F51"/>
    <w:rsid w:val="00EE7024"/>
    <w:rsid w:val="00EE7028"/>
    <w:rsid w:val="00EE7109"/>
    <w:rsid w:val="00EE7225"/>
    <w:rsid w:val="00EE7329"/>
    <w:rsid w:val="00EE778E"/>
    <w:rsid w:val="00EE7854"/>
    <w:rsid w:val="00EE78DB"/>
    <w:rsid w:val="00EE78E6"/>
    <w:rsid w:val="00EE792E"/>
    <w:rsid w:val="00EE79CB"/>
    <w:rsid w:val="00EE7B64"/>
    <w:rsid w:val="00EE7C3D"/>
    <w:rsid w:val="00EE7CC2"/>
    <w:rsid w:val="00EE7E35"/>
    <w:rsid w:val="00EE7E49"/>
    <w:rsid w:val="00EE7E87"/>
    <w:rsid w:val="00EE7F6E"/>
    <w:rsid w:val="00EE7F81"/>
    <w:rsid w:val="00EF00BA"/>
    <w:rsid w:val="00EF0166"/>
    <w:rsid w:val="00EF01D0"/>
    <w:rsid w:val="00EF02A4"/>
    <w:rsid w:val="00EF041F"/>
    <w:rsid w:val="00EF04A8"/>
    <w:rsid w:val="00EF0540"/>
    <w:rsid w:val="00EF0562"/>
    <w:rsid w:val="00EF05A9"/>
    <w:rsid w:val="00EF05BA"/>
    <w:rsid w:val="00EF0730"/>
    <w:rsid w:val="00EF0750"/>
    <w:rsid w:val="00EF0851"/>
    <w:rsid w:val="00EF08A2"/>
    <w:rsid w:val="00EF0BD3"/>
    <w:rsid w:val="00EF0BEF"/>
    <w:rsid w:val="00EF0C99"/>
    <w:rsid w:val="00EF0D18"/>
    <w:rsid w:val="00EF0D8B"/>
    <w:rsid w:val="00EF0E3E"/>
    <w:rsid w:val="00EF0E6B"/>
    <w:rsid w:val="00EF0EB0"/>
    <w:rsid w:val="00EF0EF8"/>
    <w:rsid w:val="00EF0FD1"/>
    <w:rsid w:val="00EF103C"/>
    <w:rsid w:val="00EF1123"/>
    <w:rsid w:val="00EF11B7"/>
    <w:rsid w:val="00EF1353"/>
    <w:rsid w:val="00EF142C"/>
    <w:rsid w:val="00EF157D"/>
    <w:rsid w:val="00EF1591"/>
    <w:rsid w:val="00EF1666"/>
    <w:rsid w:val="00EF1673"/>
    <w:rsid w:val="00EF1695"/>
    <w:rsid w:val="00EF1730"/>
    <w:rsid w:val="00EF18FE"/>
    <w:rsid w:val="00EF1904"/>
    <w:rsid w:val="00EF193D"/>
    <w:rsid w:val="00EF1940"/>
    <w:rsid w:val="00EF1B2E"/>
    <w:rsid w:val="00EF1BB9"/>
    <w:rsid w:val="00EF1D14"/>
    <w:rsid w:val="00EF1D27"/>
    <w:rsid w:val="00EF1E14"/>
    <w:rsid w:val="00EF1F11"/>
    <w:rsid w:val="00EF1FE8"/>
    <w:rsid w:val="00EF2022"/>
    <w:rsid w:val="00EF207A"/>
    <w:rsid w:val="00EF21F8"/>
    <w:rsid w:val="00EF2244"/>
    <w:rsid w:val="00EF2324"/>
    <w:rsid w:val="00EF264F"/>
    <w:rsid w:val="00EF2680"/>
    <w:rsid w:val="00EF2691"/>
    <w:rsid w:val="00EF274A"/>
    <w:rsid w:val="00EF27C0"/>
    <w:rsid w:val="00EF27EC"/>
    <w:rsid w:val="00EF2962"/>
    <w:rsid w:val="00EF29C7"/>
    <w:rsid w:val="00EF2C00"/>
    <w:rsid w:val="00EF2CF1"/>
    <w:rsid w:val="00EF2D3A"/>
    <w:rsid w:val="00EF2E22"/>
    <w:rsid w:val="00EF2F31"/>
    <w:rsid w:val="00EF3025"/>
    <w:rsid w:val="00EF3192"/>
    <w:rsid w:val="00EF325F"/>
    <w:rsid w:val="00EF32A2"/>
    <w:rsid w:val="00EF334F"/>
    <w:rsid w:val="00EF3637"/>
    <w:rsid w:val="00EF36DE"/>
    <w:rsid w:val="00EF3774"/>
    <w:rsid w:val="00EF3776"/>
    <w:rsid w:val="00EF3834"/>
    <w:rsid w:val="00EF3853"/>
    <w:rsid w:val="00EF3884"/>
    <w:rsid w:val="00EF38B6"/>
    <w:rsid w:val="00EF39AC"/>
    <w:rsid w:val="00EF39E7"/>
    <w:rsid w:val="00EF39F4"/>
    <w:rsid w:val="00EF3B40"/>
    <w:rsid w:val="00EF3D9A"/>
    <w:rsid w:val="00EF3DF2"/>
    <w:rsid w:val="00EF3EFD"/>
    <w:rsid w:val="00EF3F5F"/>
    <w:rsid w:val="00EF3F64"/>
    <w:rsid w:val="00EF4074"/>
    <w:rsid w:val="00EF410C"/>
    <w:rsid w:val="00EF4123"/>
    <w:rsid w:val="00EF41AF"/>
    <w:rsid w:val="00EF4363"/>
    <w:rsid w:val="00EF445E"/>
    <w:rsid w:val="00EF4469"/>
    <w:rsid w:val="00EF44D1"/>
    <w:rsid w:val="00EF44EF"/>
    <w:rsid w:val="00EF451A"/>
    <w:rsid w:val="00EF457C"/>
    <w:rsid w:val="00EF45A6"/>
    <w:rsid w:val="00EF45EC"/>
    <w:rsid w:val="00EF4767"/>
    <w:rsid w:val="00EF47BE"/>
    <w:rsid w:val="00EF4891"/>
    <w:rsid w:val="00EF4964"/>
    <w:rsid w:val="00EF4A6F"/>
    <w:rsid w:val="00EF4A84"/>
    <w:rsid w:val="00EF4A91"/>
    <w:rsid w:val="00EF4B54"/>
    <w:rsid w:val="00EF4C86"/>
    <w:rsid w:val="00EF4C90"/>
    <w:rsid w:val="00EF4DD3"/>
    <w:rsid w:val="00EF4E25"/>
    <w:rsid w:val="00EF4EF7"/>
    <w:rsid w:val="00EF4F24"/>
    <w:rsid w:val="00EF5086"/>
    <w:rsid w:val="00EF50A6"/>
    <w:rsid w:val="00EF5129"/>
    <w:rsid w:val="00EF51A7"/>
    <w:rsid w:val="00EF5230"/>
    <w:rsid w:val="00EF52C1"/>
    <w:rsid w:val="00EF5334"/>
    <w:rsid w:val="00EF537D"/>
    <w:rsid w:val="00EF53A4"/>
    <w:rsid w:val="00EF5422"/>
    <w:rsid w:val="00EF545A"/>
    <w:rsid w:val="00EF54AB"/>
    <w:rsid w:val="00EF5576"/>
    <w:rsid w:val="00EF55A6"/>
    <w:rsid w:val="00EF55E8"/>
    <w:rsid w:val="00EF55FE"/>
    <w:rsid w:val="00EF56B7"/>
    <w:rsid w:val="00EF56F8"/>
    <w:rsid w:val="00EF592C"/>
    <w:rsid w:val="00EF59BB"/>
    <w:rsid w:val="00EF59C0"/>
    <w:rsid w:val="00EF5AA9"/>
    <w:rsid w:val="00EF5B3B"/>
    <w:rsid w:val="00EF5B5A"/>
    <w:rsid w:val="00EF5BD3"/>
    <w:rsid w:val="00EF5C03"/>
    <w:rsid w:val="00EF5C9F"/>
    <w:rsid w:val="00EF5DA3"/>
    <w:rsid w:val="00EF5E0B"/>
    <w:rsid w:val="00EF5E91"/>
    <w:rsid w:val="00EF5F98"/>
    <w:rsid w:val="00EF616F"/>
    <w:rsid w:val="00EF6237"/>
    <w:rsid w:val="00EF6250"/>
    <w:rsid w:val="00EF62F9"/>
    <w:rsid w:val="00EF653F"/>
    <w:rsid w:val="00EF6705"/>
    <w:rsid w:val="00EF6746"/>
    <w:rsid w:val="00EF68F1"/>
    <w:rsid w:val="00EF6952"/>
    <w:rsid w:val="00EF6AD1"/>
    <w:rsid w:val="00EF6B1B"/>
    <w:rsid w:val="00EF6C7C"/>
    <w:rsid w:val="00EF6C85"/>
    <w:rsid w:val="00EF6E64"/>
    <w:rsid w:val="00EF6F62"/>
    <w:rsid w:val="00EF6FD7"/>
    <w:rsid w:val="00EF7008"/>
    <w:rsid w:val="00EF7050"/>
    <w:rsid w:val="00EF707A"/>
    <w:rsid w:val="00EF70A5"/>
    <w:rsid w:val="00EF70C1"/>
    <w:rsid w:val="00EF70C4"/>
    <w:rsid w:val="00EF7158"/>
    <w:rsid w:val="00EF715C"/>
    <w:rsid w:val="00EF7212"/>
    <w:rsid w:val="00EF728B"/>
    <w:rsid w:val="00EF72AD"/>
    <w:rsid w:val="00EF72D2"/>
    <w:rsid w:val="00EF739E"/>
    <w:rsid w:val="00EF73DA"/>
    <w:rsid w:val="00EF7415"/>
    <w:rsid w:val="00EF7542"/>
    <w:rsid w:val="00EF7573"/>
    <w:rsid w:val="00EF75D9"/>
    <w:rsid w:val="00EF7620"/>
    <w:rsid w:val="00EF76DC"/>
    <w:rsid w:val="00EF77F9"/>
    <w:rsid w:val="00EF7808"/>
    <w:rsid w:val="00EF7816"/>
    <w:rsid w:val="00EF78FE"/>
    <w:rsid w:val="00EF7953"/>
    <w:rsid w:val="00EF797D"/>
    <w:rsid w:val="00EF7A43"/>
    <w:rsid w:val="00EF7AC2"/>
    <w:rsid w:val="00EF7B55"/>
    <w:rsid w:val="00EF7B67"/>
    <w:rsid w:val="00EF7C77"/>
    <w:rsid w:val="00EF7DB1"/>
    <w:rsid w:val="00EF7DF3"/>
    <w:rsid w:val="00EF7E77"/>
    <w:rsid w:val="00F000DA"/>
    <w:rsid w:val="00F0013F"/>
    <w:rsid w:val="00F00177"/>
    <w:rsid w:val="00F002F7"/>
    <w:rsid w:val="00F0030B"/>
    <w:rsid w:val="00F005ED"/>
    <w:rsid w:val="00F006B7"/>
    <w:rsid w:val="00F006D5"/>
    <w:rsid w:val="00F008D8"/>
    <w:rsid w:val="00F00913"/>
    <w:rsid w:val="00F00989"/>
    <w:rsid w:val="00F009B8"/>
    <w:rsid w:val="00F009F6"/>
    <w:rsid w:val="00F00A48"/>
    <w:rsid w:val="00F00C54"/>
    <w:rsid w:val="00F00C9F"/>
    <w:rsid w:val="00F00CE3"/>
    <w:rsid w:val="00F00D85"/>
    <w:rsid w:val="00F00EED"/>
    <w:rsid w:val="00F00EF7"/>
    <w:rsid w:val="00F00F6C"/>
    <w:rsid w:val="00F00FA0"/>
    <w:rsid w:val="00F0102B"/>
    <w:rsid w:val="00F010FE"/>
    <w:rsid w:val="00F0112F"/>
    <w:rsid w:val="00F0113F"/>
    <w:rsid w:val="00F0119A"/>
    <w:rsid w:val="00F01428"/>
    <w:rsid w:val="00F01471"/>
    <w:rsid w:val="00F01489"/>
    <w:rsid w:val="00F014BC"/>
    <w:rsid w:val="00F01940"/>
    <w:rsid w:val="00F019CD"/>
    <w:rsid w:val="00F01A19"/>
    <w:rsid w:val="00F01CC0"/>
    <w:rsid w:val="00F01D09"/>
    <w:rsid w:val="00F01DA5"/>
    <w:rsid w:val="00F02055"/>
    <w:rsid w:val="00F020A5"/>
    <w:rsid w:val="00F020F7"/>
    <w:rsid w:val="00F0214C"/>
    <w:rsid w:val="00F02191"/>
    <w:rsid w:val="00F021A7"/>
    <w:rsid w:val="00F02264"/>
    <w:rsid w:val="00F0232E"/>
    <w:rsid w:val="00F0248D"/>
    <w:rsid w:val="00F02511"/>
    <w:rsid w:val="00F0251A"/>
    <w:rsid w:val="00F025A7"/>
    <w:rsid w:val="00F02620"/>
    <w:rsid w:val="00F0265D"/>
    <w:rsid w:val="00F0280B"/>
    <w:rsid w:val="00F0289F"/>
    <w:rsid w:val="00F02929"/>
    <w:rsid w:val="00F02999"/>
    <w:rsid w:val="00F02A7E"/>
    <w:rsid w:val="00F02AA1"/>
    <w:rsid w:val="00F02AB8"/>
    <w:rsid w:val="00F02BAF"/>
    <w:rsid w:val="00F02BDF"/>
    <w:rsid w:val="00F02CA8"/>
    <w:rsid w:val="00F02CCF"/>
    <w:rsid w:val="00F02D06"/>
    <w:rsid w:val="00F02D34"/>
    <w:rsid w:val="00F02D7D"/>
    <w:rsid w:val="00F02EF9"/>
    <w:rsid w:val="00F02FFD"/>
    <w:rsid w:val="00F03115"/>
    <w:rsid w:val="00F03373"/>
    <w:rsid w:val="00F033A7"/>
    <w:rsid w:val="00F033AA"/>
    <w:rsid w:val="00F0345D"/>
    <w:rsid w:val="00F034E6"/>
    <w:rsid w:val="00F03609"/>
    <w:rsid w:val="00F03642"/>
    <w:rsid w:val="00F0371A"/>
    <w:rsid w:val="00F038B9"/>
    <w:rsid w:val="00F038F2"/>
    <w:rsid w:val="00F03944"/>
    <w:rsid w:val="00F03962"/>
    <w:rsid w:val="00F03969"/>
    <w:rsid w:val="00F03A7C"/>
    <w:rsid w:val="00F03BBE"/>
    <w:rsid w:val="00F03BE0"/>
    <w:rsid w:val="00F03C15"/>
    <w:rsid w:val="00F03CBE"/>
    <w:rsid w:val="00F03D19"/>
    <w:rsid w:val="00F03D73"/>
    <w:rsid w:val="00F03DF1"/>
    <w:rsid w:val="00F03E43"/>
    <w:rsid w:val="00F03E67"/>
    <w:rsid w:val="00F03FCA"/>
    <w:rsid w:val="00F04221"/>
    <w:rsid w:val="00F04276"/>
    <w:rsid w:val="00F043D0"/>
    <w:rsid w:val="00F044FC"/>
    <w:rsid w:val="00F04666"/>
    <w:rsid w:val="00F046F6"/>
    <w:rsid w:val="00F04725"/>
    <w:rsid w:val="00F048D8"/>
    <w:rsid w:val="00F04949"/>
    <w:rsid w:val="00F049CD"/>
    <w:rsid w:val="00F049FD"/>
    <w:rsid w:val="00F04A40"/>
    <w:rsid w:val="00F04B3C"/>
    <w:rsid w:val="00F04CCA"/>
    <w:rsid w:val="00F04D41"/>
    <w:rsid w:val="00F04DE8"/>
    <w:rsid w:val="00F04DFD"/>
    <w:rsid w:val="00F04F71"/>
    <w:rsid w:val="00F04FE3"/>
    <w:rsid w:val="00F04FE9"/>
    <w:rsid w:val="00F0502B"/>
    <w:rsid w:val="00F0514E"/>
    <w:rsid w:val="00F051C4"/>
    <w:rsid w:val="00F05253"/>
    <w:rsid w:val="00F05313"/>
    <w:rsid w:val="00F0548E"/>
    <w:rsid w:val="00F05590"/>
    <w:rsid w:val="00F055CC"/>
    <w:rsid w:val="00F055FC"/>
    <w:rsid w:val="00F057BA"/>
    <w:rsid w:val="00F05845"/>
    <w:rsid w:val="00F058B8"/>
    <w:rsid w:val="00F058C5"/>
    <w:rsid w:val="00F058F7"/>
    <w:rsid w:val="00F05907"/>
    <w:rsid w:val="00F05A04"/>
    <w:rsid w:val="00F05A71"/>
    <w:rsid w:val="00F05B1B"/>
    <w:rsid w:val="00F05C8D"/>
    <w:rsid w:val="00F05CD6"/>
    <w:rsid w:val="00F05D09"/>
    <w:rsid w:val="00F05D0F"/>
    <w:rsid w:val="00F05D82"/>
    <w:rsid w:val="00F05DA9"/>
    <w:rsid w:val="00F05DCF"/>
    <w:rsid w:val="00F05E8D"/>
    <w:rsid w:val="00F05F2D"/>
    <w:rsid w:val="00F05F38"/>
    <w:rsid w:val="00F05FDE"/>
    <w:rsid w:val="00F060FF"/>
    <w:rsid w:val="00F06103"/>
    <w:rsid w:val="00F06232"/>
    <w:rsid w:val="00F062C7"/>
    <w:rsid w:val="00F062DC"/>
    <w:rsid w:val="00F062EA"/>
    <w:rsid w:val="00F063F3"/>
    <w:rsid w:val="00F063F5"/>
    <w:rsid w:val="00F0655A"/>
    <w:rsid w:val="00F06571"/>
    <w:rsid w:val="00F066B6"/>
    <w:rsid w:val="00F06728"/>
    <w:rsid w:val="00F067D7"/>
    <w:rsid w:val="00F06834"/>
    <w:rsid w:val="00F068CE"/>
    <w:rsid w:val="00F0699B"/>
    <w:rsid w:val="00F06A2B"/>
    <w:rsid w:val="00F06BFB"/>
    <w:rsid w:val="00F06D5C"/>
    <w:rsid w:val="00F06E70"/>
    <w:rsid w:val="00F06E73"/>
    <w:rsid w:val="00F06E9C"/>
    <w:rsid w:val="00F06F49"/>
    <w:rsid w:val="00F06FBF"/>
    <w:rsid w:val="00F07043"/>
    <w:rsid w:val="00F07168"/>
    <w:rsid w:val="00F071A6"/>
    <w:rsid w:val="00F0745C"/>
    <w:rsid w:val="00F07462"/>
    <w:rsid w:val="00F07540"/>
    <w:rsid w:val="00F07565"/>
    <w:rsid w:val="00F075D9"/>
    <w:rsid w:val="00F07601"/>
    <w:rsid w:val="00F078AE"/>
    <w:rsid w:val="00F0796B"/>
    <w:rsid w:val="00F079B6"/>
    <w:rsid w:val="00F079C8"/>
    <w:rsid w:val="00F079C9"/>
    <w:rsid w:val="00F079CC"/>
    <w:rsid w:val="00F07C88"/>
    <w:rsid w:val="00F07CFF"/>
    <w:rsid w:val="00F07E0B"/>
    <w:rsid w:val="00F07E2F"/>
    <w:rsid w:val="00F07E93"/>
    <w:rsid w:val="00F10054"/>
    <w:rsid w:val="00F1009D"/>
    <w:rsid w:val="00F10201"/>
    <w:rsid w:val="00F1044C"/>
    <w:rsid w:val="00F105B5"/>
    <w:rsid w:val="00F105D2"/>
    <w:rsid w:val="00F106ED"/>
    <w:rsid w:val="00F10742"/>
    <w:rsid w:val="00F10783"/>
    <w:rsid w:val="00F108F2"/>
    <w:rsid w:val="00F1097F"/>
    <w:rsid w:val="00F1099A"/>
    <w:rsid w:val="00F10A0A"/>
    <w:rsid w:val="00F10AB2"/>
    <w:rsid w:val="00F10AC3"/>
    <w:rsid w:val="00F10B55"/>
    <w:rsid w:val="00F10CE9"/>
    <w:rsid w:val="00F10D00"/>
    <w:rsid w:val="00F10E2A"/>
    <w:rsid w:val="00F10E73"/>
    <w:rsid w:val="00F10FBF"/>
    <w:rsid w:val="00F11144"/>
    <w:rsid w:val="00F112C3"/>
    <w:rsid w:val="00F11346"/>
    <w:rsid w:val="00F113AA"/>
    <w:rsid w:val="00F1145C"/>
    <w:rsid w:val="00F115B4"/>
    <w:rsid w:val="00F115DA"/>
    <w:rsid w:val="00F11645"/>
    <w:rsid w:val="00F116DA"/>
    <w:rsid w:val="00F1170D"/>
    <w:rsid w:val="00F11798"/>
    <w:rsid w:val="00F118B0"/>
    <w:rsid w:val="00F11B49"/>
    <w:rsid w:val="00F11CA3"/>
    <w:rsid w:val="00F11CF3"/>
    <w:rsid w:val="00F1202F"/>
    <w:rsid w:val="00F120B6"/>
    <w:rsid w:val="00F1215B"/>
    <w:rsid w:val="00F121A5"/>
    <w:rsid w:val="00F12261"/>
    <w:rsid w:val="00F122AE"/>
    <w:rsid w:val="00F122B4"/>
    <w:rsid w:val="00F122BD"/>
    <w:rsid w:val="00F12379"/>
    <w:rsid w:val="00F123E5"/>
    <w:rsid w:val="00F124A5"/>
    <w:rsid w:val="00F125A3"/>
    <w:rsid w:val="00F12686"/>
    <w:rsid w:val="00F12698"/>
    <w:rsid w:val="00F126FF"/>
    <w:rsid w:val="00F127DE"/>
    <w:rsid w:val="00F12804"/>
    <w:rsid w:val="00F12858"/>
    <w:rsid w:val="00F1288D"/>
    <w:rsid w:val="00F128CB"/>
    <w:rsid w:val="00F129C2"/>
    <w:rsid w:val="00F129CF"/>
    <w:rsid w:val="00F129ED"/>
    <w:rsid w:val="00F12B79"/>
    <w:rsid w:val="00F12BB5"/>
    <w:rsid w:val="00F12BD0"/>
    <w:rsid w:val="00F12BDC"/>
    <w:rsid w:val="00F12CA1"/>
    <w:rsid w:val="00F12DC3"/>
    <w:rsid w:val="00F12E02"/>
    <w:rsid w:val="00F12E7A"/>
    <w:rsid w:val="00F12FBA"/>
    <w:rsid w:val="00F12FDC"/>
    <w:rsid w:val="00F13025"/>
    <w:rsid w:val="00F130FA"/>
    <w:rsid w:val="00F13206"/>
    <w:rsid w:val="00F134D6"/>
    <w:rsid w:val="00F1354A"/>
    <w:rsid w:val="00F1356F"/>
    <w:rsid w:val="00F1372C"/>
    <w:rsid w:val="00F13796"/>
    <w:rsid w:val="00F13882"/>
    <w:rsid w:val="00F13898"/>
    <w:rsid w:val="00F138E6"/>
    <w:rsid w:val="00F1398D"/>
    <w:rsid w:val="00F13A02"/>
    <w:rsid w:val="00F13A20"/>
    <w:rsid w:val="00F13B3A"/>
    <w:rsid w:val="00F13BB3"/>
    <w:rsid w:val="00F13CBC"/>
    <w:rsid w:val="00F13DAF"/>
    <w:rsid w:val="00F13E66"/>
    <w:rsid w:val="00F13F30"/>
    <w:rsid w:val="00F13FCF"/>
    <w:rsid w:val="00F1408E"/>
    <w:rsid w:val="00F1430B"/>
    <w:rsid w:val="00F143EF"/>
    <w:rsid w:val="00F14509"/>
    <w:rsid w:val="00F145A7"/>
    <w:rsid w:val="00F145E2"/>
    <w:rsid w:val="00F145EF"/>
    <w:rsid w:val="00F148B4"/>
    <w:rsid w:val="00F148B7"/>
    <w:rsid w:val="00F14B32"/>
    <w:rsid w:val="00F14C20"/>
    <w:rsid w:val="00F14C86"/>
    <w:rsid w:val="00F14D0E"/>
    <w:rsid w:val="00F14D87"/>
    <w:rsid w:val="00F14D92"/>
    <w:rsid w:val="00F14DA1"/>
    <w:rsid w:val="00F14DCA"/>
    <w:rsid w:val="00F14ED3"/>
    <w:rsid w:val="00F14FBB"/>
    <w:rsid w:val="00F15005"/>
    <w:rsid w:val="00F15025"/>
    <w:rsid w:val="00F15185"/>
    <w:rsid w:val="00F152A3"/>
    <w:rsid w:val="00F153D3"/>
    <w:rsid w:val="00F153E8"/>
    <w:rsid w:val="00F15424"/>
    <w:rsid w:val="00F1546D"/>
    <w:rsid w:val="00F154FE"/>
    <w:rsid w:val="00F15690"/>
    <w:rsid w:val="00F157FC"/>
    <w:rsid w:val="00F158C9"/>
    <w:rsid w:val="00F15964"/>
    <w:rsid w:val="00F159AB"/>
    <w:rsid w:val="00F15A19"/>
    <w:rsid w:val="00F15A71"/>
    <w:rsid w:val="00F15AAA"/>
    <w:rsid w:val="00F15C10"/>
    <w:rsid w:val="00F15CA9"/>
    <w:rsid w:val="00F15DA3"/>
    <w:rsid w:val="00F15EF0"/>
    <w:rsid w:val="00F15F42"/>
    <w:rsid w:val="00F15FA1"/>
    <w:rsid w:val="00F1610F"/>
    <w:rsid w:val="00F16219"/>
    <w:rsid w:val="00F1625F"/>
    <w:rsid w:val="00F16334"/>
    <w:rsid w:val="00F1646B"/>
    <w:rsid w:val="00F1650C"/>
    <w:rsid w:val="00F165CE"/>
    <w:rsid w:val="00F16626"/>
    <w:rsid w:val="00F16754"/>
    <w:rsid w:val="00F167CA"/>
    <w:rsid w:val="00F16854"/>
    <w:rsid w:val="00F16A1C"/>
    <w:rsid w:val="00F16AEE"/>
    <w:rsid w:val="00F16B7F"/>
    <w:rsid w:val="00F16B98"/>
    <w:rsid w:val="00F16DB5"/>
    <w:rsid w:val="00F16DE4"/>
    <w:rsid w:val="00F16E87"/>
    <w:rsid w:val="00F16EB0"/>
    <w:rsid w:val="00F16F31"/>
    <w:rsid w:val="00F17070"/>
    <w:rsid w:val="00F17073"/>
    <w:rsid w:val="00F170C2"/>
    <w:rsid w:val="00F17114"/>
    <w:rsid w:val="00F17135"/>
    <w:rsid w:val="00F17236"/>
    <w:rsid w:val="00F1724C"/>
    <w:rsid w:val="00F1727B"/>
    <w:rsid w:val="00F172B5"/>
    <w:rsid w:val="00F1735C"/>
    <w:rsid w:val="00F17374"/>
    <w:rsid w:val="00F173C9"/>
    <w:rsid w:val="00F17561"/>
    <w:rsid w:val="00F17698"/>
    <w:rsid w:val="00F177B3"/>
    <w:rsid w:val="00F1786E"/>
    <w:rsid w:val="00F17967"/>
    <w:rsid w:val="00F17992"/>
    <w:rsid w:val="00F17B0C"/>
    <w:rsid w:val="00F17B5C"/>
    <w:rsid w:val="00F17C26"/>
    <w:rsid w:val="00F17CC7"/>
    <w:rsid w:val="00F17DA0"/>
    <w:rsid w:val="00F17DBE"/>
    <w:rsid w:val="00F17E45"/>
    <w:rsid w:val="00F17EA7"/>
    <w:rsid w:val="00F17ED7"/>
    <w:rsid w:val="00F17F63"/>
    <w:rsid w:val="00F17FC6"/>
    <w:rsid w:val="00F20049"/>
    <w:rsid w:val="00F2005F"/>
    <w:rsid w:val="00F20358"/>
    <w:rsid w:val="00F20385"/>
    <w:rsid w:val="00F204E8"/>
    <w:rsid w:val="00F205EE"/>
    <w:rsid w:val="00F20691"/>
    <w:rsid w:val="00F206D8"/>
    <w:rsid w:val="00F20868"/>
    <w:rsid w:val="00F209F3"/>
    <w:rsid w:val="00F20A10"/>
    <w:rsid w:val="00F20C43"/>
    <w:rsid w:val="00F20C7B"/>
    <w:rsid w:val="00F20D7D"/>
    <w:rsid w:val="00F20DF6"/>
    <w:rsid w:val="00F20F23"/>
    <w:rsid w:val="00F20FE7"/>
    <w:rsid w:val="00F21021"/>
    <w:rsid w:val="00F21043"/>
    <w:rsid w:val="00F212AD"/>
    <w:rsid w:val="00F213A1"/>
    <w:rsid w:val="00F21481"/>
    <w:rsid w:val="00F2184F"/>
    <w:rsid w:val="00F2187D"/>
    <w:rsid w:val="00F21A87"/>
    <w:rsid w:val="00F21AC7"/>
    <w:rsid w:val="00F21B75"/>
    <w:rsid w:val="00F21B82"/>
    <w:rsid w:val="00F21CC4"/>
    <w:rsid w:val="00F21D68"/>
    <w:rsid w:val="00F21D73"/>
    <w:rsid w:val="00F21DC4"/>
    <w:rsid w:val="00F21E17"/>
    <w:rsid w:val="00F21F0C"/>
    <w:rsid w:val="00F21F29"/>
    <w:rsid w:val="00F21F4C"/>
    <w:rsid w:val="00F21F81"/>
    <w:rsid w:val="00F22036"/>
    <w:rsid w:val="00F22106"/>
    <w:rsid w:val="00F221A3"/>
    <w:rsid w:val="00F221D2"/>
    <w:rsid w:val="00F221DF"/>
    <w:rsid w:val="00F222E8"/>
    <w:rsid w:val="00F22343"/>
    <w:rsid w:val="00F22422"/>
    <w:rsid w:val="00F2244B"/>
    <w:rsid w:val="00F22454"/>
    <w:rsid w:val="00F224C4"/>
    <w:rsid w:val="00F22551"/>
    <w:rsid w:val="00F2257A"/>
    <w:rsid w:val="00F22673"/>
    <w:rsid w:val="00F22795"/>
    <w:rsid w:val="00F2279C"/>
    <w:rsid w:val="00F227DF"/>
    <w:rsid w:val="00F22819"/>
    <w:rsid w:val="00F22A50"/>
    <w:rsid w:val="00F22AA5"/>
    <w:rsid w:val="00F22ADA"/>
    <w:rsid w:val="00F22AF7"/>
    <w:rsid w:val="00F22B3A"/>
    <w:rsid w:val="00F22B9B"/>
    <w:rsid w:val="00F22BF3"/>
    <w:rsid w:val="00F22C00"/>
    <w:rsid w:val="00F22C1C"/>
    <w:rsid w:val="00F22CAE"/>
    <w:rsid w:val="00F22D80"/>
    <w:rsid w:val="00F22DE3"/>
    <w:rsid w:val="00F22F09"/>
    <w:rsid w:val="00F22F77"/>
    <w:rsid w:val="00F23001"/>
    <w:rsid w:val="00F2324F"/>
    <w:rsid w:val="00F23269"/>
    <w:rsid w:val="00F23299"/>
    <w:rsid w:val="00F235FD"/>
    <w:rsid w:val="00F236A4"/>
    <w:rsid w:val="00F236BB"/>
    <w:rsid w:val="00F236C6"/>
    <w:rsid w:val="00F236F0"/>
    <w:rsid w:val="00F23758"/>
    <w:rsid w:val="00F238F0"/>
    <w:rsid w:val="00F2391B"/>
    <w:rsid w:val="00F239C2"/>
    <w:rsid w:val="00F23D3D"/>
    <w:rsid w:val="00F23F91"/>
    <w:rsid w:val="00F24073"/>
    <w:rsid w:val="00F240ED"/>
    <w:rsid w:val="00F24285"/>
    <w:rsid w:val="00F24299"/>
    <w:rsid w:val="00F24338"/>
    <w:rsid w:val="00F243DD"/>
    <w:rsid w:val="00F2455D"/>
    <w:rsid w:val="00F24611"/>
    <w:rsid w:val="00F246A3"/>
    <w:rsid w:val="00F2478B"/>
    <w:rsid w:val="00F24793"/>
    <w:rsid w:val="00F248E2"/>
    <w:rsid w:val="00F24AE7"/>
    <w:rsid w:val="00F24AFB"/>
    <w:rsid w:val="00F24B56"/>
    <w:rsid w:val="00F24BB5"/>
    <w:rsid w:val="00F24BCC"/>
    <w:rsid w:val="00F24CBF"/>
    <w:rsid w:val="00F24DA0"/>
    <w:rsid w:val="00F24DE4"/>
    <w:rsid w:val="00F24FC0"/>
    <w:rsid w:val="00F25183"/>
    <w:rsid w:val="00F25243"/>
    <w:rsid w:val="00F25383"/>
    <w:rsid w:val="00F253B9"/>
    <w:rsid w:val="00F2552B"/>
    <w:rsid w:val="00F2556B"/>
    <w:rsid w:val="00F25571"/>
    <w:rsid w:val="00F2565D"/>
    <w:rsid w:val="00F2576C"/>
    <w:rsid w:val="00F25787"/>
    <w:rsid w:val="00F2598E"/>
    <w:rsid w:val="00F25B56"/>
    <w:rsid w:val="00F25C5B"/>
    <w:rsid w:val="00F25CAE"/>
    <w:rsid w:val="00F25D9A"/>
    <w:rsid w:val="00F25DC7"/>
    <w:rsid w:val="00F25EA9"/>
    <w:rsid w:val="00F25EEC"/>
    <w:rsid w:val="00F25FA9"/>
    <w:rsid w:val="00F25FBE"/>
    <w:rsid w:val="00F26072"/>
    <w:rsid w:val="00F26191"/>
    <w:rsid w:val="00F26237"/>
    <w:rsid w:val="00F2638E"/>
    <w:rsid w:val="00F264FE"/>
    <w:rsid w:val="00F26524"/>
    <w:rsid w:val="00F2652D"/>
    <w:rsid w:val="00F265B8"/>
    <w:rsid w:val="00F266EE"/>
    <w:rsid w:val="00F267C1"/>
    <w:rsid w:val="00F268EB"/>
    <w:rsid w:val="00F269ED"/>
    <w:rsid w:val="00F26B0B"/>
    <w:rsid w:val="00F26B8B"/>
    <w:rsid w:val="00F26CBE"/>
    <w:rsid w:val="00F26CF1"/>
    <w:rsid w:val="00F26D09"/>
    <w:rsid w:val="00F26D8C"/>
    <w:rsid w:val="00F26DB9"/>
    <w:rsid w:val="00F26E29"/>
    <w:rsid w:val="00F26E36"/>
    <w:rsid w:val="00F26E45"/>
    <w:rsid w:val="00F26E8D"/>
    <w:rsid w:val="00F26EEA"/>
    <w:rsid w:val="00F27068"/>
    <w:rsid w:val="00F27184"/>
    <w:rsid w:val="00F272AF"/>
    <w:rsid w:val="00F27305"/>
    <w:rsid w:val="00F2732A"/>
    <w:rsid w:val="00F273A4"/>
    <w:rsid w:val="00F2740F"/>
    <w:rsid w:val="00F27512"/>
    <w:rsid w:val="00F27777"/>
    <w:rsid w:val="00F27800"/>
    <w:rsid w:val="00F27A6B"/>
    <w:rsid w:val="00F27AD2"/>
    <w:rsid w:val="00F27AD3"/>
    <w:rsid w:val="00F27B85"/>
    <w:rsid w:val="00F27BAA"/>
    <w:rsid w:val="00F27CFB"/>
    <w:rsid w:val="00F27D25"/>
    <w:rsid w:val="00F27D64"/>
    <w:rsid w:val="00F27DAB"/>
    <w:rsid w:val="00F27E1C"/>
    <w:rsid w:val="00F27E5B"/>
    <w:rsid w:val="00F27E71"/>
    <w:rsid w:val="00F27E9D"/>
    <w:rsid w:val="00F27EC1"/>
    <w:rsid w:val="00F27EFB"/>
    <w:rsid w:val="00F27F3B"/>
    <w:rsid w:val="00F30037"/>
    <w:rsid w:val="00F30106"/>
    <w:rsid w:val="00F3011B"/>
    <w:rsid w:val="00F30336"/>
    <w:rsid w:val="00F3043D"/>
    <w:rsid w:val="00F304C1"/>
    <w:rsid w:val="00F305A2"/>
    <w:rsid w:val="00F3067A"/>
    <w:rsid w:val="00F306F1"/>
    <w:rsid w:val="00F30792"/>
    <w:rsid w:val="00F3081D"/>
    <w:rsid w:val="00F30836"/>
    <w:rsid w:val="00F3087B"/>
    <w:rsid w:val="00F3088B"/>
    <w:rsid w:val="00F308DE"/>
    <w:rsid w:val="00F30926"/>
    <w:rsid w:val="00F309D5"/>
    <w:rsid w:val="00F30A0C"/>
    <w:rsid w:val="00F30A1C"/>
    <w:rsid w:val="00F30A24"/>
    <w:rsid w:val="00F30A73"/>
    <w:rsid w:val="00F30AA6"/>
    <w:rsid w:val="00F30AAB"/>
    <w:rsid w:val="00F30B89"/>
    <w:rsid w:val="00F30BAD"/>
    <w:rsid w:val="00F30C4A"/>
    <w:rsid w:val="00F30C95"/>
    <w:rsid w:val="00F30D67"/>
    <w:rsid w:val="00F30EB9"/>
    <w:rsid w:val="00F30EDF"/>
    <w:rsid w:val="00F3108D"/>
    <w:rsid w:val="00F310FF"/>
    <w:rsid w:val="00F311EE"/>
    <w:rsid w:val="00F311FD"/>
    <w:rsid w:val="00F31202"/>
    <w:rsid w:val="00F312FB"/>
    <w:rsid w:val="00F31345"/>
    <w:rsid w:val="00F31382"/>
    <w:rsid w:val="00F31416"/>
    <w:rsid w:val="00F3158E"/>
    <w:rsid w:val="00F315C4"/>
    <w:rsid w:val="00F3176A"/>
    <w:rsid w:val="00F31A00"/>
    <w:rsid w:val="00F31A4D"/>
    <w:rsid w:val="00F31ACF"/>
    <w:rsid w:val="00F31B27"/>
    <w:rsid w:val="00F31B3C"/>
    <w:rsid w:val="00F31BBB"/>
    <w:rsid w:val="00F31BD3"/>
    <w:rsid w:val="00F31D5C"/>
    <w:rsid w:val="00F31E7D"/>
    <w:rsid w:val="00F31FD6"/>
    <w:rsid w:val="00F32003"/>
    <w:rsid w:val="00F32058"/>
    <w:rsid w:val="00F320FF"/>
    <w:rsid w:val="00F3215B"/>
    <w:rsid w:val="00F32170"/>
    <w:rsid w:val="00F32206"/>
    <w:rsid w:val="00F32245"/>
    <w:rsid w:val="00F322CA"/>
    <w:rsid w:val="00F32307"/>
    <w:rsid w:val="00F3236D"/>
    <w:rsid w:val="00F32405"/>
    <w:rsid w:val="00F3247A"/>
    <w:rsid w:val="00F32483"/>
    <w:rsid w:val="00F3249D"/>
    <w:rsid w:val="00F324C0"/>
    <w:rsid w:val="00F32572"/>
    <w:rsid w:val="00F325B0"/>
    <w:rsid w:val="00F325B6"/>
    <w:rsid w:val="00F325D3"/>
    <w:rsid w:val="00F32635"/>
    <w:rsid w:val="00F32715"/>
    <w:rsid w:val="00F32744"/>
    <w:rsid w:val="00F32814"/>
    <w:rsid w:val="00F3296C"/>
    <w:rsid w:val="00F329AA"/>
    <w:rsid w:val="00F329C1"/>
    <w:rsid w:val="00F32A4E"/>
    <w:rsid w:val="00F32C5C"/>
    <w:rsid w:val="00F32C6C"/>
    <w:rsid w:val="00F32CF2"/>
    <w:rsid w:val="00F32D6E"/>
    <w:rsid w:val="00F32DAF"/>
    <w:rsid w:val="00F32F8F"/>
    <w:rsid w:val="00F32FD4"/>
    <w:rsid w:val="00F33083"/>
    <w:rsid w:val="00F33117"/>
    <w:rsid w:val="00F3316A"/>
    <w:rsid w:val="00F331C4"/>
    <w:rsid w:val="00F331F5"/>
    <w:rsid w:val="00F33239"/>
    <w:rsid w:val="00F3327A"/>
    <w:rsid w:val="00F3334F"/>
    <w:rsid w:val="00F33419"/>
    <w:rsid w:val="00F33431"/>
    <w:rsid w:val="00F33621"/>
    <w:rsid w:val="00F3366B"/>
    <w:rsid w:val="00F336D6"/>
    <w:rsid w:val="00F336FD"/>
    <w:rsid w:val="00F3374E"/>
    <w:rsid w:val="00F33922"/>
    <w:rsid w:val="00F3395C"/>
    <w:rsid w:val="00F33A61"/>
    <w:rsid w:val="00F33AA0"/>
    <w:rsid w:val="00F33E83"/>
    <w:rsid w:val="00F33E9F"/>
    <w:rsid w:val="00F33EF0"/>
    <w:rsid w:val="00F34044"/>
    <w:rsid w:val="00F34065"/>
    <w:rsid w:val="00F340D8"/>
    <w:rsid w:val="00F34302"/>
    <w:rsid w:val="00F34365"/>
    <w:rsid w:val="00F34391"/>
    <w:rsid w:val="00F3443E"/>
    <w:rsid w:val="00F3448F"/>
    <w:rsid w:val="00F344A0"/>
    <w:rsid w:val="00F34523"/>
    <w:rsid w:val="00F34590"/>
    <w:rsid w:val="00F345C8"/>
    <w:rsid w:val="00F346AE"/>
    <w:rsid w:val="00F3475E"/>
    <w:rsid w:val="00F34763"/>
    <w:rsid w:val="00F347C0"/>
    <w:rsid w:val="00F34848"/>
    <w:rsid w:val="00F349E8"/>
    <w:rsid w:val="00F34A0E"/>
    <w:rsid w:val="00F34A1C"/>
    <w:rsid w:val="00F34AEC"/>
    <w:rsid w:val="00F34B94"/>
    <w:rsid w:val="00F34C32"/>
    <w:rsid w:val="00F34DDD"/>
    <w:rsid w:val="00F34E79"/>
    <w:rsid w:val="00F34EAA"/>
    <w:rsid w:val="00F34FB8"/>
    <w:rsid w:val="00F350D0"/>
    <w:rsid w:val="00F35280"/>
    <w:rsid w:val="00F352EF"/>
    <w:rsid w:val="00F3530B"/>
    <w:rsid w:val="00F3530C"/>
    <w:rsid w:val="00F35374"/>
    <w:rsid w:val="00F35694"/>
    <w:rsid w:val="00F35738"/>
    <w:rsid w:val="00F35772"/>
    <w:rsid w:val="00F35873"/>
    <w:rsid w:val="00F358A2"/>
    <w:rsid w:val="00F358C7"/>
    <w:rsid w:val="00F35945"/>
    <w:rsid w:val="00F359F9"/>
    <w:rsid w:val="00F35A4E"/>
    <w:rsid w:val="00F35AB2"/>
    <w:rsid w:val="00F35AE2"/>
    <w:rsid w:val="00F35B3B"/>
    <w:rsid w:val="00F35BB4"/>
    <w:rsid w:val="00F35CCF"/>
    <w:rsid w:val="00F35E50"/>
    <w:rsid w:val="00F35EA6"/>
    <w:rsid w:val="00F35F56"/>
    <w:rsid w:val="00F35F8C"/>
    <w:rsid w:val="00F3601C"/>
    <w:rsid w:val="00F363F8"/>
    <w:rsid w:val="00F36405"/>
    <w:rsid w:val="00F36439"/>
    <w:rsid w:val="00F364B6"/>
    <w:rsid w:val="00F365DE"/>
    <w:rsid w:val="00F3666C"/>
    <w:rsid w:val="00F3683F"/>
    <w:rsid w:val="00F36874"/>
    <w:rsid w:val="00F36908"/>
    <w:rsid w:val="00F369CE"/>
    <w:rsid w:val="00F369D7"/>
    <w:rsid w:val="00F369EE"/>
    <w:rsid w:val="00F36A6A"/>
    <w:rsid w:val="00F36A79"/>
    <w:rsid w:val="00F36AFC"/>
    <w:rsid w:val="00F36B94"/>
    <w:rsid w:val="00F36C65"/>
    <w:rsid w:val="00F36CB3"/>
    <w:rsid w:val="00F36CFD"/>
    <w:rsid w:val="00F36D30"/>
    <w:rsid w:val="00F36D70"/>
    <w:rsid w:val="00F37006"/>
    <w:rsid w:val="00F3700F"/>
    <w:rsid w:val="00F370E5"/>
    <w:rsid w:val="00F370F4"/>
    <w:rsid w:val="00F3734E"/>
    <w:rsid w:val="00F373BE"/>
    <w:rsid w:val="00F373E2"/>
    <w:rsid w:val="00F37449"/>
    <w:rsid w:val="00F374DA"/>
    <w:rsid w:val="00F37656"/>
    <w:rsid w:val="00F3768D"/>
    <w:rsid w:val="00F376D5"/>
    <w:rsid w:val="00F37738"/>
    <w:rsid w:val="00F37884"/>
    <w:rsid w:val="00F378E5"/>
    <w:rsid w:val="00F37952"/>
    <w:rsid w:val="00F37A50"/>
    <w:rsid w:val="00F37AC3"/>
    <w:rsid w:val="00F37CEC"/>
    <w:rsid w:val="00F37E9A"/>
    <w:rsid w:val="00F37ECE"/>
    <w:rsid w:val="00F37EF0"/>
    <w:rsid w:val="00F37FBF"/>
    <w:rsid w:val="00F37FC5"/>
    <w:rsid w:val="00F4002A"/>
    <w:rsid w:val="00F400E6"/>
    <w:rsid w:val="00F400F4"/>
    <w:rsid w:val="00F400FE"/>
    <w:rsid w:val="00F401E8"/>
    <w:rsid w:val="00F4021B"/>
    <w:rsid w:val="00F403B3"/>
    <w:rsid w:val="00F403DD"/>
    <w:rsid w:val="00F4041B"/>
    <w:rsid w:val="00F40495"/>
    <w:rsid w:val="00F4050B"/>
    <w:rsid w:val="00F406D9"/>
    <w:rsid w:val="00F4078C"/>
    <w:rsid w:val="00F4086F"/>
    <w:rsid w:val="00F408E9"/>
    <w:rsid w:val="00F40A7A"/>
    <w:rsid w:val="00F40B20"/>
    <w:rsid w:val="00F40CD4"/>
    <w:rsid w:val="00F40E06"/>
    <w:rsid w:val="00F40E3A"/>
    <w:rsid w:val="00F40EAF"/>
    <w:rsid w:val="00F40F16"/>
    <w:rsid w:val="00F40F57"/>
    <w:rsid w:val="00F40FE5"/>
    <w:rsid w:val="00F4100C"/>
    <w:rsid w:val="00F41082"/>
    <w:rsid w:val="00F410E0"/>
    <w:rsid w:val="00F41200"/>
    <w:rsid w:val="00F41211"/>
    <w:rsid w:val="00F412BB"/>
    <w:rsid w:val="00F412BF"/>
    <w:rsid w:val="00F41348"/>
    <w:rsid w:val="00F413BD"/>
    <w:rsid w:val="00F413CC"/>
    <w:rsid w:val="00F413D9"/>
    <w:rsid w:val="00F4141B"/>
    <w:rsid w:val="00F414A9"/>
    <w:rsid w:val="00F415FC"/>
    <w:rsid w:val="00F4163C"/>
    <w:rsid w:val="00F41859"/>
    <w:rsid w:val="00F4186F"/>
    <w:rsid w:val="00F4188C"/>
    <w:rsid w:val="00F418B6"/>
    <w:rsid w:val="00F418E5"/>
    <w:rsid w:val="00F419DC"/>
    <w:rsid w:val="00F41A8B"/>
    <w:rsid w:val="00F41B34"/>
    <w:rsid w:val="00F41B52"/>
    <w:rsid w:val="00F41B66"/>
    <w:rsid w:val="00F41DED"/>
    <w:rsid w:val="00F41E24"/>
    <w:rsid w:val="00F4208F"/>
    <w:rsid w:val="00F420D3"/>
    <w:rsid w:val="00F42133"/>
    <w:rsid w:val="00F4226B"/>
    <w:rsid w:val="00F422F5"/>
    <w:rsid w:val="00F423BA"/>
    <w:rsid w:val="00F423CA"/>
    <w:rsid w:val="00F424ED"/>
    <w:rsid w:val="00F425B6"/>
    <w:rsid w:val="00F425C5"/>
    <w:rsid w:val="00F42669"/>
    <w:rsid w:val="00F428E2"/>
    <w:rsid w:val="00F4292D"/>
    <w:rsid w:val="00F42A07"/>
    <w:rsid w:val="00F42A44"/>
    <w:rsid w:val="00F42BD4"/>
    <w:rsid w:val="00F42C5D"/>
    <w:rsid w:val="00F42CFE"/>
    <w:rsid w:val="00F42D4D"/>
    <w:rsid w:val="00F42D65"/>
    <w:rsid w:val="00F42D86"/>
    <w:rsid w:val="00F42D95"/>
    <w:rsid w:val="00F42E15"/>
    <w:rsid w:val="00F42E4A"/>
    <w:rsid w:val="00F42E4C"/>
    <w:rsid w:val="00F42F6B"/>
    <w:rsid w:val="00F42FC9"/>
    <w:rsid w:val="00F42FF8"/>
    <w:rsid w:val="00F430A0"/>
    <w:rsid w:val="00F4313B"/>
    <w:rsid w:val="00F43153"/>
    <w:rsid w:val="00F431F3"/>
    <w:rsid w:val="00F43207"/>
    <w:rsid w:val="00F43328"/>
    <w:rsid w:val="00F433B0"/>
    <w:rsid w:val="00F4347E"/>
    <w:rsid w:val="00F43493"/>
    <w:rsid w:val="00F435FD"/>
    <w:rsid w:val="00F4363B"/>
    <w:rsid w:val="00F43718"/>
    <w:rsid w:val="00F43833"/>
    <w:rsid w:val="00F438EC"/>
    <w:rsid w:val="00F43987"/>
    <w:rsid w:val="00F439CC"/>
    <w:rsid w:val="00F439F6"/>
    <w:rsid w:val="00F43A51"/>
    <w:rsid w:val="00F43AAF"/>
    <w:rsid w:val="00F43BB5"/>
    <w:rsid w:val="00F43BDD"/>
    <w:rsid w:val="00F43C03"/>
    <w:rsid w:val="00F43C3D"/>
    <w:rsid w:val="00F43C5D"/>
    <w:rsid w:val="00F43CB1"/>
    <w:rsid w:val="00F43D29"/>
    <w:rsid w:val="00F43DF5"/>
    <w:rsid w:val="00F43E36"/>
    <w:rsid w:val="00F43EA3"/>
    <w:rsid w:val="00F43F93"/>
    <w:rsid w:val="00F43FE4"/>
    <w:rsid w:val="00F4408C"/>
    <w:rsid w:val="00F4416E"/>
    <w:rsid w:val="00F44290"/>
    <w:rsid w:val="00F44355"/>
    <w:rsid w:val="00F443D5"/>
    <w:rsid w:val="00F443EE"/>
    <w:rsid w:val="00F4441E"/>
    <w:rsid w:val="00F4457C"/>
    <w:rsid w:val="00F4461F"/>
    <w:rsid w:val="00F449D7"/>
    <w:rsid w:val="00F44A6D"/>
    <w:rsid w:val="00F44B7F"/>
    <w:rsid w:val="00F44BBD"/>
    <w:rsid w:val="00F44D74"/>
    <w:rsid w:val="00F44D7E"/>
    <w:rsid w:val="00F44EC8"/>
    <w:rsid w:val="00F44EF5"/>
    <w:rsid w:val="00F44FBA"/>
    <w:rsid w:val="00F44FDC"/>
    <w:rsid w:val="00F4503A"/>
    <w:rsid w:val="00F450A8"/>
    <w:rsid w:val="00F4515F"/>
    <w:rsid w:val="00F45215"/>
    <w:rsid w:val="00F452C0"/>
    <w:rsid w:val="00F4537A"/>
    <w:rsid w:val="00F453EB"/>
    <w:rsid w:val="00F456E9"/>
    <w:rsid w:val="00F4570F"/>
    <w:rsid w:val="00F458F6"/>
    <w:rsid w:val="00F45992"/>
    <w:rsid w:val="00F459C3"/>
    <w:rsid w:val="00F45CAA"/>
    <w:rsid w:val="00F45D36"/>
    <w:rsid w:val="00F45DD4"/>
    <w:rsid w:val="00F45EE6"/>
    <w:rsid w:val="00F45EF3"/>
    <w:rsid w:val="00F45F1C"/>
    <w:rsid w:val="00F45F83"/>
    <w:rsid w:val="00F45FAD"/>
    <w:rsid w:val="00F46046"/>
    <w:rsid w:val="00F4607F"/>
    <w:rsid w:val="00F46121"/>
    <w:rsid w:val="00F4616A"/>
    <w:rsid w:val="00F46238"/>
    <w:rsid w:val="00F462D9"/>
    <w:rsid w:val="00F462EF"/>
    <w:rsid w:val="00F46342"/>
    <w:rsid w:val="00F46348"/>
    <w:rsid w:val="00F463FD"/>
    <w:rsid w:val="00F46400"/>
    <w:rsid w:val="00F46506"/>
    <w:rsid w:val="00F46986"/>
    <w:rsid w:val="00F469D8"/>
    <w:rsid w:val="00F46BA2"/>
    <w:rsid w:val="00F46C05"/>
    <w:rsid w:val="00F46C1F"/>
    <w:rsid w:val="00F46D9A"/>
    <w:rsid w:val="00F46DCB"/>
    <w:rsid w:val="00F46E39"/>
    <w:rsid w:val="00F46E3C"/>
    <w:rsid w:val="00F46E46"/>
    <w:rsid w:val="00F46EED"/>
    <w:rsid w:val="00F46F4E"/>
    <w:rsid w:val="00F471A3"/>
    <w:rsid w:val="00F47284"/>
    <w:rsid w:val="00F472AC"/>
    <w:rsid w:val="00F472FB"/>
    <w:rsid w:val="00F473C2"/>
    <w:rsid w:val="00F47679"/>
    <w:rsid w:val="00F476C2"/>
    <w:rsid w:val="00F477D7"/>
    <w:rsid w:val="00F47A24"/>
    <w:rsid w:val="00F47A3B"/>
    <w:rsid w:val="00F47B18"/>
    <w:rsid w:val="00F47CFA"/>
    <w:rsid w:val="00F47D10"/>
    <w:rsid w:val="00F47E32"/>
    <w:rsid w:val="00F47EED"/>
    <w:rsid w:val="00F47F70"/>
    <w:rsid w:val="00F50064"/>
    <w:rsid w:val="00F50153"/>
    <w:rsid w:val="00F50252"/>
    <w:rsid w:val="00F5026D"/>
    <w:rsid w:val="00F502A3"/>
    <w:rsid w:val="00F50305"/>
    <w:rsid w:val="00F50346"/>
    <w:rsid w:val="00F505E8"/>
    <w:rsid w:val="00F50674"/>
    <w:rsid w:val="00F507C8"/>
    <w:rsid w:val="00F507F2"/>
    <w:rsid w:val="00F50828"/>
    <w:rsid w:val="00F50A68"/>
    <w:rsid w:val="00F50A79"/>
    <w:rsid w:val="00F50BA0"/>
    <w:rsid w:val="00F50D2E"/>
    <w:rsid w:val="00F50DC6"/>
    <w:rsid w:val="00F50EE2"/>
    <w:rsid w:val="00F50F9B"/>
    <w:rsid w:val="00F50FD8"/>
    <w:rsid w:val="00F51087"/>
    <w:rsid w:val="00F511B4"/>
    <w:rsid w:val="00F51444"/>
    <w:rsid w:val="00F51533"/>
    <w:rsid w:val="00F51587"/>
    <w:rsid w:val="00F51593"/>
    <w:rsid w:val="00F5165C"/>
    <w:rsid w:val="00F5188D"/>
    <w:rsid w:val="00F51929"/>
    <w:rsid w:val="00F51AC4"/>
    <w:rsid w:val="00F51ADB"/>
    <w:rsid w:val="00F51B99"/>
    <w:rsid w:val="00F51BBC"/>
    <w:rsid w:val="00F51C1B"/>
    <w:rsid w:val="00F51CB6"/>
    <w:rsid w:val="00F51D29"/>
    <w:rsid w:val="00F51DAF"/>
    <w:rsid w:val="00F51EBE"/>
    <w:rsid w:val="00F51F21"/>
    <w:rsid w:val="00F52161"/>
    <w:rsid w:val="00F522B2"/>
    <w:rsid w:val="00F522D9"/>
    <w:rsid w:val="00F5248F"/>
    <w:rsid w:val="00F5262F"/>
    <w:rsid w:val="00F526B3"/>
    <w:rsid w:val="00F528FA"/>
    <w:rsid w:val="00F5293C"/>
    <w:rsid w:val="00F52981"/>
    <w:rsid w:val="00F52999"/>
    <w:rsid w:val="00F529E8"/>
    <w:rsid w:val="00F52A52"/>
    <w:rsid w:val="00F52B44"/>
    <w:rsid w:val="00F52BCB"/>
    <w:rsid w:val="00F52BEE"/>
    <w:rsid w:val="00F52DC0"/>
    <w:rsid w:val="00F52E0D"/>
    <w:rsid w:val="00F52F61"/>
    <w:rsid w:val="00F53034"/>
    <w:rsid w:val="00F531ED"/>
    <w:rsid w:val="00F531F2"/>
    <w:rsid w:val="00F53235"/>
    <w:rsid w:val="00F5326D"/>
    <w:rsid w:val="00F532B3"/>
    <w:rsid w:val="00F533CB"/>
    <w:rsid w:val="00F5342F"/>
    <w:rsid w:val="00F535E1"/>
    <w:rsid w:val="00F5361E"/>
    <w:rsid w:val="00F53659"/>
    <w:rsid w:val="00F53714"/>
    <w:rsid w:val="00F537BF"/>
    <w:rsid w:val="00F5386E"/>
    <w:rsid w:val="00F5394C"/>
    <w:rsid w:val="00F539A7"/>
    <w:rsid w:val="00F53A4C"/>
    <w:rsid w:val="00F53AAE"/>
    <w:rsid w:val="00F53B93"/>
    <w:rsid w:val="00F53BBF"/>
    <w:rsid w:val="00F53C82"/>
    <w:rsid w:val="00F53C88"/>
    <w:rsid w:val="00F53D0A"/>
    <w:rsid w:val="00F53D28"/>
    <w:rsid w:val="00F53DCB"/>
    <w:rsid w:val="00F53E71"/>
    <w:rsid w:val="00F53F2F"/>
    <w:rsid w:val="00F53FEE"/>
    <w:rsid w:val="00F540A2"/>
    <w:rsid w:val="00F540AA"/>
    <w:rsid w:val="00F541A7"/>
    <w:rsid w:val="00F541B7"/>
    <w:rsid w:val="00F5420F"/>
    <w:rsid w:val="00F5430B"/>
    <w:rsid w:val="00F54336"/>
    <w:rsid w:val="00F54472"/>
    <w:rsid w:val="00F5447B"/>
    <w:rsid w:val="00F544E9"/>
    <w:rsid w:val="00F5471D"/>
    <w:rsid w:val="00F5477D"/>
    <w:rsid w:val="00F547DD"/>
    <w:rsid w:val="00F54921"/>
    <w:rsid w:val="00F54A46"/>
    <w:rsid w:val="00F54AE1"/>
    <w:rsid w:val="00F54B2D"/>
    <w:rsid w:val="00F54B54"/>
    <w:rsid w:val="00F54B7E"/>
    <w:rsid w:val="00F54BF2"/>
    <w:rsid w:val="00F54C54"/>
    <w:rsid w:val="00F54D10"/>
    <w:rsid w:val="00F54D85"/>
    <w:rsid w:val="00F54DFC"/>
    <w:rsid w:val="00F54EC0"/>
    <w:rsid w:val="00F550EE"/>
    <w:rsid w:val="00F55182"/>
    <w:rsid w:val="00F5519E"/>
    <w:rsid w:val="00F5533A"/>
    <w:rsid w:val="00F554E0"/>
    <w:rsid w:val="00F5554B"/>
    <w:rsid w:val="00F55575"/>
    <w:rsid w:val="00F55579"/>
    <w:rsid w:val="00F555A0"/>
    <w:rsid w:val="00F55681"/>
    <w:rsid w:val="00F556B2"/>
    <w:rsid w:val="00F556ED"/>
    <w:rsid w:val="00F55701"/>
    <w:rsid w:val="00F557B6"/>
    <w:rsid w:val="00F55861"/>
    <w:rsid w:val="00F55866"/>
    <w:rsid w:val="00F55877"/>
    <w:rsid w:val="00F558D8"/>
    <w:rsid w:val="00F55A10"/>
    <w:rsid w:val="00F55A4B"/>
    <w:rsid w:val="00F55A51"/>
    <w:rsid w:val="00F55AB7"/>
    <w:rsid w:val="00F55D33"/>
    <w:rsid w:val="00F55E5D"/>
    <w:rsid w:val="00F55F05"/>
    <w:rsid w:val="00F55F16"/>
    <w:rsid w:val="00F55F1E"/>
    <w:rsid w:val="00F55F71"/>
    <w:rsid w:val="00F5601C"/>
    <w:rsid w:val="00F560E7"/>
    <w:rsid w:val="00F56258"/>
    <w:rsid w:val="00F5631D"/>
    <w:rsid w:val="00F56338"/>
    <w:rsid w:val="00F56361"/>
    <w:rsid w:val="00F564B6"/>
    <w:rsid w:val="00F564C3"/>
    <w:rsid w:val="00F564E6"/>
    <w:rsid w:val="00F565F2"/>
    <w:rsid w:val="00F56660"/>
    <w:rsid w:val="00F566E6"/>
    <w:rsid w:val="00F56701"/>
    <w:rsid w:val="00F56789"/>
    <w:rsid w:val="00F56823"/>
    <w:rsid w:val="00F568EF"/>
    <w:rsid w:val="00F56914"/>
    <w:rsid w:val="00F56A91"/>
    <w:rsid w:val="00F56AAA"/>
    <w:rsid w:val="00F56BBB"/>
    <w:rsid w:val="00F56D92"/>
    <w:rsid w:val="00F56DDA"/>
    <w:rsid w:val="00F56E74"/>
    <w:rsid w:val="00F56FDB"/>
    <w:rsid w:val="00F57037"/>
    <w:rsid w:val="00F5713C"/>
    <w:rsid w:val="00F57150"/>
    <w:rsid w:val="00F57187"/>
    <w:rsid w:val="00F572CA"/>
    <w:rsid w:val="00F5731E"/>
    <w:rsid w:val="00F57382"/>
    <w:rsid w:val="00F57526"/>
    <w:rsid w:val="00F57550"/>
    <w:rsid w:val="00F5757D"/>
    <w:rsid w:val="00F575E9"/>
    <w:rsid w:val="00F575EE"/>
    <w:rsid w:val="00F575F1"/>
    <w:rsid w:val="00F576B8"/>
    <w:rsid w:val="00F57738"/>
    <w:rsid w:val="00F5778A"/>
    <w:rsid w:val="00F577C9"/>
    <w:rsid w:val="00F57841"/>
    <w:rsid w:val="00F5798B"/>
    <w:rsid w:val="00F57AD0"/>
    <w:rsid w:val="00F57B6A"/>
    <w:rsid w:val="00F57BAD"/>
    <w:rsid w:val="00F57C8C"/>
    <w:rsid w:val="00F57D90"/>
    <w:rsid w:val="00F57E89"/>
    <w:rsid w:val="00F57E9D"/>
    <w:rsid w:val="00F57FE9"/>
    <w:rsid w:val="00F600AE"/>
    <w:rsid w:val="00F600B7"/>
    <w:rsid w:val="00F60127"/>
    <w:rsid w:val="00F6013A"/>
    <w:rsid w:val="00F60275"/>
    <w:rsid w:val="00F602B5"/>
    <w:rsid w:val="00F602EA"/>
    <w:rsid w:val="00F60325"/>
    <w:rsid w:val="00F6033C"/>
    <w:rsid w:val="00F60343"/>
    <w:rsid w:val="00F60413"/>
    <w:rsid w:val="00F6045E"/>
    <w:rsid w:val="00F6048F"/>
    <w:rsid w:val="00F60520"/>
    <w:rsid w:val="00F60526"/>
    <w:rsid w:val="00F60708"/>
    <w:rsid w:val="00F6079B"/>
    <w:rsid w:val="00F608CB"/>
    <w:rsid w:val="00F609B8"/>
    <w:rsid w:val="00F609EB"/>
    <w:rsid w:val="00F609F3"/>
    <w:rsid w:val="00F60A77"/>
    <w:rsid w:val="00F60AA3"/>
    <w:rsid w:val="00F60AAE"/>
    <w:rsid w:val="00F60B0F"/>
    <w:rsid w:val="00F60BD0"/>
    <w:rsid w:val="00F60C26"/>
    <w:rsid w:val="00F60D09"/>
    <w:rsid w:val="00F60D44"/>
    <w:rsid w:val="00F60DA4"/>
    <w:rsid w:val="00F60DA7"/>
    <w:rsid w:val="00F60E40"/>
    <w:rsid w:val="00F60ED2"/>
    <w:rsid w:val="00F60FAE"/>
    <w:rsid w:val="00F61026"/>
    <w:rsid w:val="00F61089"/>
    <w:rsid w:val="00F61090"/>
    <w:rsid w:val="00F61218"/>
    <w:rsid w:val="00F6129A"/>
    <w:rsid w:val="00F613AB"/>
    <w:rsid w:val="00F61484"/>
    <w:rsid w:val="00F614EB"/>
    <w:rsid w:val="00F61591"/>
    <w:rsid w:val="00F615B0"/>
    <w:rsid w:val="00F6163B"/>
    <w:rsid w:val="00F61662"/>
    <w:rsid w:val="00F61677"/>
    <w:rsid w:val="00F617E5"/>
    <w:rsid w:val="00F617EF"/>
    <w:rsid w:val="00F618CD"/>
    <w:rsid w:val="00F618E3"/>
    <w:rsid w:val="00F61911"/>
    <w:rsid w:val="00F6199F"/>
    <w:rsid w:val="00F619A0"/>
    <w:rsid w:val="00F61A00"/>
    <w:rsid w:val="00F61A74"/>
    <w:rsid w:val="00F61A99"/>
    <w:rsid w:val="00F61CBC"/>
    <w:rsid w:val="00F61D61"/>
    <w:rsid w:val="00F61D83"/>
    <w:rsid w:val="00F61DB3"/>
    <w:rsid w:val="00F61DB5"/>
    <w:rsid w:val="00F61E7D"/>
    <w:rsid w:val="00F62056"/>
    <w:rsid w:val="00F620E1"/>
    <w:rsid w:val="00F62103"/>
    <w:rsid w:val="00F62121"/>
    <w:rsid w:val="00F62143"/>
    <w:rsid w:val="00F621BF"/>
    <w:rsid w:val="00F6227E"/>
    <w:rsid w:val="00F623DD"/>
    <w:rsid w:val="00F624D1"/>
    <w:rsid w:val="00F625FF"/>
    <w:rsid w:val="00F6267B"/>
    <w:rsid w:val="00F62758"/>
    <w:rsid w:val="00F627ED"/>
    <w:rsid w:val="00F627F1"/>
    <w:rsid w:val="00F629B5"/>
    <w:rsid w:val="00F62A05"/>
    <w:rsid w:val="00F62AFE"/>
    <w:rsid w:val="00F62C74"/>
    <w:rsid w:val="00F62C84"/>
    <w:rsid w:val="00F62D64"/>
    <w:rsid w:val="00F62DAE"/>
    <w:rsid w:val="00F62DCB"/>
    <w:rsid w:val="00F62E83"/>
    <w:rsid w:val="00F62E95"/>
    <w:rsid w:val="00F62E9D"/>
    <w:rsid w:val="00F62EA8"/>
    <w:rsid w:val="00F62ECA"/>
    <w:rsid w:val="00F62FAB"/>
    <w:rsid w:val="00F63018"/>
    <w:rsid w:val="00F6316C"/>
    <w:rsid w:val="00F631BB"/>
    <w:rsid w:val="00F633F7"/>
    <w:rsid w:val="00F634ED"/>
    <w:rsid w:val="00F63507"/>
    <w:rsid w:val="00F63635"/>
    <w:rsid w:val="00F6366D"/>
    <w:rsid w:val="00F63764"/>
    <w:rsid w:val="00F637E8"/>
    <w:rsid w:val="00F63810"/>
    <w:rsid w:val="00F638A0"/>
    <w:rsid w:val="00F638A8"/>
    <w:rsid w:val="00F638B0"/>
    <w:rsid w:val="00F63934"/>
    <w:rsid w:val="00F639A2"/>
    <w:rsid w:val="00F639E2"/>
    <w:rsid w:val="00F63A89"/>
    <w:rsid w:val="00F63ABF"/>
    <w:rsid w:val="00F63ACE"/>
    <w:rsid w:val="00F63B24"/>
    <w:rsid w:val="00F63C27"/>
    <w:rsid w:val="00F63D69"/>
    <w:rsid w:val="00F63D75"/>
    <w:rsid w:val="00F63E3C"/>
    <w:rsid w:val="00F63E95"/>
    <w:rsid w:val="00F63EE9"/>
    <w:rsid w:val="00F6404A"/>
    <w:rsid w:val="00F64093"/>
    <w:rsid w:val="00F6409C"/>
    <w:rsid w:val="00F6417E"/>
    <w:rsid w:val="00F641D9"/>
    <w:rsid w:val="00F64228"/>
    <w:rsid w:val="00F64265"/>
    <w:rsid w:val="00F642B6"/>
    <w:rsid w:val="00F643AE"/>
    <w:rsid w:val="00F643E9"/>
    <w:rsid w:val="00F64406"/>
    <w:rsid w:val="00F6442D"/>
    <w:rsid w:val="00F6445F"/>
    <w:rsid w:val="00F6457C"/>
    <w:rsid w:val="00F645BB"/>
    <w:rsid w:val="00F64604"/>
    <w:rsid w:val="00F64605"/>
    <w:rsid w:val="00F6462F"/>
    <w:rsid w:val="00F647C8"/>
    <w:rsid w:val="00F6484D"/>
    <w:rsid w:val="00F64875"/>
    <w:rsid w:val="00F649B1"/>
    <w:rsid w:val="00F64A41"/>
    <w:rsid w:val="00F64B34"/>
    <w:rsid w:val="00F64C8E"/>
    <w:rsid w:val="00F64D54"/>
    <w:rsid w:val="00F64DCA"/>
    <w:rsid w:val="00F64EC3"/>
    <w:rsid w:val="00F64F46"/>
    <w:rsid w:val="00F64F5F"/>
    <w:rsid w:val="00F650D3"/>
    <w:rsid w:val="00F65208"/>
    <w:rsid w:val="00F65245"/>
    <w:rsid w:val="00F65332"/>
    <w:rsid w:val="00F65636"/>
    <w:rsid w:val="00F656FC"/>
    <w:rsid w:val="00F657B1"/>
    <w:rsid w:val="00F65892"/>
    <w:rsid w:val="00F659B1"/>
    <w:rsid w:val="00F659F5"/>
    <w:rsid w:val="00F65A66"/>
    <w:rsid w:val="00F65B89"/>
    <w:rsid w:val="00F65BBC"/>
    <w:rsid w:val="00F65C09"/>
    <w:rsid w:val="00F65D1E"/>
    <w:rsid w:val="00F65DF3"/>
    <w:rsid w:val="00F65E42"/>
    <w:rsid w:val="00F65EE9"/>
    <w:rsid w:val="00F6605C"/>
    <w:rsid w:val="00F662D0"/>
    <w:rsid w:val="00F66300"/>
    <w:rsid w:val="00F66306"/>
    <w:rsid w:val="00F66358"/>
    <w:rsid w:val="00F66362"/>
    <w:rsid w:val="00F663F3"/>
    <w:rsid w:val="00F66556"/>
    <w:rsid w:val="00F66570"/>
    <w:rsid w:val="00F667FB"/>
    <w:rsid w:val="00F66910"/>
    <w:rsid w:val="00F66A00"/>
    <w:rsid w:val="00F66AA3"/>
    <w:rsid w:val="00F66AAD"/>
    <w:rsid w:val="00F66B7E"/>
    <w:rsid w:val="00F66BDC"/>
    <w:rsid w:val="00F66C27"/>
    <w:rsid w:val="00F66E06"/>
    <w:rsid w:val="00F66FE2"/>
    <w:rsid w:val="00F67085"/>
    <w:rsid w:val="00F671D5"/>
    <w:rsid w:val="00F67227"/>
    <w:rsid w:val="00F6734A"/>
    <w:rsid w:val="00F673B9"/>
    <w:rsid w:val="00F67473"/>
    <w:rsid w:val="00F67596"/>
    <w:rsid w:val="00F67856"/>
    <w:rsid w:val="00F67A57"/>
    <w:rsid w:val="00F67AF1"/>
    <w:rsid w:val="00F67B25"/>
    <w:rsid w:val="00F67BAA"/>
    <w:rsid w:val="00F67BB2"/>
    <w:rsid w:val="00F67BFD"/>
    <w:rsid w:val="00F67BFF"/>
    <w:rsid w:val="00F67CA3"/>
    <w:rsid w:val="00F67D1C"/>
    <w:rsid w:val="00F67D29"/>
    <w:rsid w:val="00F67D5E"/>
    <w:rsid w:val="00F67E21"/>
    <w:rsid w:val="00F67E52"/>
    <w:rsid w:val="00F67F03"/>
    <w:rsid w:val="00F67F21"/>
    <w:rsid w:val="00F70043"/>
    <w:rsid w:val="00F7014A"/>
    <w:rsid w:val="00F7014F"/>
    <w:rsid w:val="00F70282"/>
    <w:rsid w:val="00F702AB"/>
    <w:rsid w:val="00F70421"/>
    <w:rsid w:val="00F70457"/>
    <w:rsid w:val="00F705E2"/>
    <w:rsid w:val="00F70745"/>
    <w:rsid w:val="00F70746"/>
    <w:rsid w:val="00F70766"/>
    <w:rsid w:val="00F707EE"/>
    <w:rsid w:val="00F70813"/>
    <w:rsid w:val="00F70871"/>
    <w:rsid w:val="00F708F8"/>
    <w:rsid w:val="00F7096D"/>
    <w:rsid w:val="00F709B2"/>
    <w:rsid w:val="00F70A8F"/>
    <w:rsid w:val="00F70BD5"/>
    <w:rsid w:val="00F70BE7"/>
    <w:rsid w:val="00F70DC5"/>
    <w:rsid w:val="00F70E81"/>
    <w:rsid w:val="00F70E9B"/>
    <w:rsid w:val="00F70F00"/>
    <w:rsid w:val="00F70FCA"/>
    <w:rsid w:val="00F7105F"/>
    <w:rsid w:val="00F71104"/>
    <w:rsid w:val="00F71126"/>
    <w:rsid w:val="00F71144"/>
    <w:rsid w:val="00F7114F"/>
    <w:rsid w:val="00F7116E"/>
    <w:rsid w:val="00F71170"/>
    <w:rsid w:val="00F7117E"/>
    <w:rsid w:val="00F71273"/>
    <w:rsid w:val="00F713D2"/>
    <w:rsid w:val="00F7148F"/>
    <w:rsid w:val="00F714B1"/>
    <w:rsid w:val="00F714C5"/>
    <w:rsid w:val="00F715CD"/>
    <w:rsid w:val="00F716BD"/>
    <w:rsid w:val="00F71749"/>
    <w:rsid w:val="00F7180F"/>
    <w:rsid w:val="00F718ED"/>
    <w:rsid w:val="00F718FE"/>
    <w:rsid w:val="00F71AB1"/>
    <w:rsid w:val="00F71B0E"/>
    <w:rsid w:val="00F71C73"/>
    <w:rsid w:val="00F71DAE"/>
    <w:rsid w:val="00F71DB4"/>
    <w:rsid w:val="00F71E66"/>
    <w:rsid w:val="00F71F16"/>
    <w:rsid w:val="00F71F55"/>
    <w:rsid w:val="00F71F5E"/>
    <w:rsid w:val="00F71FA9"/>
    <w:rsid w:val="00F71FF2"/>
    <w:rsid w:val="00F7210B"/>
    <w:rsid w:val="00F72187"/>
    <w:rsid w:val="00F721F4"/>
    <w:rsid w:val="00F7220F"/>
    <w:rsid w:val="00F722B2"/>
    <w:rsid w:val="00F723A3"/>
    <w:rsid w:val="00F72489"/>
    <w:rsid w:val="00F72518"/>
    <w:rsid w:val="00F7266B"/>
    <w:rsid w:val="00F72762"/>
    <w:rsid w:val="00F727B6"/>
    <w:rsid w:val="00F727EC"/>
    <w:rsid w:val="00F7289C"/>
    <w:rsid w:val="00F72935"/>
    <w:rsid w:val="00F72A3E"/>
    <w:rsid w:val="00F72AB1"/>
    <w:rsid w:val="00F72D9C"/>
    <w:rsid w:val="00F72DDF"/>
    <w:rsid w:val="00F72E16"/>
    <w:rsid w:val="00F72E68"/>
    <w:rsid w:val="00F72F1A"/>
    <w:rsid w:val="00F73002"/>
    <w:rsid w:val="00F73231"/>
    <w:rsid w:val="00F735BC"/>
    <w:rsid w:val="00F736E0"/>
    <w:rsid w:val="00F737CF"/>
    <w:rsid w:val="00F7384B"/>
    <w:rsid w:val="00F73891"/>
    <w:rsid w:val="00F738BA"/>
    <w:rsid w:val="00F739FE"/>
    <w:rsid w:val="00F73B3A"/>
    <w:rsid w:val="00F73D46"/>
    <w:rsid w:val="00F73E47"/>
    <w:rsid w:val="00F73E9C"/>
    <w:rsid w:val="00F73EFE"/>
    <w:rsid w:val="00F73F1C"/>
    <w:rsid w:val="00F74021"/>
    <w:rsid w:val="00F740E8"/>
    <w:rsid w:val="00F743BF"/>
    <w:rsid w:val="00F743DC"/>
    <w:rsid w:val="00F74421"/>
    <w:rsid w:val="00F7442B"/>
    <w:rsid w:val="00F74471"/>
    <w:rsid w:val="00F744D3"/>
    <w:rsid w:val="00F74625"/>
    <w:rsid w:val="00F746C4"/>
    <w:rsid w:val="00F746EB"/>
    <w:rsid w:val="00F7470F"/>
    <w:rsid w:val="00F74909"/>
    <w:rsid w:val="00F749D6"/>
    <w:rsid w:val="00F74B05"/>
    <w:rsid w:val="00F74B9B"/>
    <w:rsid w:val="00F74C5A"/>
    <w:rsid w:val="00F74C94"/>
    <w:rsid w:val="00F74D81"/>
    <w:rsid w:val="00F74DC3"/>
    <w:rsid w:val="00F74E46"/>
    <w:rsid w:val="00F74EE2"/>
    <w:rsid w:val="00F74EEC"/>
    <w:rsid w:val="00F75029"/>
    <w:rsid w:val="00F75094"/>
    <w:rsid w:val="00F750DE"/>
    <w:rsid w:val="00F75161"/>
    <w:rsid w:val="00F75411"/>
    <w:rsid w:val="00F7544A"/>
    <w:rsid w:val="00F755A4"/>
    <w:rsid w:val="00F755A8"/>
    <w:rsid w:val="00F756A2"/>
    <w:rsid w:val="00F758EF"/>
    <w:rsid w:val="00F759B1"/>
    <w:rsid w:val="00F759BD"/>
    <w:rsid w:val="00F75B72"/>
    <w:rsid w:val="00F75C53"/>
    <w:rsid w:val="00F75CA4"/>
    <w:rsid w:val="00F75D73"/>
    <w:rsid w:val="00F75E4E"/>
    <w:rsid w:val="00F75EA4"/>
    <w:rsid w:val="00F75EF7"/>
    <w:rsid w:val="00F75F65"/>
    <w:rsid w:val="00F75F68"/>
    <w:rsid w:val="00F75FAF"/>
    <w:rsid w:val="00F75FF7"/>
    <w:rsid w:val="00F76054"/>
    <w:rsid w:val="00F76132"/>
    <w:rsid w:val="00F761A7"/>
    <w:rsid w:val="00F762B4"/>
    <w:rsid w:val="00F762D7"/>
    <w:rsid w:val="00F762E9"/>
    <w:rsid w:val="00F76437"/>
    <w:rsid w:val="00F765BB"/>
    <w:rsid w:val="00F7675C"/>
    <w:rsid w:val="00F76772"/>
    <w:rsid w:val="00F767F5"/>
    <w:rsid w:val="00F76823"/>
    <w:rsid w:val="00F76862"/>
    <w:rsid w:val="00F76949"/>
    <w:rsid w:val="00F76A48"/>
    <w:rsid w:val="00F76AAB"/>
    <w:rsid w:val="00F76C3B"/>
    <w:rsid w:val="00F76DA2"/>
    <w:rsid w:val="00F76DCB"/>
    <w:rsid w:val="00F76E1A"/>
    <w:rsid w:val="00F76EF6"/>
    <w:rsid w:val="00F76FA7"/>
    <w:rsid w:val="00F76FB1"/>
    <w:rsid w:val="00F77016"/>
    <w:rsid w:val="00F77042"/>
    <w:rsid w:val="00F7705D"/>
    <w:rsid w:val="00F77076"/>
    <w:rsid w:val="00F770F2"/>
    <w:rsid w:val="00F77196"/>
    <w:rsid w:val="00F771E4"/>
    <w:rsid w:val="00F77231"/>
    <w:rsid w:val="00F7734C"/>
    <w:rsid w:val="00F77385"/>
    <w:rsid w:val="00F773DC"/>
    <w:rsid w:val="00F775A8"/>
    <w:rsid w:val="00F77724"/>
    <w:rsid w:val="00F77757"/>
    <w:rsid w:val="00F77801"/>
    <w:rsid w:val="00F778E6"/>
    <w:rsid w:val="00F7791E"/>
    <w:rsid w:val="00F77930"/>
    <w:rsid w:val="00F77981"/>
    <w:rsid w:val="00F77AAF"/>
    <w:rsid w:val="00F77AF4"/>
    <w:rsid w:val="00F77B19"/>
    <w:rsid w:val="00F77BC0"/>
    <w:rsid w:val="00F77C2E"/>
    <w:rsid w:val="00F77CB5"/>
    <w:rsid w:val="00F77D82"/>
    <w:rsid w:val="00F77D84"/>
    <w:rsid w:val="00F77DF3"/>
    <w:rsid w:val="00F77E25"/>
    <w:rsid w:val="00F77E7F"/>
    <w:rsid w:val="00F80074"/>
    <w:rsid w:val="00F800E9"/>
    <w:rsid w:val="00F80110"/>
    <w:rsid w:val="00F80172"/>
    <w:rsid w:val="00F801C2"/>
    <w:rsid w:val="00F801F7"/>
    <w:rsid w:val="00F802B6"/>
    <w:rsid w:val="00F802DF"/>
    <w:rsid w:val="00F80429"/>
    <w:rsid w:val="00F804CA"/>
    <w:rsid w:val="00F804EF"/>
    <w:rsid w:val="00F80564"/>
    <w:rsid w:val="00F80731"/>
    <w:rsid w:val="00F808CE"/>
    <w:rsid w:val="00F808EB"/>
    <w:rsid w:val="00F80920"/>
    <w:rsid w:val="00F8097D"/>
    <w:rsid w:val="00F809FC"/>
    <w:rsid w:val="00F80B65"/>
    <w:rsid w:val="00F80B80"/>
    <w:rsid w:val="00F80D15"/>
    <w:rsid w:val="00F80DD3"/>
    <w:rsid w:val="00F80DEC"/>
    <w:rsid w:val="00F80F03"/>
    <w:rsid w:val="00F80F4F"/>
    <w:rsid w:val="00F80F79"/>
    <w:rsid w:val="00F80F86"/>
    <w:rsid w:val="00F80FE7"/>
    <w:rsid w:val="00F81117"/>
    <w:rsid w:val="00F81218"/>
    <w:rsid w:val="00F8121E"/>
    <w:rsid w:val="00F81248"/>
    <w:rsid w:val="00F81473"/>
    <w:rsid w:val="00F8149D"/>
    <w:rsid w:val="00F814AB"/>
    <w:rsid w:val="00F814E5"/>
    <w:rsid w:val="00F81555"/>
    <w:rsid w:val="00F816AD"/>
    <w:rsid w:val="00F81885"/>
    <w:rsid w:val="00F81A16"/>
    <w:rsid w:val="00F81AA7"/>
    <w:rsid w:val="00F81B93"/>
    <w:rsid w:val="00F81B9C"/>
    <w:rsid w:val="00F81BC7"/>
    <w:rsid w:val="00F81C6A"/>
    <w:rsid w:val="00F81D03"/>
    <w:rsid w:val="00F81D3A"/>
    <w:rsid w:val="00F81DC4"/>
    <w:rsid w:val="00F81DEB"/>
    <w:rsid w:val="00F81FEF"/>
    <w:rsid w:val="00F8205B"/>
    <w:rsid w:val="00F8206A"/>
    <w:rsid w:val="00F82080"/>
    <w:rsid w:val="00F820F9"/>
    <w:rsid w:val="00F8217E"/>
    <w:rsid w:val="00F82191"/>
    <w:rsid w:val="00F82203"/>
    <w:rsid w:val="00F8234B"/>
    <w:rsid w:val="00F82364"/>
    <w:rsid w:val="00F82436"/>
    <w:rsid w:val="00F824A9"/>
    <w:rsid w:val="00F824D8"/>
    <w:rsid w:val="00F82629"/>
    <w:rsid w:val="00F82696"/>
    <w:rsid w:val="00F827A8"/>
    <w:rsid w:val="00F827FA"/>
    <w:rsid w:val="00F828DF"/>
    <w:rsid w:val="00F82901"/>
    <w:rsid w:val="00F82921"/>
    <w:rsid w:val="00F82BC5"/>
    <w:rsid w:val="00F82CEA"/>
    <w:rsid w:val="00F82D05"/>
    <w:rsid w:val="00F82D1E"/>
    <w:rsid w:val="00F82D84"/>
    <w:rsid w:val="00F82DCC"/>
    <w:rsid w:val="00F82FD0"/>
    <w:rsid w:val="00F82FDF"/>
    <w:rsid w:val="00F82FF8"/>
    <w:rsid w:val="00F83037"/>
    <w:rsid w:val="00F83163"/>
    <w:rsid w:val="00F832D6"/>
    <w:rsid w:val="00F832EB"/>
    <w:rsid w:val="00F83303"/>
    <w:rsid w:val="00F833E5"/>
    <w:rsid w:val="00F83488"/>
    <w:rsid w:val="00F834B9"/>
    <w:rsid w:val="00F834C9"/>
    <w:rsid w:val="00F8353B"/>
    <w:rsid w:val="00F8355E"/>
    <w:rsid w:val="00F8361D"/>
    <w:rsid w:val="00F83710"/>
    <w:rsid w:val="00F837F0"/>
    <w:rsid w:val="00F837F3"/>
    <w:rsid w:val="00F83806"/>
    <w:rsid w:val="00F8380D"/>
    <w:rsid w:val="00F83849"/>
    <w:rsid w:val="00F8384A"/>
    <w:rsid w:val="00F83855"/>
    <w:rsid w:val="00F838B6"/>
    <w:rsid w:val="00F8392C"/>
    <w:rsid w:val="00F839AA"/>
    <w:rsid w:val="00F83AD0"/>
    <w:rsid w:val="00F83BEA"/>
    <w:rsid w:val="00F83C9B"/>
    <w:rsid w:val="00F83CE8"/>
    <w:rsid w:val="00F83D37"/>
    <w:rsid w:val="00F83DFB"/>
    <w:rsid w:val="00F83EBE"/>
    <w:rsid w:val="00F83F76"/>
    <w:rsid w:val="00F8406E"/>
    <w:rsid w:val="00F840F7"/>
    <w:rsid w:val="00F84115"/>
    <w:rsid w:val="00F84387"/>
    <w:rsid w:val="00F843F3"/>
    <w:rsid w:val="00F84531"/>
    <w:rsid w:val="00F846F9"/>
    <w:rsid w:val="00F84775"/>
    <w:rsid w:val="00F848E5"/>
    <w:rsid w:val="00F848E7"/>
    <w:rsid w:val="00F84A41"/>
    <w:rsid w:val="00F84A90"/>
    <w:rsid w:val="00F84AAC"/>
    <w:rsid w:val="00F84BE4"/>
    <w:rsid w:val="00F84CD5"/>
    <w:rsid w:val="00F84CE6"/>
    <w:rsid w:val="00F84D43"/>
    <w:rsid w:val="00F84D4E"/>
    <w:rsid w:val="00F84D5D"/>
    <w:rsid w:val="00F84E6C"/>
    <w:rsid w:val="00F84EAB"/>
    <w:rsid w:val="00F84EB2"/>
    <w:rsid w:val="00F84F01"/>
    <w:rsid w:val="00F852B2"/>
    <w:rsid w:val="00F85355"/>
    <w:rsid w:val="00F8537F"/>
    <w:rsid w:val="00F853AD"/>
    <w:rsid w:val="00F854FC"/>
    <w:rsid w:val="00F8550D"/>
    <w:rsid w:val="00F85572"/>
    <w:rsid w:val="00F85596"/>
    <w:rsid w:val="00F855A3"/>
    <w:rsid w:val="00F855F1"/>
    <w:rsid w:val="00F85630"/>
    <w:rsid w:val="00F85667"/>
    <w:rsid w:val="00F857DB"/>
    <w:rsid w:val="00F857EB"/>
    <w:rsid w:val="00F8581D"/>
    <w:rsid w:val="00F8593A"/>
    <w:rsid w:val="00F85AD0"/>
    <w:rsid w:val="00F85AF3"/>
    <w:rsid w:val="00F85BE7"/>
    <w:rsid w:val="00F85C04"/>
    <w:rsid w:val="00F85C0C"/>
    <w:rsid w:val="00F85C30"/>
    <w:rsid w:val="00F85C7A"/>
    <w:rsid w:val="00F85CBB"/>
    <w:rsid w:val="00F85CD3"/>
    <w:rsid w:val="00F85E0D"/>
    <w:rsid w:val="00F85E6F"/>
    <w:rsid w:val="00F85EAE"/>
    <w:rsid w:val="00F85F2C"/>
    <w:rsid w:val="00F85F4A"/>
    <w:rsid w:val="00F86158"/>
    <w:rsid w:val="00F86342"/>
    <w:rsid w:val="00F863A0"/>
    <w:rsid w:val="00F86472"/>
    <w:rsid w:val="00F864DB"/>
    <w:rsid w:val="00F8655A"/>
    <w:rsid w:val="00F86569"/>
    <w:rsid w:val="00F865C4"/>
    <w:rsid w:val="00F865C8"/>
    <w:rsid w:val="00F86736"/>
    <w:rsid w:val="00F86737"/>
    <w:rsid w:val="00F867AF"/>
    <w:rsid w:val="00F86894"/>
    <w:rsid w:val="00F86B28"/>
    <w:rsid w:val="00F86B5B"/>
    <w:rsid w:val="00F86C00"/>
    <w:rsid w:val="00F86D36"/>
    <w:rsid w:val="00F86D68"/>
    <w:rsid w:val="00F86FA8"/>
    <w:rsid w:val="00F87108"/>
    <w:rsid w:val="00F871E2"/>
    <w:rsid w:val="00F873D9"/>
    <w:rsid w:val="00F8741A"/>
    <w:rsid w:val="00F874C9"/>
    <w:rsid w:val="00F87628"/>
    <w:rsid w:val="00F876B5"/>
    <w:rsid w:val="00F87711"/>
    <w:rsid w:val="00F8779A"/>
    <w:rsid w:val="00F877CD"/>
    <w:rsid w:val="00F877DC"/>
    <w:rsid w:val="00F8787D"/>
    <w:rsid w:val="00F878A7"/>
    <w:rsid w:val="00F8792A"/>
    <w:rsid w:val="00F87AA7"/>
    <w:rsid w:val="00F87AED"/>
    <w:rsid w:val="00F87B59"/>
    <w:rsid w:val="00F87B72"/>
    <w:rsid w:val="00F87B8F"/>
    <w:rsid w:val="00F87BF9"/>
    <w:rsid w:val="00F87CB8"/>
    <w:rsid w:val="00F87D1C"/>
    <w:rsid w:val="00F87E40"/>
    <w:rsid w:val="00F87EC9"/>
    <w:rsid w:val="00F87ECE"/>
    <w:rsid w:val="00F90097"/>
    <w:rsid w:val="00F900DA"/>
    <w:rsid w:val="00F901EC"/>
    <w:rsid w:val="00F9020B"/>
    <w:rsid w:val="00F90518"/>
    <w:rsid w:val="00F9052A"/>
    <w:rsid w:val="00F905E8"/>
    <w:rsid w:val="00F90690"/>
    <w:rsid w:val="00F9082C"/>
    <w:rsid w:val="00F90986"/>
    <w:rsid w:val="00F909C0"/>
    <w:rsid w:val="00F90ABD"/>
    <w:rsid w:val="00F90B73"/>
    <w:rsid w:val="00F90C65"/>
    <w:rsid w:val="00F90C8F"/>
    <w:rsid w:val="00F90C9A"/>
    <w:rsid w:val="00F90CD4"/>
    <w:rsid w:val="00F90D00"/>
    <w:rsid w:val="00F90D46"/>
    <w:rsid w:val="00F90D5E"/>
    <w:rsid w:val="00F90D70"/>
    <w:rsid w:val="00F90E1C"/>
    <w:rsid w:val="00F90E74"/>
    <w:rsid w:val="00F90F27"/>
    <w:rsid w:val="00F90FF3"/>
    <w:rsid w:val="00F91040"/>
    <w:rsid w:val="00F9109E"/>
    <w:rsid w:val="00F910AD"/>
    <w:rsid w:val="00F911CB"/>
    <w:rsid w:val="00F911E8"/>
    <w:rsid w:val="00F912A9"/>
    <w:rsid w:val="00F912F3"/>
    <w:rsid w:val="00F91309"/>
    <w:rsid w:val="00F91344"/>
    <w:rsid w:val="00F914F9"/>
    <w:rsid w:val="00F9175C"/>
    <w:rsid w:val="00F9192B"/>
    <w:rsid w:val="00F919DD"/>
    <w:rsid w:val="00F91A35"/>
    <w:rsid w:val="00F91AA9"/>
    <w:rsid w:val="00F91CC0"/>
    <w:rsid w:val="00F91E45"/>
    <w:rsid w:val="00F91F34"/>
    <w:rsid w:val="00F91F3C"/>
    <w:rsid w:val="00F92008"/>
    <w:rsid w:val="00F9206C"/>
    <w:rsid w:val="00F92083"/>
    <w:rsid w:val="00F92151"/>
    <w:rsid w:val="00F921F1"/>
    <w:rsid w:val="00F92251"/>
    <w:rsid w:val="00F922BD"/>
    <w:rsid w:val="00F9239F"/>
    <w:rsid w:val="00F923A0"/>
    <w:rsid w:val="00F923B6"/>
    <w:rsid w:val="00F92653"/>
    <w:rsid w:val="00F926A8"/>
    <w:rsid w:val="00F926BB"/>
    <w:rsid w:val="00F9270C"/>
    <w:rsid w:val="00F92737"/>
    <w:rsid w:val="00F92791"/>
    <w:rsid w:val="00F927F9"/>
    <w:rsid w:val="00F92842"/>
    <w:rsid w:val="00F92865"/>
    <w:rsid w:val="00F92876"/>
    <w:rsid w:val="00F92A21"/>
    <w:rsid w:val="00F92B4A"/>
    <w:rsid w:val="00F92C70"/>
    <w:rsid w:val="00F92C71"/>
    <w:rsid w:val="00F92D29"/>
    <w:rsid w:val="00F92D3A"/>
    <w:rsid w:val="00F92D3B"/>
    <w:rsid w:val="00F92E73"/>
    <w:rsid w:val="00F92EEE"/>
    <w:rsid w:val="00F92F21"/>
    <w:rsid w:val="00F92F78"/>
    <w:rsid w:val="00F92F87"/>
    <w:rsid w:val="00F92F88"/>
    <w:rsid w:val="00F9306E"/>
    <w:rsid w:val="00F930A6"/>
    <w:rsid w:val="00F9319A"/>
    <w:rsid w:val="00F931C8"/>
    <w:rsid w:val="00F9327F"/>
    <w:rsid w:val="00F9357C"/>
    <w:rsid w:val="00F935B0"/>
    <w:rsid w:val="00F93705"/>
    <w:rsid w:val="00F93729"/>
    <w:rsid w:val="00F9375C"/>
    <w:rsid w:val="00F9376C"/>
    <w:rsid w:val="00F937F3"/>
    <w:rsid w:val="00F9384F"/>
    <w:rsid w:val="00F93889"/>
    <w:rsid w:val="00F938DA"/>
    <w:rsid w:val="00F938F2"/>
    <w:rsid w:val="00F93A69"/>
    <w:rsid w:val="00F93AAC"/>
    <w:rsid w:val="00F93BAE"/>
    <w:rsid w:val="00F93D63"/>
    <w:rsid w:val="00F93E0A"/>
    <w:rsid w:val="00F93E4F"/>
    <w:rsid w:val="00F93F05"/>
    <w:rsid w:val="00F93F2F"/>
    <w:rsid w:val="00F9406D"/>
    <w:rsid w:val="00F942D1"/>
    <w:rsid w:val="00F94340"/>
    <w:rsid w:val="00F943B8"/>
    <w:rsid w:val="00F943DD"/>
    <w:rsid w:val="00F9441F"/>
    <w:rsid w:val="00F94421"/>
    <w:rsid w:val="00F945D8"/>
    <w:rsid w:val="00F94775"/>
    <w:rsid w:val="00F947C0"/>
    <w:rsid w:val="00F94EA1"/>
    <w:rsid w:val="00F95005"/>
    <w:rsid w:val="00F9502C"/>
    <w:rsid w:val="00F951C1"/>
    <w:rsid w:val="00F9520D"/>
    <w:rsid w:val="00F9526D"/>
    <w:rsid w:val="00F95342"/>
    <w:rsid w:val="00F95366"/>
    <w:rsid w:val="00F95394"/>
    <w:rsid w:val="00F955B3"/>
    <w:rsid w:val="00F955F6"/>
    <w:rsid w:val="00F956DC"/>
    <w:rsid w:val="00F9587A"/>
    <w:rsid w:val="00F95A7A"/>
    <w:rsid w:val="00F95A98"/>
    <w:rsid w:val="00F95C10"/>
    <w:rsid w:val="00F95C3A"/>
    <w:rsid w:val="00F95C9D"/>
    <w:rsid w:val="00F95CE8"/>
    <w:rsid w:val="00F95D41"/>
    <w:rsid w:val="00F95E98"/>
    <w:rsid w:val="00F95F88"/>
    <w:rsid w:val="00F9604B"/>
    <w:rsid w:val="00F9608A"/>
    <w:rsid w:val="00F960D7"/>
    <w:rsid w:val="00F96142"/>
    <w:rsid w:val="00F961E5"/>
    <w:rsid w:val="00F96204"/>
    <w:rsid w:val="00F96311"/>
    <w:rsid w:val="00F963B1"/>
    <w:rsid w:val="00F96478"/>
    <w:rsid w:val="00F96508"/>
    <w:rsid w:val="00F9653D"/>
    <w:rsid w:val="00F965BC"/>
    <w:rsid w:val="00F96633"/>
    <w:rsid w:val="00F96698"/>
    <w:rsid w:val="00F967A3"/>
    <w:rsid w:val="00F967D9"/>
    <w:rsid w:val="00F96805"/>
    <w:rsid w:val="00F9680F"/>
    <w:rsid w:val="00F969D6"/>
    <w:rsid w:val="00F96A65"/>
    <w:rsid w:val="00F96B07"/>
    <w:rsid w:val="00F96B14"/>
    <w:rsid w:val="00F96BE1"/>
    <w:rsid w:val="00F96C05"/>
    <w:rsid w:val="00F96D14"/>
    <w:rsid w:val="00F96DFB"/>
    <w:rsid w:val="00F96E51"/>
    <w:rsid w:val="00F96F18"/>
    <w:rsid w:val="00F96F29"/>
    <w:rsid w:val="00F97096"/>
    <w:rsid w:val="00F970EA"/>
    <w:rsid w:val="00F970F4"/>
    <w:rsid w:val="00F972BA"/>
    <w:rsid w:val="00F97347"/>
    <w:rsid w:val="00F9736B"/>
    <w:rsid w:val="00F9740E"/>
    <w:rsid w:val="00F97521"/>
    <w:rsid w:val="00F975D3"/>
    <w:rsid w:val="00F97647"/>
    <w:rsid w:val="00F97715"/>
    <w:rsid w:val="00F979CF"/>
    <w:rsid w:val="00F979E8"/>
    <w:rsid w:val="00F97A27"/>
    <w:rsid w:val="00F97C56"/>
    <w:rsid w:val="00F97C65"/>
    <w:rsid w:val="00F97CC6"/>
    <w:rsid w:val="00F97D28"/>
    <w:rsid w:val="00F97D2D"/>
    <w:rsid w:val="00F97EB3"/>
    <w:rsid w:val="00FA001B"/>
    <w:rsid w:val="00FA0060"/>
    <w:rsid w:val="00FA007A"/>
    <w:rsid w:val="00FA00D8"/>
    <w:rsid w:val="00FA01DA"/>
    <w:rsid w:val="00FA0353"/>
    <w:rsid w:val="00FA04AA"/>
    <w:rsid w:val="00FA0568"/>
    <w:rsid w:val="00FA058D"/>
    <w:rsid w:val="00FA05CF"/>
    <w:rsid w:val="00FA060F"/>
    <w:rsid w:val="00FA061F"/>
    <w:rsid w:val="00FA06A1"/>
    <w:rsid w:val="00FA06D3"/>
    <w:rsid w:val="00FA095F"/>
    <w:rsid w:val="00FA09D8"/>
    <w:rsid w:val="00FA0A55"/>
    <w:rsid w:val="00FA0AB4"/>
    <w:rsid w:val="00FA0B8A"/>
    <w:rsid w:val="00FA0BCE"/>
    <w:rsid w:val="00FA0C2A"/>
    <w:rsid w:val="00FA0DA5"/>
    <w:rsid w:val="00FA0E12"/>
    <w:rsid w:val="00FA0EA1"/>
    <w:rsid w:val="00FA0EA8"/>
    <w:rsid w:val="00FA0EB2"/>
    <w:rsid w:val="00FA0F83"/>
    <w:rsid w:val="00FA1081"/>
    <w:rsid w:val="00FA115D"/>
    <w:rsid w:val="00FA11BE"/>
    <w:rsid w:val="00FA124C"/>
    <w:rsid w:val="00FA1319"/>
    <w:rsid w:val="00FA134C"/>
    <w:rsid w:val="00FA140D"/>
    <w:rsid w:val="00FA141A"/>
    <w:rsid w:val="00FA1665"/>
    <w:rsid w:val="00FA17B1"/>
    <w:rsid w:val="00FA1A82"/>
    <w:rsid w:val="00FA1B68"/>
    <w:rsid w:val="00FA1B72"/>
    <w:rsid w:val="00FA1C58"/>
    <w:rsid w:val="00FA1D05"/>
    <w:rsid w:val="00FA1D0D"/>
    <w:rsid w:val="00FA1E22"/>
    <w:rsid w:val="00FA1E7A"/>
    <w:rsid w:val="00FA1EA8"/>
    <w:rsid w:val="00FA1EE5"/>
    <w:rsid w:val="00FA1F4F"/>
    <w:rsid w:val="00FA1FFE"/>
    <w:rsid w:val="00FA20D3"/>
    <w:rsid w:val="00FA20EA"/>
    <w:rsid w:val="00FA2176"/>
    <w:rsid w:val="00FA21BE"/>
    <w:rsid w:val="00FA2481"/>
    <w:rsid w:val="00FA2508"/>
    <w:rsid w:val="00FA2525"/>
    <w:rsid w:val="00FA25C0"/>
    <w:rsid w:val="00FA26F0"/>
    <w:rsid w:val="00FA27AF"/>
    <w:rsid w:val="00FA282D"/>
    <w:rsid w:val="00FA285F"/>
    <w:rsid w:val="00FA2870"/>
    <w:rsid w:val="00FA2900"/>
    <w:rsid w:val="00FA2967"/>
    <w:rsid w:val="00FA2A58"/>
    <w:rsid w:val="00FA2A7D"/>
    <w:rsid w:val="00FA2B90"/>
    <w:rsid w:val="00FA2D16"/>
    <w:rsid w:val="00FA2D1A"/>
    <w:rsid w:val="00FA2F15"/>
    <w:rsid w:val="00FA2F48"/>
    <w:rsid w:val="00FA2FD2"/>
    <w:rsid w:val="00FA3018"/>
    <w:rsid w:val="00FA30E4"/>
    <w:rsid w:val="00FA3190"/>
    <w:rsid w:val="00FA33DC"/>
    <w:rsid w:val="00FA34B8"/>
    <w:rsid w:val="00FA34D6"/>
    <w:rsid w:val="00FA3761"/>
    <w:rsid w:val="00FA378E"/>
    <w:rsid w:val="00FA38C8"/>
    <w:rsid w:val="00FA38D1"/>
    <w:rsid w:val="00FA3907"/>
    <w:rsid w:val="00FA39A9"/>
    <w:rsid w:val="00FA39C3"/>
    <w:rsid w:val="00FA3A4E"/>
    <w:rsid w:val="00FA3B9D"/>
    <w:rsid w:val="00FA3C49"/>
    <w:rsid w:val="00FA3C69"/>
    <w:rsid w:val="00FA3C73"/>
    <w:rsid w:val="00FA3D20"/>
    <w:rsid w:val="00FA3D59"/>
    <w:rsid w:val="00FA3D5A"/>
    <w:rsid w:val="00FA3F55"/>
    <w:rsid w:val="00FA40B8"/>
    <w:rsid w:val="00FA41B8"/>
    <w:rsid w:val="00FA43A2"/>
    <w:rsid w:val="00FA43B1"/>
    <w:rsid w:val="00FA4565"/>
    <w:rsid w:val="00FA46F3"/>
    <w:rsid w:val="00FA484A"/>
    <w:rsid w:val="00FA4875"/>
    <w:rsid w:val="00FA48C8"/>
    <w:rsid w:val="00FA48CB"/>
    <w:rsid w:val="00FA48CE"/>
    <w:rsid w:val="00FA49F1"/>
    <w:rsid w:val="00FA4A11"/>
    <w:rsid w:val="00FA4B79"/>
    <w:rsid w:val="00FA4D6B"/>
    <w:rsid w:val="00FA4D74"/>
    <w:rsid w:val="00FA4F1C"/>
    <w:rsid w:val="00FA5049"/>
    <w:rsid w:val="00FA51E9"/>
    <w:rsid w:val="00FA522D"/>
    <w:rsid w:val="00FA534D"/>
    <w:rsid w:val="00FA53B3"/>
    <w:rsid w:val="00FA53DB"/>
    <w:rsid w:val="00FA552A"/>
    <w:rsid w:val="00FA55C1"/>
    <w:rsid w:val="00FA5778"/>
    <w:rsid w:val="00FA5779"/>
    <w:rsid w:val="00FA57A7"/>
    <w:rsid w:val="00FA5882"/>
    <w:rsid w:val="00FA589B"/>
    <w:rsid w:val="00FA59F5"/>
    <w:rsid w:val="00FA5B44"/>
    <w:rsid w:val="00FA5B67"/>
    <w:rsid w:val="00FA5CB9"/>
    <w:rsid w:val="00FA5D4D"/>
    <w:rsid w:val="00FA5D5A"/>
    <w:rsid w:val="00FA5E00"/>
    <w:rsid w:val="00FA5EF0"/>
    <w:rsid w:val="00FA5F96"/>
    <w:rsid w:val="00FA5FEF"/>
    <w:rsid w:val="00FA60B7"/>
    <w:rsid w:val="00FA62EA"/>
    <w:rsid w:val="00FA641D"/>
    <w:rsid w:val="00FA6453"/>
    <w:rsid w:val="00FA6543"/>
    <w:rsid w:val="00FA65C4"/>
    <w:rsid w:val="00FA65FE"/>
    <w:rsid w:val="00FA6799"/>
    <w:rsid w:val="00FA67F9"/>
    <w:rsid w:val="00FA686E"/>
    <w:rsid w:val="00FA689A"/>
    <w:rsid w:val="00FA68A3"/>
    <w:rsid w:val="00FA6989"/>
    <w:rsid w:val="00FA698A"/>
    <w:rsid w:val="00FA69E8"/>
    <w:rsid w:val="00FA6A55"/>
    <w:rsid w:val="00FA6A67"/>
    <w:rsid w:val="00FA6AA6"/>
    <w:rsid w:val="00FA6B9B"/>
    <w:rsid w:val="00FA6DD7"/>
    <w:rsid w:val="00FA6F1F"/>
    <w:rsid w:val="00FA6FE1"/>
    <w:rsid w:val="00FA7149"/>
    <w:rsid w:val="00FA7162"/>
    <w:rsid w:val="00FA719E"/>
    <w:rsid w:val="00FA7218"/>
    <w:rsid w:val="00FA723D"/>
    <w:rsid w:val="00FA7295"/>
    <w:rsid w:val="00FA72B7"/>
    <w:rsid w:val="00FA72C8"/>
    <w:rsid w:val="00FA72EE"/>
    <w:rsid w:val="00FA73D7"/>
    <w:rsid w:val="00FA74D6"/>
    <w:rsid w:val="00FA7551"/>
    <w:rsid w:val="00FA7661"/>
    <w:rsid w:val="00FA7734"/>
    <w:rsid w:val="00FA785A"/>
    <w:rsid w:val="00FA7AE7"/>
    <w:rsid w:val="00FA7C05"/>
    <w:rsid w:val="00FA7D03"/>
    <w:rsid w:val="00FA7D68"/>
    <w:rsid w:val="00FA7DB7"/>
    <w:rsid w:val="00FA7E27"/>
    <w:rsid w:val="00FA7E6E"/>
    <w:rsid w:val="00FB002A"/>
    <w:rsid w:val="00FB01BF"/>
    <w:rsid w:val="00FB0250"/>
    <w:rsid w:val="00FB02BC"/>
    <w:rsid w:val="00FB0321"/>
    <w:rsid w:val="00FB03F8"/>
    <w:rsid w:val="00FB0646"/>
    <w:rsid w:val="00FB0704"/>
    <w:rsid w:val="00FB0933"/>
    <w:rsid w:val="00FB099D"/>
    <w:rsid w:val="00FB0A2B"/>
    <w:rsid w:val="00FB0AD3"/>
    <w:rsid w:val="00FB0B8A"/>
    <w:rsid w:val="00FB0C46"/>
    <w:rsid w:val="00FB0C70"/>
    <w:rsid w:val="00FB0D11"/>
    <w:rsid w:val="00FB0D29"/>
    <w:rsid w:val="00FB0DCE"/>
    <w:rsid w:val="00FB0DDE"/>
    <w:rsid w:val="00FB0EAE"/>
    <w:rsid w:val="00FB0F41"/>
    <w:rsid w:val="00FB0F47"/>
    <w:rsid w:val="00FB0F4F"/>
    <w:rsid w:val="00FB0FC0"/>
    <w:rsid w:val="00FB0FED"/>
    <w:rsid w:val="00FB0FF8"/>
    <w:rsid w:val="00FB10D3"/>
    <w:rsid w:val="00FB10EE"/>
    <w:rsid w:val="00FB1237"/>
    <w:rsid w:val="00FB1254"/>
    <w:rsid w:val="00FB12A4"/>
    <w:rsid w:val="00FB12A8"/>
    <w:rsid w:val="00FB1391"/>
    <w:rsid w:val="00FB1405"/>
    <w:rsid w:val="00FB1536"/>
    <w:rsid w:val="00FB1584"/>
    <w:rsid w:val="00FB1636"/>
    <w:rsid w:val="00FB163B"/>
    <w:rsid w:val="00FB163F"/>
    <w:rsid w:val="00FB17EE"/>
    <w:rsid w:val="00FB191F"/>
    <w:rsid w:val="00FB1A1D"/>
    <w:rsid w:val="00FB1AEE"/>
    <w:rsid w:val="00FB1B54"/>
    <w:rsid w:val="00FB1C17"/>
    <w:rsid w:val="00FB1CF6"/>
    <w:rsid w:val="00FB1D3D"/>
    <w:rsid w:val="00FB1DEB"/>
    <w:rsid w:val="00FB1E4C"/>
    <w:rsid w:val="00FB1F30"/>
    <w:rsid w:val="00FB1F91"/>
    <w:rsid w:val="00FB1FAB"/>
    <w:rsid w:val="00FB1FF8"/>
    <w:rsid w:val="00FB201E"/>
    <w:rsid w:val="00FB2031"/>
    <w:rsid w:val="00FB21F8"/>
    <w:rsid w:val="00FB2286"/>
    <w:rsid w:val="00FB22C9"/>
    <w:rsid w:val="00FB2476"/>
    <w:rsid w:val="00FB24E7"/>
    <w:rsid w:val="00FB26CB"/>
    <w:rsid w:val="00FB27E4"/>
    <w:rsid w:val="00FB27F1"/>
    <w:rsid w:val="00FB2970"/>
    <w:rsid w:val="00FB29A6"/>
    <w:rsid w:val="00FB2A82"/>
    <w:rsid w:val="00FB2C30"/>
    <w:rsid w:val="00FB2C50"/>
    <w:rsid w:val="00FB2C7A"/>
    <w:rsid w:val="00FB2D57"/>
    <w:rsid w:val="00FB2EF2"/>
    <w:rsid w:val="00FB2F10"/>
    <w:rsid w:val="00FB2FF5"/>
    <w:rsid w:val="00FB30B2"/>
    <w:rsid w:val="00FB31C3"/>
    <w:rsid w:val="00FB3202"/>
    <w:rsid w:val="00FB323B"/>
    <w:rsid w:val="00FB324C"/>
    <w:rsid w:val="00FB3361"/>
    <w:rsid w:val="00FB37CE"/>
    <w:rsid w:val="00FB385D"/>
    <w:rsid w:val="00FB3861"/>
    <w:rsid w:val="00FB3949"/>
    <w:rsid w:val="00FB3C19"/>
    <w:rsid w:val="00FB3C89"/>
    <w:rsid w:val="00FB3D74"/>
    <w:rsid w:val="00FB3DD1"/>
    <w:rsid w:val="00FB3E07"/>
    <w:rsid w:val="00FB3E77"/>
    <w:rsid w:val="00FB3EA2"/>
    <w:rsid w:val="00FB3ECE"/>
    <w:rsid w:val="00FB3F04"/>
    <w:rsid w:val="00FB3FC2"/>
    <w:rsid w:val="00FB406B"/>
    <w:rsid w:val="00FB407B"/>
    <w:rsid w:val="00FB40CD"/>
    <w:rsid w:val="00FB41D9"/>
    <w:rsid w:val="00FB435D"/>
    <w:rsid w:val="00FB4402"/>
    <w:rsid w:val="00FB4537"/>
    <w:rsid w:val="00FB4553"/>
    <w:rsid w:val="00FB4567"/>
    <w:rsid w:val="00FB4600"/>
    <w:rsid w:val="00FB4633"/>
    <w:rsid w:val="00FB464D"/>
    <w:rsid w:val="00FB46C3"/>
    <w:rsid w:val="00FB46F7"/>
    <w:rsid w:val="00FB476E"/>
    <w:rsid w:val="00FB47A0"/>
    <w:rsid w:val="00FB4849"/>
    <w:rsid w:val="00FB49F9"/>
    <w:rsid w:val="00FB4AB2"/>
    <w:rsid w:val="00FB4B38"/>
    <w:rsid w:val="00FB4BF2"/>
    <w:rsid w:val="00FB4C77"/>
    <w:rsid w:val="00FB4D0B"/>
    <w:rsid w:val="00FB4D6D"/>
    <w:rsid w:val="00FB4DD7"/>
    <w:rsid w:val="00FB4F65"/>
    <w:rsid w:val="00FB4F73"/>
    <w:rsid w:val="00FB527A"/>
    <w:rsid w:val="00FB5288"/>
    <w:rsid w:val="00FB528B"/>
    <w:rsid w:val="00FB52BC"/>
    <w:rsid w:val="00FB538C"/>
    <w:rsid w:val="00FB553B"/>
    <w:rsid w:val="00FB562C"/>
    <w:rsid w:val="00FB564A"/>
    <w:rsid w:val="00FB57B8"/>
    <w:rsid w:val="00FB57C3"/>
    <w:rsid w:val="00FB587A"/>
    <w:rsid w:val="00FB5981"/>
    <w:rsid w:val="00FB5A56"/>
    <w:rsid w:val="00FB5A6E"/>
    <w:rsid w:val="00FB5BB0"/>
    <w:rsid w:val="00FB5C56"/>
    <w:rsid w:val="00FB5D04"/>
    <w:rsid w:val="00FB5D35"/>
    <w:rsid w:val="00FB6394"/>
    <w:rsid w:val="00FB63CC"/>
    <w:rsid w:val="00FB6445"/>
    <w:rsid w:val="00FB647C"/>
    <w:rsid w:val="00FB6516"/>
    <w:rsid w:val="00FB662F"/>
    <w:rsid w:val="00FB671C"/>
    <w:rsid w:val="00FB67D1"/>
    <w:rsid w:val="00FB684D"/>
    <w:rsid w:val="00FB68A8"/>
    <w:rsid w:val="00FB68E0"/>
    <w:rsid w:val="00FB6948"/>
    <w:rsid w:val="00FB694D"/>
    <w:rsid w:val="00FB6987"/>
    <w:rsid w:val="00FB6A1D"/>
    <w:rsid w:val="00FB6AF0"/>
    <w:rsid w:val="00FB6B50"/>
    <w:rsid w:val="00FB6B6B"/>
    <w:rsid w:val="00FB6C1F"/>
    <w:rsid w:val="00FB6D12"/>
    <w:rsid w:val="00FB6D1C"/>
    <w:rsid w:val="00FB6D9C"/>
    <w:rsid w:val="00FB6DB1"/>
    <w:rsid w:val="00FB6F11"/>
    <w:rsid w:val="00FB701E"/>
    <w:rsid w:val="00FB7027"/>
    <w:rsid w:val="00FB7072"/>
    <w:rsid w:val="00FB717C"/>
    <w:rsid w:val="00FB71A8"/>
    <w:rsid w:val="00FB73C5"/>
    <w:rsid w:val="00FB73F9"/>
    <w:rsid w:val="00FB73FD"/>
    <w:rsid w:val="00FB752B"/>
    <w:rsid w:val="00FB7670"/>
    <w:rsid w:val="00FB7681"/>
    <w:rsid w:val="00FB7769"/>
    <w:rsid w:val="00FB7888"/>
    <w:rsid w:val="00FB78DB"/>
    <w:rsid w:val="00FB7909"/>
    <w:rsid w:val="00FB7BCF"/>
    <w:rsid w:val="00FB7BD8"/>
    <w:rsid w:val="00FB7CD7"/>
    <w:rsid w:val="00FB7D27"/>
    <w:rsid w:val="00FB7D6B"/>
    <w:rsid w:val="00FB7DAD"/>
    <w:rsid w:val="00FB7DF1"/>
    <w:rsid w:val="00FB7F54"/>
    <w:rsid w:val="00FC028B"/>
    <w:rsid w:val="00FC028C"/>
    <w:rsid w:val="00FC02F6"/>
    <w:rsid w:val="00FC0336"/>
    <w:rsid w:val="00FC038A"/>
    <w:rsid w:val="00FC03A3"/>
    <w:rsid w:val="00FC0452"/>
    <w:rsid w:val="00FC04A8"/>
    <w:rsid w:val="00FC04DD"/>
    <w:rsid w:val="00FC04DE"/>
    <w:rsid w:val="00FC0576"/>
    <w:rsid w:val="00FC0831"/>
    <w:rsid w:val="00FC0858"/>
    <w:rsid w:val="00FC0944"/>
    <w:rsid w:val="00FC0946"/>
    <w:rsid w:val="00FC0958"/>
    <w:rsid w:val="00FC099A"/>
    <w:rsid w:val="00FC0A43"/>
    <w:rsid w:val="00FC0A62"/>
    <w:rsid w:val="00FC0AF8"/>
    <w:rsid w:val="00FC0B1F"/>
    <w:rsid w:val="00FC0B5A"/>
    <w:rsid w:val="00FC0B93"/>
    <w:rsid w:val="00FC0B9D"/>
    <w:rsid w:val="00FC0CDA"/>
    <w:rsid w:val="00FC0D21"/>
    <w:rsid w:val="00FC0D2D"/>
    <w:rsid w:val="00FC0DC1"/>
    <w:rsid w:val="00FC0E99"/>
    <w:rsid w:val="00FC0FC8"/>
    <w:rsid w:val="00FC10E4"/>
    <w:rsid w:val="00FC10ED"/>
    <w:rsid w:val="00FC111F"/>
    <w:rsid w:val="00FC113A"/>
    <w:rsid w:val="00FC114A"/>
    <w:rsid w:val="00FC11BA"/>
    <w:rsid w:val="00FC11BE"/>
    <w:rsid w:val="00FC1236"/>
    <w:rsid w:val="00FC1286"/>
    <w:rsid w:val="00FC1389"/>
    <w:rsid w:val="00FC142E"/>
    <w:rsid w:val="00FC1480"/>
    <w:rsid w:val="00FC1642"/>
    <w:rsid w:val="00FC1645"/>
    <w:rsid w:val="00FC169A"/>
    <w:rsid w:val="00FC1837"/>
    <w:rsid w:val="00FC18FC"/>
    <w:rsid w:val="00FC1993"/>
    <w:rsid w:val="00FC19D2"/>
    <w:rsid w:val="00FC19D8"/>
    <w:rsid w:val="00FC1C5A"/>
    <w:rsid w:val="00FC1CEA"/>
    <w:rsid w:val="00FC1D8A"/>
    <w:rsid w:val="00FC1D96"/>
    <w:rsid w:val="00FC1F02"/>
    <w:rsid w:val="00FC1F21"/>
    <w:rsid w:val="00FC1F46"/>
    <w:rsid w:val="00FC1FD0"/>
    <w:rsid w:val="00FC205E"/>
    <w:rsid w:val="00FC20D1"/>
    <w:rsid w:val="00FC2123"/>
    <w:rsid w:val="00FC2171"/>
    <w:rsid w:val="00FC2290"/>
    <w:rsid w:val="00FC241F"/>
    <w:rsid w:val="00FC2443"/>
    <w:rsid w:val="00FC24C1"/>
    <w:rsid w:val="00FC254C"/>
    <w:rsid w:val="00FC258E"/>
    <w:rsid w:val="00FC2594"/>
    <w:rsid w:val="00FC2639"/>
    <w:rsid w:val="00FC272B"/>
    <w:rsid w:val="00FC273A"/>
    <w:rsid w:val="00FC2741"/>
    <w:rsid w:val="00FC27C9"/>
    <w:rsid w:val="00FC28EC"/>
    <w:rsid w:val="00FC28F8"/>
    <w:rsid w:val="00FC291E"/>
    <w:rsid w:val="00FC29A6"/>
    <w:rsid w:val="00FC29D6"/>
    <w:rsid w:val="00FC2A08"/>
    <w:rsid w:val="00FC2A74"/>
    <w:rsid w:val="00FC2AA2"/>
    <w:rsid w:val="00FC2B7E"/>
    <w:rsid w:val="00FC2BB0"/>
    <w:rsid w:val="00FC2BFC"/>
    <w:rsid w:val="00FC2EEF"/>
    <w:rsid w:val="00FC3139"/>
    <w:rsid w:val="00FC3186"/>
    <w:rsid w:val="00FC3208"/>
    <w:rsid w:val="00FC329A"/>
    <w:rsid w:val="00FC32C2"/>
    <w:rsid w:val="00FC3400"/>
    <w:rsid w:val="00FC3409"/>
    <w:rsid w:val="00FC3420"/>
    <w:rsid w:val="00FC375B"/>
    <w:rsid w:val="00FC376F"/>
    <w:rsid w:val="00FC37C0"/>
    <w:rsid w:val="00FC384D"/>
    <w:rsid w:val="00FC3AA6"/>
    <w:rsid w:val="00FC3BA3"/>
    <w:rsid w:val="00FC3BB0"/>
    <w:rsid w:val="00FC3C21"/>
    <w:rsid w:val="00FC3C6F"/>
    <w:rsid w:val="00FC3CC7"/>
    <w:rsid w:val="00FC3D43"/>
    <w:rsid w:val="00FC3D95"/>
    <w:rsid w:val="00FC402C"/>
    <w:rsid w:val="00FC4187"/>
    <w:rsid w:val="00FC42B8"/>
    <w:rsid w:val="00FC4321"/>
    <w:rsid w:val="00FC4396"/>
    <w:rsid w:val="00FC43C4"/>
    <w:rsid w:val="00FC46A9"/>
    <w:rsid w:val="00FC46F0"/>
    <w:rsid w:val="00FC4752"/>
    <w:rsid w:val="00FC4ACF"/>
    <w:rsid w:val="00FC4B0A"/>
    <w:rsid w:val="00FC4BC2"/>
    <w:rsid w:val="00FC4CCE"/>
    <w:rsid w:val="00FC4DA7"/>
    <w:rsid w:val="00FC4EBB"/>
    <w:rsid w:val="00FC4EFE"/>
    <w:rsid w:val="00FC5112"/>
    <w:rsid w:val="00FC5149"/>
    <w:rsid w:val="00FC515E"/>
    <w:rsid w:val="00FC521B"/>
    <w:rsid w:val="00FC532F"/>
    <w:rsid w:val="00FC5333"/>
    <w:rsid w:val="00FC53E4"/>
    <w:rsid w:val="00FC5422"/>
    <w:rsid w:val="00FC5448"/>
    <w:rsid w:val="00FC54B5"/>
    <w:rsid w:val="00FC5527"/>
    <w:rsid w:val="00FC553B"/>
    <w:rsid w:val="00FC55AD"/>
    <w:rsid w:val="00FC571A"/>
    <w:rsid w:val="00FC575F"/>
    <w:rsid w:val="00FC5780"/>
    <w:rsid w:val="00FC57DD"/>
    <w:rsid w:val="00FC597E"/>
    <w:rsid w:val="00FC5B41"/>
    <w:rsid w:val="00FC5B77"/>
    <w:rsid w:val="00FC5DCE"/>
    <w:rsid w:val="00FC5DDB"/>
    <w:rsid w:val="00FC5E53"/>
    <w:rsid w:val="00FC5E57"/>
    <w:rsid w:val="00FC5E9D"/>
    <w:rsid w:val="00FC5EBB"/>
    <w:rsid w:val="00FC5EBC"/>
    <w:rsid w:val="00FC5F77"/>
    <w:rsid w:val="00FC6208"/>
    <w:rsid w:val="00FC63CE"/>
    <w:rsid w:val="00FC64B5"/>
    <w:rsid w:val="00FC663D"/>
    <w:rsid w:val="00FC6727"/>
    <w:rsid w:val="00FC679A"/>
    <w:rsid w:val="00FC67B1"/>
    <w:rsid w:val="00FC67C5"/>
    <w:rsid w:val="00FC680A"/>
    <w:rsid w:val="00FC693F"/>
    <w:rsid w:val="00FC6D95"/>
    <w:rsid w:val="00FC6ECE"/>
    <w:rsid w:val="00FC6EFC"/>
    <w:rsid w:val="00FC6F18"/>
    <w:rsid w:val="00FC6FC1"/>
    <w:rsid w:val="00FC70A0"/>
    <w:rsid w:val="00FC70E3"/>
    <w:rsid w:val="00FC7289"/>
    <w:rsid w:val="00FC72A9"/>
    <w:rsid w:val="00FC73A1"/>
    <w:rsid w:val="00FC740A"/>
    <w:rsid w:val="00FC75BD"/>
    <w:rsid w:val="00FC7ACA"/>
    <w:rsid w:val="00FC7CFE"/>
    <w:rsid w:val="00FC7DC8"/>
    <w:rsid w:val="00FC7E09"/>
    <w:rsid w:val="00FC7E91"/>
    <w:rsid w:val="00FC7EF8"/>
    <w:rsid w:val="00FC7FB3"/>
    <w:rsid w:val="00FD004A"/>
    <w:rsid w:val="00FD029E"/>
    <w:rsid w:val="00FD02B4"/>
    <w:rsid w:val="00FD0332"/>
    <w:rsid w:val="00FD03C4"/>
    <w:rsid w:val="00FD0409"/>
    <w:rsid w:val="00FD041C"/>
    <w:rsid w:val="00FD048E"/>
    <w:rsid w:val="00FD0547"/>
    <w:rsid w:val="00FD059A"/>
    <w:rsid w:val="00FD0616"/>
    <w:rsid w:val="00FD0669"/>
    <w:rsid w:val="00FD0693"/>
    <w:rsid w:val="00FD06E5"/>
    <w:rsid w:val="00FD06E8"/>
    <w:rsid w:val="00FD072F"/>
    <w:rsid w:val="00FD0748"/>
    <w:rsid w:val="00FD077A"/>
    <w:rsid w:val="00FD07F2"/>
    <w:rsid w:val="00FD0927"/>
    <w:rsid w:val="00FD094A"/>
    <w:rsid w:val="00FD0955"/>
    <w:rsid w:val="00FD0A21"/>
    <w:rsid w:val="00FD0A8E"/>
    <w:rsid w:val="00FD0AD1"/>
    <w:rsid w:val="00FD0B46"/>
    <w:rsid w:val="00FD0BDB"/>
    <w:rsid w:val="00FD0DF4"/>
    <w:rsid w:val="00FD0E09"/>
    <w:rsid w:val="00FD0EDA"/>
    <w:rsid w:val="00FD0F8B"/>
    <w:rsid w:val="00FD1262"/>
    <w:rsid w:val="00FD128A"/>
    <w:rsid w:val="00FD12F9"/>
    <w:rsid w:val="00FD148D"/>
    <w:rsid w:val="00FD14E1"/>
    <w:rsid w:val="00FD15ED"/>
    <w:rsid w:val="00FD16B3"/>
    <w:rsid w:val="00FD1858"/>
    <w:rsid w:val="00FD186D"/>
    <w:rsid w:val="00FD18A4"/>
    <w:rsid w:val="00FD1A35"/>
    <w:rsid w:val="00FD1B34"/>
    <w:rsid w:val="00FD1B9A"/>
    <w:rsid w:val="00FD1C02"/>
    <w:rsid w:val="00FD1C9F"/>
    <w:rsid w:val="00FD1D0B"/>
    <w:rsid w:val="00FD1DD4"/>
    <w:rsid w:val="00FD1EDE"/>
    <w:rsid w:val="00FD205C"/>
    <w:rsid w:val="00FD20B3"/>
    <w:rsid w:val="00FD2102"/>
    <w:rsid w:val="00FD2382"/>
    <w:rsid w:val="00FD2497"/>
    <w:rsid w:val="00FD25C7"/>
    <w:rsid w:val="00FD25E0"/>
    <w:rsid w:val="00FD26BA"/>
    <w:rsid w:val="00FD26F2"/>
    <w:rsid w:val="00FD27F5"/>
    <w:rsid w:val="00FD283C"/>
    <w:rsid w:val="00FD28BE"/>
    <w:rsid w:val="00FD29DC"/>
    <w:rsid w:val="00FD2A91"/>
    <w:rsid w:val="00FD2B87"/>
    <w:rsid w:val="00FD2BF7"/>
    <w:rsid w:val="00FD2CD2"/>
    <w:rsid w:val="00FD2D52"/>
    <w:rsid w:val="00FD2DB2"/>
    <w:rsid w:val="00FD2DBB"/>
    <w:rsid w:val="00FD2E15"/>
    <w:rsid w:val="00FD2E4A"/>
    <w:rsid w:val="00FD2E8F"/>
    <w:rsid w:val="00FD2F35"/>
    <w:rsid w:val="00FD303A"/>
    <w:rsid w:val="00FD3093"/>
    <w:rsid w:val="00FD30EC"/>
    <w:rsid w:val="00FD3204"/>
    <w:rsid w:val="00FD3431"/>
    <w:rsid w:val="00FD3492"/>
    <w:rsid w:val="00FD3587"/>
    <w:rsid w:val="00FD36BD"/>
    <w:rsid w:val="00FD382E"/>
    <w:rsid w:val="00FD3840"/>
    <w:rsid w:val="00FD3844"/>
    <w:rsid w:val="00FD3897"/>
    <w:rsid w:val="00FD3950"/>
    <w:rsid w:val="00FD3A71"/>
    <w:rsid w:val="00FD3A86"/>
    <w:rsid w:val="00FD3AA8"/>
    <w:rsid w:val="00FD3BB8"/>
    <w:rsid w:val="00FD3BE3"/>
    <w:rsid w:val="00FD3CB4"/>
    <w:rsid w:val="00FD3D03"/>
    <w:rsid w:val="00FD3DBC"/>
    <w:rsid w:val="00FD3E00"/>
    <w:rsid w:val="00FD3EDA"/>
    <w:rsid w:val="00FD3F33"/>
    <w:rsid w:val="00FD3F66"/>
    <w:rsid w:val="00FD404C"/>
    <w:rsid w:val="00FD412A"/>
    <w:rsid w:val="00FD41DD"/>
    <w:rsid w:val="00FD4253"/>
    <w:rsid w:val="00FD43E0"/>
    <w:rsid w:val="00FD443B"/>
    <w:rsid w:val="00FD449D"/>
    <w:rsid w:val="00FD471E"/>
    <w:rsid w:val="00FD49DE"/>
    <w:rsid w:val="00FD4A03"/>
    <w:rsid w:val="00FD4A23"/>
    <w:rsid w:val="00FD4BA1"/>
    <w:rsid w:val="00FD4BEB"/>
    <w:rsid w:val="00FD4C26"/>
    <w:rsid w:val="00FD4D90"/>
    <w:rsid w:val="00FD4E4E"/>
    <w:rsid w:val="00FD5046"/>
    <w:rsid w:val="00FD5088"/>
    <w:rsid w:val="00FD5292"/>
    <w:rsid w:val="00FD556C"/>
    <w:rsid w:val="00FD56B0"/>
    <w:rsid w:val="00FD57FD"/>
    <w:rsid w:val="00FD5806"/>
    <w:rsid w:val="00FD58A0"/>
    <w:rsid w:val="00FD58F7"/>
    <w:rsid w:val="00FD5926"/>
    <w:rsid w:val="00FD5933"/>
    <w:rsid w:val="00FD5A9A"/>
    <w:rsid w:val="00FD5B6A"/>
    <w:rsid w:val="00FD5B87"/>
    <w:rsid w:val="00FD5C2A"/>
    <w:rsid w:val="00FD5C47"/>
    <w:rsid w:val="00FD5C4C"/>
    <w:rsid w:val="00FD5CC9"/>
    <w:rsid w:val="00FD5CD2"/>
    <w:rsid w:val="00FD5DA4"/>
    <w:rsid w:val="00FD5DD0"/>
    <w:rsid w:val="00FD5F86"/>
    <w:rsid w:val="00FD6004"/>
    <w:rsid w:val="00FD6006"/>
    <w:rsid w:val="00FD6020"/>
    <w:rsid w:val="00FD6074"/>
    <w:rsid w:val="00FD6112"/>
    <w:rsid w:val="00FD6235"/>
    <w:rsid w:val="00FD6262"/>
    <w:rsid w:val="00FD62E3"/>
    <w:rsid w:val="00FD63C2"/>
    <w:rsid w:val="00FD647F"/>
    <w:rsid w:val="00FD64E6"/>
    <w:rsid w:val="00FD64F4"/>
    <w:rsid w:val="00FD6537"/>
    <w:rsid w:val="00FD65B3"/>
    <w:rsid w:val="00FD660C"/>
    <w:rsid w:val="00FD6663"/>
    <w:rsid w:val="00FD666E"/>
    <w:rsid w:val="00FD66D0"/>
    <w:rsid w:val="00FD67A0"/>
    <w:rsid w:val="00FD6844"/>
    <w:rsid w:val="00FD68B4"/>
    <w:rsid w:val="00FD68DA"/>
    <w:rsid w:val="00FD6A49"/>
    <w:rsid w:val="00FD6B1D"/>
    <w:rsid w:val="00FD6C4D"/>
    <w:rsid w:val="00FD6D80"/>
    <w:rsid w:val="00FD6D82"/>
    <w:rsid w:val="00FD6DCA"/>
    <w:rsid w:val="00FD6E19"/>
    <w:rsid w:val="00FD6E2D"/>
    <w:rsid w:val="00FD6E3E"/>
    <w:rsid w:val="00FD6EDE"/>
    <w:rsid w:val="00FD6F96"/>
    <w:rsid w:val="00FD747C"/>
    <w:rsid w:val="00FD7484"/>
    <w:rsid w:val="00FD74C6"/>
    <w:rsid w:val="00FD75D9"/>
    <w:rsid w:val="00FD7684"/>
    <w:rsid w:val="00FD7727"/>
    <w:rsid w:val="00FD7747"/>
    <w:rsid w:val="00FD77F5"/>
    <w:rsid w:val="00FD785F"/>
    <w:rsid w:val="00FD7923"/>
    <w:rsid w:val="00FD7955"/>
    <w:rsid w:val="00FD79CF"/>
    <w:rsid w:val="00FD7A56"/>
    <w:rsid w:val="00FD7BEF"/>
    <w:rsid w:val="00FD7CC9"/>
    <w:rsid w:val="00FD7D57"/>
    <w:rsid w:val="00FD7D98"/>
    <w:rsid w:val="00FD7F9F"/>
    <w:rsid w:val="00FD7FD8"/>
    <w:rsid w:val="00FE0092"/>
    <w:rsid w:val="00FE00C4"/>
    <w:rsid w:val="00FE01E0"/>
    <w:rsid w:val="00FE02E2"/>
    <w:rsid w:val="00FE02FC"/>
    <w:rsid w:val="00FE0408"/>
    <w:rsid w:val="00FE046E"/>
    <w:rsid w:val="00FE04B5"/>
    <w:rsid w:val="00FE0509"/>
    <w:rsid w:val="00FE058C"/>
    <w:rsid w:val="00FE06C2"/>
    <w:rsid w:val="00FE07BD"/>
    <w:rsid w:val="00FE0895"/>
    <w:rsid w:val="00FE08E7"/>
    <w:rsid w:val="00FE0A67"/>
    <w:rsid w:val="00FE0BE4"/>
    <w:rsid w:val="00FE0BFA"/>
    <w:rsid w:val="00FE0CB8"/>
    <w:rsid w:val="00FE0D59"/>
    <w:rsid w:val="00FE0F8D"/>
    <w:rsid w:val="00FE1220"/>
    <w:rsid w:val="00FE123C"/>
    <w:rsid w:val="00FE12E7"/>
    <w:rsid w:val="00FE130E"/>
    <w:rsid w:val="00FE1364"/>
    <w:rsid w:val="00FE14B0"/>
    <w:rsid w:val="00FE1570"/>
    <w:rsid w:val="00FE15F1"/>
    <w:rsid w:val="00FE15F5"/>
    <w:rsid w:val="00FE16BF"/>
    <w:rsid w:val="00FE18A8"/>
    <w:rsid w:val="00FE19B8"/>
    <w:rsid w:val="00FE1AC0"/>
    <w:rsid w:val="00FE1AC2"/>
    <w:rsid w:val="00FE1AE2"/>
    <w:rsid w:val="00FE1B3C"/>
    <w:rsid w:val="00FE1C6C"/>
    <w:rsid w:val="00FE1DD9"/>
    <w:rsid w:val="00FE1EA3"/>
    <w:rsid w:val="00FE1F3B"/>
    <w:rsid w:val="00FE1FD0"/>
    <w:rsid w:val="00FE1FF9"/>
    <w:rsid w:val="00FE211B"/>
    <w:rsid w:val="00FE2178"/>
    <w:rsid w:val="00FE2222"/>
    <w:rsid w:val="00FE22B3"/>
    <w:rsid w:val="00FE22E4"/>
    <w:rsid w:val="00FE2312"/>
    <w:rsid w:val="00FE23A1"/>
    <w:rsid w:val="00FE23E3"/>
    <w:rsid w:val="00FE2580"/>
    <w:rsid w:val="00FE2626"/>
    <w:rsid w:val="00FE2633"/>
    <w:rsid w:val="00FE267E"/>
    <w:rsid w:val="00FE269B"/>
    <w:rsid w:val="00FE26D7"/>
    <w:rsid w:val="00FE27F1"/>
    <w:rsid w:val="00FE2A4F"/>
    <w:rsid w:val="00FE2B7C"/>
    <w:rsid w:val="00FE2C14"/>
    <w:rsid w:val="00FE2CF8"/>
    <w:rsid w:val="00FE2DAD"/>
    <w:rsid w:val="00FE2E18"/>
    <w:rsid w:val="00FE303C"/>
    <w:rsid w:val="00FE3063"/>
    <w:rsid w:val="00FE3179"/>
    <w:rsid w:val="00FE318F"/>
    <w:rsid w:val="00FE319A"/>
    <w:rsid w:val="00FE320D"/>
    <w:rsid w:val="00FE33C8"/>
    <w:rsid w:val="00FE350A"/>
    <w:rsid w:val="00FE35FD"/>
    <w:rsid w:val="00FE38F6"/>
    <w:rsid w:val="00FE38FC"/>
    <w:rsid w:val="00FE39FA"/>
    <w:rsid w:val="00FE3AE6"/>
    <w:rsid w:val="00FE3CFC"/>
    <w:rsid w:val="00FE3D26"/>
    <w:rsid w:val="00FE3DFF"/>
    <w:rsid w:val="00FE3F63"/>
    <w:rsid w:val="00FE3F89"/>
    <w:rsid w:val="00FE40ED"/>
    <w:rsid w:val="00FE41B2"/>
    <w:rsid w:val="00FE41E6"/>
    <w:rsid w:val="00FE42C7"/>
    <w:rsid w:val="00FE435C"/>
    <w:rsid w:val="00FE4395"/>
    <w:rsid w:val="00FE43D0"/>
    <w:rsid w:val="00FE445E"/>
    <w:rsid w:val="00FE44CD"/>
    <w:rsid w:val="00FE44F7"/>
    <w:rsid w:val="00FE45CC"/>
    <w:rsid w:val="00FE4684"/>
    <w:rsid w:val="00FE4742"/>
    <w:rsid w:val="00FE4759"/>
    <w:rsid w:val="00FE4A06"/>
    <w:rsid w:val="00FE4A15"/>
    <w:rsid w:val="00FE4A86"/>
    <w:rsid w:val="00FE4C7B"/>
    <w:rsid w:val="00FE4CAC"/>
    <w:rsid w:val="00FE4DF2"/>
    <w:rsid w:val="00FE4F09"/>
    <w:rsid w:val="00FE4F86"/>
    <w:rsid w:val="00FE4FD5"/>
    <w:rsid w:val="00FE511C"/>
    <w:rsid w:val="00FE51BE"/>
    <w:rsid w:val="00FE51E6"/>
    <w:rsid w:val="00FE526A"/>
    <w:rsid w:val="00FE52A1"/>
    <w:rsid w:val="00FE5345"/>
    <w:rsid w:val="00FE5359"/>
    <w:rsid w:val="00FE539E"/>
    <w:rsid w:val="00FE53C2"/>
    <w:rsid w:val="00FE53FA"/>
    <w:rsid w:val="00FE544C"/>
    <w:rsid w:val="00FE54F7"/>
    <w:rsid w:val="00FE5552"/>
    <w:rsid w:val="00FE56AA"/>
    <w:rsid w:val="00FE56DC"/>
    <w:rsid w:val="00FE57FD"/>
    <w:rsid w:val="00FE588B"/>
    <w:rsid w:val="00FE58FB"/>
    <w:rsid w:val="00FE598C"/>
    <w:rsid w:val="00FE5D44"/>
    <w:rsid w:val="00FE5E76"/>
    <w:rsid w:val="00FE5FBC"/>
    <w:rsid w:val="00FE604D"/>
    <w:rsid w:val="00FE61D8"/>
    <w:rsid w:val="00FE6379"/>
    <w:rsid w:val="00FE6461"/>
    <w:rsid w:val="00FE649F"/>
    <w:rsid w:val="00FE6538"/>
    <w:rsid w:val="00FE65B1"/>
    <w:rsid w:val="00FE65E5"/>
    <w:rsid w:val="00FE6648"/>
    <w:rsid w:val="00FE6719"/>
    <w:rsid w:val="00FE6757"/>
    <w:rsid w:val="00FE675A"/>
    <w:rsid w:val="00FE6853"/>
    <w:rsid w:val="00FE6864"/>
    <w:rsid w:val="00FE68C6"/>
    <w:rsid w:val="00FE68D9"/>
    <w:rsid w:val="00FE6928"/>
    <w:rsid w:val="00FE69BB"/>
    <w:rsid w:val="00FE6A54"/>
    <w:rsid w:val="00FE6AB1"/>
    <w:rsid w:val="00FE6B35"/>
    <w:rsid w:val="00FE6BFE"/>
    <w:rsid w:val="00FE6CF4"/>
    <w:rsid w:val="00FE6D24"/>
    <w:rsid w:val="00FE6E54"/>
    <w:rsid w:val="00FE6E7D"/>
    <w:rsid w:val="00FE6F70"/>
    <w:rsid w:val="00FE6FEA"/>
    <w:rsid w:val="00FE70DB"/>
    <w:rsid w:val="00FE7104"/>
    <w:rsid w:val="00FE7185"/>
    <w:rsid w:val="00FE718B"/>
    <w:rsid w:val="00FE7209"/>
    <w:rsid w:val="00FE72E7"/>
    <w:rsid w:val="00FE7348"/>
    <w:rsid w:val="00FE73C0"/>
    <w:rsid w:val="00FE73C8"/>
    <w:rsid w:val="00FE755D"/>
    <w:rsid w:val="00FE7677"/>
    <w:rsid w:val="00FE775A"/>
    <w:rsid w:val="00FE77AB"/>
    <w:rsid w:val="00FE77E3"/>
    <w:rsid w:val="00FE79FB"/>
    <w:rsid w:val="00FE7AE4"/>
    <w:rsid w:val="00FE7B1B"/>
    <w:rsid w:val="00FE7B2D"/>
    <w:rsid w:val="00FE7BA1"/>
    <w:rsid w:val="00FE7BCB"/>
    <w:rsid w:val="00FE7C71"/>
    <w:rsid w:val="00FE7D58"/>
    <w:rsid w:val="00FE7DA6"/>
    <w:rsid w:val="00FE7DAA"/>
    <w:rsid w:val="00FE7DD8"/>
    <w:rsid w:val="00FF0032"/>
    <w:rsid w:val="00FF007D"/>
    <w:rsid w:val="00FF008D"/>
    <w:rsid w:val="00FF0285"/>
    <w:rsid w:val="00FF046D"/>
    <w:rsid w:val="00FF05DB"/>
    <w:rsid w:val="00FF05FF"/>
    <w:rsid w:val="00FF0613"/>
    <w:rsid w:val="00FF0640"/>
    <w:rsid w:val="00FF0692"/>
    <w:rsid w:val="00FF0756"/>
    <w:rsid w:val="00FF0775"/>
    <w:rsid w:val="00FF094A"/>
    <w:rsid w:val="00FF0A02"/>
    <w:rsid w:val="00FF0A3B"/>
    <w:rsid w:val="00FF0B86"/>
    <w:rsid w:val="00FF0C49"/>
    <w:rsid w:val="00FF0D9D"/>
    <w:rsid w:val="00FF0DCE"/>
    <w:rsid w:val="00FF0F04"/>
    <w:rsid w:val="00FF0F30"/>
    <w:rsid w:val="00FF1145"/>
    <w:rsid w:val="00FF1193"/>
    <w:rsid w:val="00FF12D0"/>
    <w:rsid w:val="00FF135C"/>
    <w:rsid w:val="00FF13C9"/>
    <w:rsid w:val="00FF1410"/>
    <w:rsid w:val="00FF1471"/>
    <w:rsid w:val="00FF1649"/>
    <w:rsid w:val="00FF1652"/>
    <w:rsid w:val="00FF1740"/>
    <w:rsid w:val="00FF18EB"/>
    <w:rsid w:val="00FF19DD"/>
    <w:rsid w:val="00FF19E9"/>
    <w:rsid w:val="00FF1AC8"/>
    <w:rsid w:val="00FF1AD4"/>
    <w:rsid w:val="00FF1B44"/>
    <w:rsid w:val="00FF1B7B"/>
    <w:rsid w:val="00FF1D8A"/>
    <w:rsid w:val="00FF1ED8"/>
    <w:rsid w:val="00FF1F3D"/>
    <w:rsid w:val="00FF21AB"/>
    <w:rsid w:val="00FF2254"/>
    <w:rsid w:val="00FF24DA"/>
    <w:rsid w:val="00FF24F5"/>
    <w:rsid w:val="00FF24F7"/>
    <w:rsid w:val="00FF2520"/>
    <w:rsid w:val="00FF2546"/>
    <w:rsid w:val="00FF25A6"/>
    <w:rsid w:val="00FF26D8"/>
    <w:rsid w:val="00FF2723"/>
    <w:rsid w:val="00FF283D"/>
    <w:rsid w:val="00FF2881"/>
    <w:rsid w:val="00FF2932"/>
    <w:rsid w:val="00FF2BBA"/>
    <w:rsid w:val="00FF2C45"/>
    <w:rsid w:val="00FF2D20"/>
    <w:rsid w:val="00FF2D3B"/>
    <w:rsid w:val="00FF2DA7"/>
    <w:rsid w:val="00FF2DFC"/>
    <w:rsid w:val="00FF2F91"/>
    <w:rsid w:val="00FF3039"/>
    <w:rsid w:val="00FF3088"/>
    <w:rsid w:val="00FF310F"/>
    <w:rsid w:val="00FF3190"/>
    <w:rsid w:val="00FF31D6"/>
    <w:rsid w:val="00FF31FE"/>
    <w:rsid w:val="00FF3232"/>
    <w:rsid w:val="00FF3292"/>
    <w:rsid w:val="00FF340A"/>
    <w:rsid w:val="00FF3419"/>
    <w:rsid w:val="00FF341B"/>
    <w:rsid w:val="00FF3481"/>
    <w:rsid w:val="00FF35C6"/>
    <w:rsid w:val="00FF36C1"/>
    <w:rsid w:val="00FF371C"/>
    <w:rsid w:val="00FF3775"/>
    <w:rsid w:val="00FF390E"/>
    <w:rsid w:val="00FF3933"/>
    <w:rsid w:val="00FF3949"/>
    <w:rsid w:val="00FF3AF4"/>
    <w:rsid w:val="00FF3B94"/>
    <w:rsid w:val="00FF3C54"/>
    <w:rsid w:val="00FF3CB6"/>
    <w:rsid w:val="00FF3D53"/>
    <w:rsid w:val="00FF3DA3"/>
    <w:rsid w:val="00FF3E0E"/>
    <w:rsid w:val="00FF3E24"/>
    <w:rsid w:val="00FF3F37"/>
    <w:rsid w:val="00FF3F3B"/>
    <w:rsid w:val="00FF4072"/>
    <w:rsid w:val="00FF40D2"/>
    <w:rsid w:val="00FF4237"/>
    <w:rsid w:val="00FF4243"/>
    <w:rsid w:val="00FF42DE"/>
    <w:rsid w:val="00FF42FC"/>
    <w:rsid w:val="00FF4380"/>
    <w:rsid w:val="00FF448B"/>
    <w:rsid w:val="00FF450E"/>
    <w:rsid w:val="00FF45B5"/>
    <w:rsid w:val="00FF45BA"/>
    <w:rsid w:val="00FF4877"/>
    <w:rsid w:val="00FF48C1"/>
    <w:rsid w:val="00FF499B"/>
    <w:rsid w:val="00FF49C8"/>
    <w:rsid w:val="00FF49EB"/>
    <w:rsid w:val="00FF4AD5"/>
    <w:rsid w:val="00FF4BF8"/>
    <w:rsid w:val="00FF4E45"/>
    <w:rsid w:val="00FF4E4A"/>
    <w:rsid w:val="00FF4EBD"/>
    <w:rsid w:val="00FF4FA3"/>
    <w:rsid w:val="00FF5089"/>
    <w:rsid w:val="00FF518B"/>
    <w:rsid w:val="00FF51EA"/>
    <w:rsid w:val="00FF52A3"/>
    <w:rsid w:val="00FF53F6"/>
    <w:rsid w:val="00FF54B7"/>
    <w:rsid w:val="00FF54BF"/>
    <w:rsid w:val="00FF5527"/>
    <w:rsid w:val="00FF56C3"/>
    <w:rsid w:val="00FF56FD"/>
    <w:rsid w:val="00FF578F"/>
    <w:rsid w:val="00FF57A6"/>
    <w:rsid w:val="00FF57A8"/>
    <w:rsid w:val="00FF5894"/>
    <w:rsid w:val="00FF58E4"/>
    <w:rsid w:val="00FF5999"/>
    <w:rsid w:val="00FF5A4F"/>
    <w:rsid w:val="00FF5ACA"/>
    <w:rsid w:val="00FF5AFB"/>
    <w:rsid w:val="00FF5B7C"/>
    <w:rsid w:val="00FF5C13"/>
    <w:rsid w:val="00FF5C31"/>
    <w:rsid w:val="00FF5C37"/>
    <w:rsid w:val="00FF5CD3"/>
    <w:rsid w:val="00FF5DEC"/>
    <w:rsid w:val="00FF5E45"/>
    <w:rsid w:val="00FF60C3"/>
    <w:rsid w:val="00FF623F"/>
    <w:rsid w:val="00FF627B"/>
    <w:rsid w:val="00FF6283"/>
    <w:rsid w:val="00FF62D5"/>
    <w:rsid w:val="00FF6346"/>
    <w:rsid w:val="00FF642A"/>
    <w:rsid w:val="00FF67B3"/>
    <w:rsid w:val="00FF68EC"/>
    <w:rsid w:val="00FF69C0"/>
    <w:rsid w:val="00FF69C5"/>
    <w:rsid w:val="00FF69FA"/>
    <w:rsid w:val="00FF6A73"/>
    <w:rsid w:val="00FF6A9E"/>
    <w:rsid w:val="00FF6AAE"/>
    <w:rsid w:val="00FF6B24"/>
    <w:rsid w:val="00FF6BC0"/>
    <w:rsid w:val="00FF6BCA"/>
    <w:rsid w:val="00FF6D11"/>
    <w:rsid w:val="00FF6D82"/>
    <w:rsid w:val="00FF6DFF"/>
    <w:rsid w:val="00FF6F25"/>
    <w:rsid w:val="00FF6F48"/>
    <w:rsid w:val="00FF6FA1"/>
    <w:rsid w:val="00FF7067"/>
    <w:rsid w:val="00FF70A1"/>
    <w:rsid w:val="00FF70B5"/>
    <w:rsid w:val="00FF733C"/>
    <w:rsid w:val="00FF753C"/>
    <w:rsid w:val="00FF7609"/>
    <w:rsid w:val="00FF764D"/>
    <w:rsid w:val="00FF7782"/>
    <w:rsid w:val="00FF7830"/>
    <w:rsid w:val="00FF7956"/>
    <w:rsid w:val="00FF7961"/>
    <w:rsid w:val="00FF7ADD"/>
    <w:rsid w:val="00FF7B37"/>
    <w:rsid w:val="00FF7C0A"/>
    <w:rsid w:val="00FF7C61"/>
    <w:rsid w:val="00FF7D55"/>
    <w:rsid w:val="00FF7D67"/>
    <w:rsid w:val="00FF7D6B"/>
    <w:rsid w:val="00FF7DBE"/>
    <w:rsid w:val="00FF7E32"/>
    <w:rsid w:val="00FF7E35"/>
    <w:rsid w:val="00FF7EB6"/>
    <w:rsid w:val="00FF7F14"/>
    <w:rsid w:val="0101A516"/>
    <w:rsid w:val="0104D7A7"/>
    <w:rsid w:val="010C0AEF"/>
    <w:rsid w:val="010EAA52"/>
    <w:rsid w:val="0113878E"/>
    <w:rsid w:val="0114B814"/>
    <w:rsid w:val="011BC79F"/>
    <w:rsid w:val="011D8384"/>
    <w:rsid w:val="01211690"/>
    <w:rsid w:val="0122B62B"/>
    <w:rsid w:val="012A54ED"/>
    <w:rsid w:val="012D52EE"/>
    <w:rsid w:val="012ED5CC"/>
    <w:rsid w:val="012EDE83"/>
    <w:rsid w:val="0135D74E"/>
    <w:rsid w:val="0139C49A"/>
    <w:rsid w:val="01434CA5"/>
    <w:rsid w:val="01449AF9"/>
    <w:rsid w:val="014EDBC8"/>
    <w:rsid w:val="0155327F"/>
    <w:rsid w:val="0156833F"/>
    <w:rsid w:val="0156847C"/>
    <w:rsid w:val="015B4E51"/>
    <w:rsid w:val="015C8F9F"/>
    <w:rsid w:val="01659092"/>
    <w:rsid w:val="0166FAE3"/>
    <w:rsid w:val="016BFA76"/>
    <w:rsid w:val="016E9486"/>
    <w:rsid w:val="0170F782"/>
    <w:rsid w:val="017BB67B"/>
    <w:rsid w:val="0181FCF6"/>
    <w:rsid w:val="0192FDF3"/>
    <w:rsid w:val="019925DD"/>
    <w:rsid w:val="019FEA0A"/>
    <w:rsid w:val="01A28326"/>
    <w:rsid w:val="01ACEEEC"/>
    <w:rsid w:val="01B3A4A6"/>
    <w:rsid w:val="01C031B4"/>
    <w:rsid w:val="01C91DF6"/>
    <w:rsid w:val="01D22881"/>
    <w:rsid w:val="01D4940D"/>
    <w:rsid w:val="01D7D93B"/>
    <w:rsid w:val="01E46F46"/>
    <w:rsid w:val="01EA9F69"/>
    <w:rsid w:val="01EE4E5D"/>
    <w:rsid w:val="0208FED3"/>
    <w:rsid w:val="020A189C"/>
    <w:rsid w:val="020B2437"/>
    <w:rsid w:val="021BE31C"/>
    <w:rsid w:val="021DFA96"/>
    <w:rsid w:val="0220955F"/>
    <w:rsid w:val="02223856"/>
    <w:rsid w:val="0234566C"/>
    <w:rsid w:val="02494ED4"/>
    <w:rsid w:val="0252DC78"/>
    <w:rsid w:val="02534503"/>
    <w:rsid w:val="0258C528"/>
    <w:rsid w:val="025B9DBD"/>
    <w:rsid w:val="02637FB9"/>
    <w:rsid w:val="0263E2C0"/>
    <w:rsid w:val="0265573F"/>
    <w:rsid w:val="026791FB"/>
    <w:rsid w:val="0267A445"/>
    <w:rsid w:val="026DA036"/>
    <w:rsid w:val="0274896B"/>
    <w:rsid w:val="027DFC41"/>
    <w:rsid w:val="027F8835"/>
    <w:rsid w:val="02866B3E"/>
    <w:rsid w:val="02894D2B"/>
    <w:rsid w:val="02901EC1"/>
    <w:rsid w:val="02938086"/>
    <w:rsid w:val="0294C4F5"/>
    <w:rsid w:val="02BC73C1"/>
    <w:rsid w:val="02BE993E"/>
    <w:rsid w:val="02C106BD"/>
    <w:rsid w:val="02C6466D"/>
    <w:rsid w:val="02C9D2A4"/>
    <w:rsid w:val="02D2E14C"/>
    <w:rsid w:val="02D3B271"/>
    <w:rsid w:val="02D63845"/>
    <w:rsid w:val="02D7C3BF"/>
    <w:rsid w:val="02DD93C3"/>
    <w:rsid w:val="02DF35F5"/>
    <w:rsid w:val="02F2399B"/>
    <w:rsid w:val="02F5A716"/>
    <w:rsid w:val="02F5F965"/>
    <w:rsid w:val="02F9A2D3"/>
    <w:rsid w:val="02FB57E0"/>
    <w:rsid w:val="02FE107E"/>
    <w:rsid w:val="0302B595"/>
    <w:rsid w:val="0308E657"/>
    <w:rsid w:val="03099C01"/>
    <w:rsid w:val="030A4DB6"/>
    <w:rsid w:val="031DBBD1"/>
    <w:rsid w:val="032D0F87"/>
    <w:rsid w:val="03306492"/>
    <w:rsid w:val="03380705"/>
    <w:rsid w:val="034567ED"/>
    <w:rsid w:val="03493EDE"/>
    <w:rsid w:val="03548C96"/>
    <w:rsid w:val="035C6DDD"/>
    <w:rsid w:val="036B1113"/>
    <w:rsid w:val="0375730C"/>
    <w:rsid w:val="037666A5"/>
    <w:rsid w:val="037B6637"/>
    <w:rsid w:val="037B831B"/>
    <w:rsid w:val="03801281"/>
    <w:rsid w:val="0386AEF9"/>
    <w:rsid w:val="039280ED"/>
    <w:rsid w:val="039336EC"/>
    <w:rsid w:val="039507F4"/>
    <w:rsid w:val="0398ECB3"/>
    <w:rsid w:val="0399E683"/>
    <w:rsid w:val="03A46086"/>
    <w:rsid w:val="03A86A1F"/>
    <w:rsid w:val="03BAC04B"/>
    <w:rsid w:val="03C52E87"/>
    <w:rsid w:val="03CA3251"/>
    <w:rsid w:val="03CC1F14"/>
    <w:rsid w:val="03D56CEA"/>
    <w:rsid w:val="03DE1EB3"/>
    <w:rsid w:val="03E23B75"/>
    <w:rsid w:val="03EF22E1"/>
    <w:rsid w:val="03F29AA5"/>
    <w:rsid w:val="03F5101B"/>
    <w:rsid w:val="0400999D"/>
    <w:rsid w:val="04037B36"/>
    <w:rsid w:val="040424DF"/>
    <w:rsid w:val="04081B94"/>
    <w:rsid w:val="040E606B"/>
    <w:rsid w:val="04197CE7"/>
    <w:rsid w:val="041D9234"/>
    <w:rsid w:val="041D939C"/>
    <w:rsid w:val="041D9A44"/>
    <w:rsid w:val="0427246C"/>
    <w:rsid w:val="04273017"/>
    <w:rsid w:val="042B360D"/>
    <w:rsid w:val="042DFAB6"/>
    <w:rsid w:val="042ED404"/>
    <w:rsid w:val="0433158E"/>
    <w:rsid w:val="04351AA6"/>
    <w:rsid w:val="0435F61C"/>
    <w:rsid w:val="0436DF98"/>
    <w:rsid w:val="04379C71"/>
    <w:rsid w:val="043FC8E7"/>
    <w:rsid w:val="0441D355"/>
    <w:rsid w:val="04482119"/>
    <w:rsid w:val="0448C4A9"/>
    <w:rsid w:val="044AFBD4"/>
    <w:rsid w:val="044B6119"/>
    <w:rsid w:val="044D9E1A"/>
    <w:rsid w:val="044F2C74"/>
    <w:rsid w:val="0459ED90"/>
    <w:rsid w:val="045FBFF3"/>
    <w:rsid w:val="0464BFBF"/>
    <w:rsid w:val="04658830"/>
    <w:rsid w:val="046B37F3"/>
    <w:rsid w:val="04720AB9"/>
    <w:rsid w:val="0473A076"/>
    <w:rsid w:val="0477E45D"/>
    <w:rsid w:val="04781403"/>
    <w:rsid w:val="047ACEAC"/>
    <w:rsid w:val="047B24A3"/>
    <w:rsid w:val="047F63AD"/>
    <w:rsid w:val="047F930B"/>
    <w:rsid w:val="048AF392"/>
    <w:rsid w:val="048E0742"/>
    <w:rsid w:val="048F4543"/>
    <w:rsid w:val="0494F58F"/>
    <w:rsid w:val="049572D2"/>
    <w:rsid w:val="04A3122F"/>
    <w:rsid w:val="04A51EDD"/>
    <w:rsid w:val="04A8A8A5"/>
    <w:rsid w:val="04A91F82"/>
    <w:rsid w:val="04A99B71"/>
    <w:rsid w:val="04AD3B1B"/>
    <w:rsid w:val="04AE2323"/>
    <w:rsid w:val="04AFBD5E"/>
    <w:rsid w:val="04B2545F"/>
    <w:rsid w:val="04BE0198"/>
    <w:rsid w:val="04CCDF0F"/>
    <w:rsid w:val="04D3CE86"/>
    <w:rsid w:val="04D4CF9E"/>
    <w:rsid w:val="04D558CA"/>
    <w:rsid w:val="04D6167B"/>
    <w:rsid w:val="04DC9447"/>
    <w:rsid w:val="04EA3E23"/>
    <w:rsid w:val="04EFEC97"/>
    <w:rsid w:val="05025B84"/>
    <w:rsid w:val="05057A6E"/>
    <w:rsid w:val="0508092B"/>
    <w:rsid w:val="050A8F6F"/>
    <w:rsid w:val="050C3FAE"/>
    <w:rsid w:val="0510C514"/>
    <w:rsid w:val="051954E7"/>
    <w:rsid w:val="0527C228"/>
    <w:rsid w:val="052C1C29"/>
    <w:rsid w:val="052EC97C"/>
    <w:rsid w:val="052F5B7C"/>
    <w:rsid w:val="054587CE"/>
    <w:rsid w:val="0547BFC7"/>
    <w:rsid w:val="0549F170"/>
    <w:rsid w:val="05508FC1"/>
    <w:rsid w:val="055A917C"/>
    <w:rsid w:val="0562E93F"/>
    <w:rsid w:val="056544DE"/>
    <w:rsid w:val="0574B73D"/>
    <w:rsid w:val="0576AAED"/>
    <w:rsid w:val="057FD8D2"/>
    <w:rsid w:val="058337B3"/>
    <w:rsid w:val="05888AA4"/>
    <w:rsid w:val="058B3382"/>
    <w:rsid w:val="059043E7"/>
    <w:rsid w:val="05956F2C"/>
    <w:rsid w:val="05985A64"/>
    <w:rsid w:val="059B02F4"/>
    <w:rsid w:val="05A008FE"/>
    <w:rsid w:val="05A111D1"/>
    <w:rsid w:val="05A8D5E6"/>
    <w:rsid w:val="05AB3E6C"/>
    <w:rsid w:val="05B4AB7C"/>
    <w:rsid w:val="05B5327F"/>
    <w:rsid w:val="05BF0799"/>
    <w:rsid w:val="05BFDE2A"/>
    <w:rsid w:val="05C2E865"/>
    <w:rsid w:val="05D41E44"/>
    <w:rsid w:val="05D5A482"/>
    <w:rsid w:val="05E6AFDD"/>
    <w:rsid w:val="05E9E033"/>
    <w:rsid w:val="05EF220E"/>
    <w:rsid w:val="05F1B32B"/>
    <w:rsid w:val="05FDCF7F"/>
    <w:rsid w:val="06071E3D"/>
    <w:rsid w:val="062C7DDF"/>
    <w:rsid w:val="062EF718"/>
    <w:rsid w:val="063213DB"/>
    <w:rsid w:val="06351932"/>
    <w:rsid w:val="06368072"/>
    <w:rsid w:val="063F08B2"/>
    <w:rsid w:val="0642B686"/>
    <w:rsid w:val="0642B75A"/>
    <w:rsid w:val="0642DFC0"/>
    <w:rsid w:val="06463F8A"/>
    <w:rsid w:val="064F4BE8"/>
    <w:rsid w:val="06586540"/>
    <w:rsid w:val="06594FB8"/>
    <w:rsid w:val="065A2D51"/>
    <w:rsid w:val="065B5B5B"/>
    <w:rsid w:val="065BF197"/>
    <w:rsid w:val="065C41BD"/>
    <w:rsid w:val="066526F9"/>
    <w:rsid w:val="0671C638"/>
    <w:rsid w:val="068C045D"/>
    <w:rsid w:val="06907895"/>
    <w:rsid w:val="0691AC57"/>
    <w:rsid w:val="06A6E6C9"/>
    <w:rsid w:val="06AF1830"/>
    <w:rsid w:val="06B024EF"/>
    <w:rsid w:val="06B5A3D3"/>
    <w:rsid w:val="06B82078"/>
    <w:rsid w:val="06BAB37D"/>
    <w:rsid w:val="06C2AF90"/>
    <w:rsid w:val="06C8C43B"/>
    <w:rsid w:val="06C98E22"/>
    <w:rsid w:val="06CA12D6"/>
    <w:rsid w:val="06CD60A5"/>
    <w:rsid w:val="06D18DF0"/>
    <w:rsid w:val="06DC7961"/>
    <w:rsid w:val="06DD8304"/>
    <w:rsid w:val="06E1B670"/>
    <w:rsid w:val="06E3B45D"/>
    <w:rsid w:val="06ECA430"/>
    <w:rsid w:val="06F05ECE"/>
    <w:rsid w:val="06F27F8A"/>
    <w:rsid w:val="06F7DBF6"/>
    <w:rsid w:val="06FB212E"/>
    <w:rsid w:val="0701D2AB"/>
    <w:rsid w:val="070C18BA"/>
    <w:rsid w:val="071B1F74"/>
    <w:rsid w:val="071DA9F9"/>
    <w:rsid w:val="0726DC6F"/>
    <w:rsid w:val="072DC465"/>
    <w:rsid w:val="073880D6"/>
    <w:rsid w:val="0738C90D"/>
    <w:rsid w:val="073B907E"/>
    <w:rsid w:val="073F8A49"/>
    <w:rsid w:val="07434C05"/>
    <w:rsid w:val="0759D34B"/>
    <w:rsid w:val="075A16E7"/>
    <w:rsid w:val="075ADC3F"/>
    <w:rsid w:val="075BDCBE"/>
    <w:rsid w:val="0766BCA0"/>
    <w:rsid w:val="076CFF10"/>
    <w:rsid w:val="076E49D6"/>
    <w:rsid w:val="0771BF02"/>
    <w:rsid w:val="0772EAA0"/>
    <w:rsid w:val="0777C838"/>
    <w:rsid w:val="07796EB5"/>
    <w:rsid w:val="077AC45F"/>
    <w:rsid w:val="077B69CF"/>
    <w:rsid w:val="07829226"/>
    <w:rsid w:val="0782925A"/>
    <w:rsid w:val="078B0519"/>
    <w:rsid w:val="078B0FC1"/>
    <w:rsid w:val="078D120F"/>
    <w:rsid w:val="07913EF5"/>
    <w:rsid w:val="0792B158"/>
    <w:rsid w:val="0794D4FB"/>
    <w:rsid w:val="0798381C"/>
    <w:rsid w:val="079CA0D6"/>
    <w:rsid w:val="07A039D4"/>
    <w:rsid w:val="07A58006"/>
    <w:rsid w:val="07A5B9EB"/>
    <w:rsid w:val="07A6BA1A"/>
    <w:rsid w:val="07B1BF5F"/>
    <w:rsid w:val="07B77219"/>
    <w:rsid w:val="07B9F287"/>
    <w:rsid w:val="07C3A0B0"/>
    <w:rsid w:val="07CA80E3"/>
    <w:rsid w:val="07D0DE84"/>
    <w:rsid w:val="07D208B8"/>
    <w:rsid w:val="07D2B147"/>
    <w:rsid w:val="07D93065"/>
    <w:rsid w:val="07DCC0E4"/>
    <w:rsid w:val="07DEA595"/>
    <w:rsid w:val="07DF16C6"/>
    <w:rsid w:val="07E15A6E"/>
    <w:rsid w:val="07E3F62D"/>
    <w:rsid w:val="07E46211"/>
    <w:rsid w:val="07E9C11E"/>
    <w:rsid w:val="07EE04C2"/>
    <w:rsid w:val="08043241"/>
    <w:rsid w:val="0804E7D2"/>
    <w:rsid w:val="080743E9"/>
    <w:rsid w:val="080C6B49"/>
    <w:rsid w:val="080CB5DC"/>
    <w:rsid w:val="08116FDF"/>
    <w:rsid w:val="0811FCD5"/>
    <w:rsid w:val="081508EE"/>
    <w:rsid w:val="081A32A9"/>
    <w:rsid w:val="082063FF"/>
    <w:rsid w:val="0820EC37"/>
    <w:rsid w:val="0822BF32"/>
    <w:rsid w:val="08230E0B"/>
    <w:rsid w:val="0823D5C1"/>
    <w:rsid w:val="0829F4FE"/>
    <w:rsid w:val="082B35A6"/>
    <w:rsid w:val="082E3810"/>
    <w:rsid w:val="082FE7D0"/>
    <w:rsid w:val="0832DACC"/>
    <w:rsid w:val="08354CEF"/>
    <w:rsid w:val="083625ED"/>
    <w:rsid w:val="08426544"/>
    <w:rsid w:val="0845154E"/>
    <w:rsid w:val="0850B5B8"/>
    <w:rsid w:val="08540FCA"/>
    <w:rsid w:val="0855C4BC"/>
    <w:rsid w:val="0857DD3B"/>
    <w:rsid w:val="086873B6"/>
    <w:rsid w:val="0883FA9B"/>
    <w:rsid w:val="08851B3C"/>
    <w:rsid w:val="088CA33D"/>
    <w:rsid w:val="088DCF43"/>
    <w:rsid w:val="08938088"/>
    <w:rsid w:val="089BDE96"/>
    <w:rsid w:val="089D8A32"/>
    <w:rsid w:val="089EC6B1"/>
    <w:rsid w:val="08B1BB91"/>
    <w:rsid w:val="08B1DD6E"/>
    <w:rsid w:val="08B9C61D"/>
    <w:rsid w:val="08CA5AA4"/>
    <w:rsid w:val="08CC205E"/>
    <w:rsid w:val="08E2ECB1"/>
    <w:rsid w:val="08E33E56"/>
    <w:rsid w:val="08E9B653"/>
    <w:rsid w:val="08EA74AA"/>
    <w:rsid w:val="08EA8DF3"/>
    <w:rsid w:val="08EBB4EE"/>
    <w:rsid w:val="08EC18F9"/>
    <w:rsid w:val="08EE1165"/>
    <w:rsid w:val="08EED8D9"/>
    <w:rsid w:val="08F340C4"/>
    <w:rsid w:val="08F43C7E"/>
    <w:rsid w:val="08F4E86A"/>
    <w:rsid w:val="08F50086"/>
    <w:rsid w:val="08F81E7D"/>
    <w:rsid w:val="08FB2CF7"/>
    <w:rsid w:val="0900792A"/>
    <w:rsid w:val="090123CD"/>
    <w:rsid w:val="0901328D"/>
    <w:rsid w:val="09058EF1"/>
    <w:rsid w:val="090595E7"/>
    <w:rsid w:val="090607B9"/>
    <w:rsid w:val="091833A1"/>
    <w:rsid w:val="091E33C7"/>
    <w:rsid w:val="09220BA1"/>
    <w:rsid w:val="09281827"/>
    <w:rsid w:val="093085F0"/>
    <w:rsid w:val="0933D854"/>
    <w:rsid w:val="093D9226"/>
    <w:rsid w:val="094196EA"/>
    <w:rsid w:val="0943509E"/>
    <w:rsid w:val="094738D1"/>
    <w:rsid w:val="09477436"/>
    <w:rsid w:val="094B2F09"/>
    <w:rsid w:val="094C6DF4"/>
    <w:rsid w:val="094EAF2A"/>
    <w:rsid w:val="09500CE6"/>
    <w:rsid w:val="0956A7A3"/>
    <w:rsid w:val="0957AE71"/>
    <w:rsid w:val="096989E5"/>
    <w:rsid w:val="0970C02F"/>
    <w:rsid w:val="09716DCB"/>
    <w:rsid w:val="097182EC"/>
    <w:rsid w:val="09762CE6"/>
    <w:rsid w:val="097C85C1"/>
    <w:rsid w:val="097ED7D8"/>
    <w:rsid w:val="0980BC9B"/>
    <w:rsid w:val="0981E8AF"/>
    <w:rsid w:val="098865D3"/>
    <w:rsid w:val="098B53CE"/>
    <w:rsid w:val="098F2CE6"/>
    <w:rsid w:val="0994FF27"/>
    <w:rsid w:val="099A7D04"/>
    <w:rsid w:val="09A63AE8"/>
    <w:rsid w:val="09B94F3E"/>
    <w:rsid w:val="09C0608D"/>
    <w:rsid w:val="09C4714C"/>
    <w:rsid w:val="09CFDC88"/>
    <w:rsid w:val="09DCA899"/>
    <w:rsid w:val="09DDC1AC"/>
    <w:rsid w:val="09DDC85E"/>
    <w:rsid w:val="09E6EF36"/>
    <w:rsid w:val="09F72741"/>
    <w:rsid w:val="09FFCDA8"/>
    <w:rsid w:val="0A015974"/>
    <w:rsid w:val="0A0689D2"/>
    <w:rsid w:val="0A083E4D"/>
    <w:rsid w:val="0A08EE74"/>
    <w:rsid w:val="0A0D995A"/>
    <w:rsid w:val="0A18D1D4"/>
    <w:rsid w:val="0A23994C"/>
    <w:rsid w:val="0A24F777"/>
    <w:rsid w:val="0A2C95E5"/>
    <w:rsid w:val="0A354EA7"/>
    <w:rsid w:val="0A41103B"/>
    <w:rsid w:val="0A43910F"/>
    <w:rsid w:val="0A43E9C0"/>
    <w:rsid w:val="0A472060"/>
    <w:rsid w:val="0A4D8E0A"/>
    <w:rsid w:val="0A4F34A3"/>
    <w:rsid w:val="0A568993"/>
    <w:rsid w:val="0A5932AF"/>
    <w:rsid w:val="0A5D7E29"/>
    <w:rsid w:val="0A5F3994"/>
    <w:rsid w:val="0A6D2357"/>
    <w:rsid w:val="0A6DBEBD"/>
    <w:rsid w:val="0A6F1F10"/>
    <w:rsid w:val="0A83D0DB"/>
    <w:rsid w:val="0A86E9FE"/>
    <w:rsid w:val="0A97605E"/>
    <w:rsid w:val="0A9A628E"/>
    <w:rsid w:val="0AA09B5B"/>
    <w:rsid w:val="0AA39865"/>
    <w:rsid w:val="0AA995E2"/>
    <w:rsid w:val="0AAECDA4"/>
    <w:rsid w:val="0ABFD30E"/>
    <w:rsid w:val="0AC4109A"/>
    <w:rsid w:val="0AC999AA"/>
    <w:rsid w:val="0AD35147"/>
    <w:rsid w:val="0AD4798F"/>
    <w:rsid w:val="0AD8402B"/>
    <w:rsid w:val="0AE07F4D"/>
    <w:rsid w:val="0AE31D56"/>
    <w:rsid w:val="0AEAE66B"/>
    <w:rsid w:val="0AEE6429"/>
    <w:rsid w:val="0AF341F1"/>
    <w:rsid w:val="0AF3DB8A"/>
    <w:rsid w:val="0AFAC16E"/>
    <w:rsid w:val="0AFB4891"/>
    <w:rsid w:val="0B00B71A"/>
    <w:rsid w:val="0B02C728"/>
    <w:rsid w:val="0B07791E"/>
    <w:rsid w:val="0B098CD3"/>
    <w:rsid w:val="0B0AEC5B"/>
    <w:rsid w:val="0B0C6E39"/>
    <w:rsid w:val="0B1DE836"/>
    <w:rsid w:val="0B26B7E0"/>
    <w:rsid w:val="0B27EB36"/>
    <w:rsid w:val="0B28EF3A"/>
    <w:rsid w:val="0B2B0978"/>
    <w:rsid w:val="0B37D533"/>
    <w:rsid w:val="0B471666"/>
    <w:rsid w:val="0B4DB963"/>
    <w:rsid w:val="0B4F782B"/>
    <w:rsid w:val="0B50B258"/>
    <w:rsid w:val="0B53DB36"/>
    <w:rsid w:val="0B54D08D"/>
    <w:rsid w:val="0B5ABD30"/>
    <w:rsid w:val="0B5BB421"/>
    <w:rsid w:val="0B5D61D5"/>
    <w:rsid w:val="0B5ED9E5"/>
    <w:rsid w:val="0B63DF98"/>
    <w:rsid w:val="0B662E00"/>
    <w:rsid w:val="0B692F28"/>
    <w:rsid w:val="0B6C8948"/>
    <w:rsid w:val="0B761B48"/>
    <w:rsid w:val="0B7F88E4"/>
    <w:rsid w:val="0B84CE31"/>
    <w:rsid w:val="0B8B4DF7"/>
    <w:rsid w:val="0B9FA267"/>
    <w:rsid w:val="0BA1D273"/>
    <w:rsid w:val="0BAC40E0"/>
    <w:rsid w:val="0BB29FAC"/>
    <w:rsid w:val="0BB47212"/>
    <w:rsid w:val="0BB82C38"/>
    <w:rsid w:val="0BBB0979"/>
    <w:rsid w:val="0BBC8E46"/>
    <w:rsid w:val="0BC11318"/>
    <w:rsid w:val="0BC88DB2"/>
    <w:rsid w:val="0BCA35ED"/>
    <w:rsid w:val="0BCA4CE1"/>
    <w:rsid w:val="0BCA5DCA"/>
    <w:rsid w:val="0BCFD5D8"/>
    <w:rsid w:val="0BD52DFA"/>
    <w:rsid w:val="0BD8E990"/>
    <w:rsid w:val="0BDE2D49"/>
    <w:rsid w:val="0BE25930"/>
    <w:rsid w:val="0BED169A"/>
    <w:rsid w:val="0BEE3F14"/>
    <w:rsid w:val="0BF5E6B1"/>
    <w:rsid w:val="0BFB4E35"/>
    <w:rsid w:val="0BFE3891"/>
    <w:rsid w:val="0C00BDE5"/>
    <w:rsid w:val="0C03DB40"/>
    <w:rsid w:val="0C05ECDE"/>
    <w:rsid w:val="0C0629E7"/>
    <w:rsid w:val="0C1A947D"/>
    <w:rsid w:val="0C1F7C79"/>
    <w:rsid w:val="0C209185"/>
    <w:rsid w:val="0C2093B4"/>
    <w:rsid w:val="0C21371C"/>
    <w:rsid w:val="0C21DCA3"/>
    <w:rsid w:val="0C27B69C"/>
    <w:rsid w:val="0C33917E"/>
    <w:rsid w:val="0C39AA2F"/>
    <w:rsid w:val="0C39E103"/>
    <w:rsid w:val="0C3BC797"/>
    <w:rsid w:val="0C4BA903"/>
    <w:rsid w:val="0C4E0DEF"/>
    <w:rsid w:val="0C502C81"/>
    <w:rsid w:val="0C589D9C"/>
    <w:rsid w:val="0C5D494B"/>
    <w:rsid w:val="0C618AE4"/>
    <w:rsid w:val="0C6BA39D"/>
    <w:rsid w:val="0C6EA30E"/>
    <w:rsid w:val="0C70FEEE"/>
    <w:rsid w:val="0C75D25D"/>
    <w:rsid w:val="0C7F80BB"/>
    <w:rsid w:val="0C808A82"/>
    <w:rsid w:val="0C82015C"/>
    <w:rsid w:val="0C93E0BB"/>
    <w:rsid w:val="0C943288"/>
    <w:rsid w:val="0C9B05CC"/>
    <w:rsid w:val="0C9C36D1"/>
    <w:rsid w:val="0CA02390"/>
    <w:rsid w:val="0CA29A33"/>
    <w:rsid w:val="0CAE3EFB"/>
    <w:rsid w:val="0CB0FCAD"/>
    <w:rsid w:val="0CB4FE7C"/>
    <w:rsid w:val="0CB58A87"/>
    <w:rsid w:val="0CBFE0E2"/>
    <w:rsid w:val="0CC46FDD"/>
    <w:rsid w:val="0CC4C56C"/>
    <w:rsid w:val="0CC7F260"/>
    <w:rsid w:val="0CD1A9D8"/>
    <w:rsid w:val="0CD1DDB0"/>
    <w:rsid w:val="0CD2BC03"/>
    <w:rsid w:val="0CD3DB90"/>
    <w:rsid w:val="0CDB3F5A"/>
    <w:rsid w:val="0CDD7C50"/>
    <w:rsid w:val="0CE11063"/>
    <w:rsid w:val="0CE6FB16"/>
    <w:rsid w:val="0CEFC27A"/>
    <w:rsid w:val="0CF147C7"/>
    <w:rsid w:val="0CF37AD6"/>
    <w:rsid w:val="0CF4EFBF"/>
    <w:rsid w:val="0CFAF86F"/>
    <w:rsid w:val="0CFD0FB5"/>
    <w:rsid w:val="0CFDC6BD"/>
    <w:rsid w:val="0D0C65FD"/>
    <w:rsid w:val="0D126373"/>
    <w:rsid w:val="0D265C9A"/>
    <w:rsid w:val="0D29330C"/>
    <w:rsid w:val="0D298217"/>
    <w:rsid w:val="0D2E46D2"/>
    <w:rsid w:val="0D3B1DD7"/>
    <w:rsid w:val="0D4138C0"/>
    <w:rsid w:val="0D42EADE"/>
    <w:rsid w:val="0D5150FD"/>
    <w:rsid w:val="0D535814"/>
    <w:rsid w:val="0D586FD9"/>
    <w:rsid w:val="0D69B4D3"/>
    <w:rsid w:val="0D6D4607"/>
    <w:rsid w:val="0D73536E"/>
    <w:rsid w:val="0D7C7474"/>
    <w:rsid w:val="0D861268"/>
    <w:rsid w:val="0D92BC9D"/>
    <w:rsid w:val="0D96F82A"/>
    <w:rsid w:val="0DA69975"/>
    <w:rsid w:val="0DA77929"/>
    <w:rsid w:val="0DAC9A42"/>
    <w:rsid w:val="0DBCA47E"/>
    <w:rsid w:val="0DC15356"/>
    <w:rsid w:val="0DC3D430"/>
    <w:rsid w:val="0DCBE696"/>
    <w:rsid w:val="0DCDDC56"/>
    <w:rsid w:val="0DD357F8"/>
    <w:rsid w:val="0DD7A9BC"/>
    <w:rsid w:val="0DDADC41"/>
    <w:rsid w:val="0DDD6FE2"/>
    <w:rsid w:val="0DDF9C3A"/>
    <w:rsid w:val="0DE205D4"/>
    <w:rsid w:val="0DE2DAD1"/>
    <w:rsid w:val="0DE6C591"/>
    <w:rsid w:val="0DEE5B42"/>
    <w:rsid w:val="0DF103C0"/>
    <w:rsid w:val="0DF183F9"/>
    <w:rsid w:val="0DF61D92"/>
    <w:rsid w:val="0DF724F5"/>
    <w:rsid w:val="0DF7D9A6"/>
    <w:rsid w:val="0DFA6D79"/>
    <w:rsid w:val="0E07C356"/>
    <w:rsid w:val="0E08ED60"/>
    <w:rsid w:val="0E15D8C2"/>
    <w:rsid w:val="0E19F01E"/>
    <w:rsid w:val="0E1ADC29"/>
    <w:rsid w:val="0E1FC889"/>
    <w:rsid w:val="0E2D0E30"/>
    <w:rsid w:val="0E2DB20E"/>
    <w:rsid w:val="0E2E20E2"/>
    <w:rsid w:val="0E328CBF"/>
    <w:rsid w:val="0E370CC5"/>
    <w:rsid w:val="0E3D83F3"/>
    <w:rsid w:val="0E446068"/>
    <w:rsid w:val="0E44DE16"/>
    <w:rsid w:val="0E465954"/>
    <w:rsid w:val="0E4C8DED"/>
    <w:rsid w:val="0E536CFE"/>
    <w:rsid w:val="0E6C48F5"/>
    <w:rsid w:val="0E6C9078"/>
    <w:rsid w:val="0E70A78C"/>
    <w:rsid w:val="0E7A50F2"/>
    <w:rsid w:val="0E875607"/>
    <w:rsid w:val="0E8A5828"/>
    <w:rsid w:val="0E8BCAE4"/>
    <w:rsid w:val="0E9B1035"/>
    <w:rsid w:val="0E9DF2FA"/>
    <w:rsid w:val="0EA3E9B0"/>
    <w:rsid w:val="0EA8EEFC"/>
    <w:rsid w:val="0EAB2086"/>
    <w:rsid w:val="0EAD6679"/>
    <w:rsid w:val="0EAF3DAE"/>
    <w:rsid w:val="0EB039AF"/>
    <w:rsid w:val="0EB32118"/>
    <w:rsid w:val="0EB869E9"/>
    <w:rsid w:val="0EC16E3A"/>
    <w:rsid w:val="0EC2B706"/>
    <w:rsid w:val="0EC6E417"/>
    <w:rsid w:val="0EC814BD"/>
    <w:rsid w:val="0ED1DF16"/>
    <w:rsid w:val="0ED24412"/>
    <w:rsid w:val="0EDCFFBB"/>
    <w:rsid w:val="0EDFCE96"/>
    <w:rsid w:val="0EEABEF4"/>
    <w:rsid w:val="0EF0BCFE"/>
    <w:rsid w:val="0EF6804C"/>
    <w:rsid w:val="0EF99342"/>
    <w:rsid w:val="0F076BCE"/>
    <w:rsid w:val="0F0A5050"/>
    <w:rsid w:val="0F0C54A1"/>
    <w:rsid w:val="0F0CE634"/>
    <w:rsid w:val="0F138398"/>
    <w:rsid w:val="0F169814"/>
    <w:rsid w:val="0F16A654"/>
    <w:rsid w:val="0F1765FA"/>
    <w:rsid w:val="0F198A09"/>
    <w:rsid w:val="0F1B9A5A"/>
    <w:rsid w:val="0F203D30"/>
    <w:rsid w:val="0F206C5A"/>
    <w:rsid w:val="0F3AF376"/>
    <w:rsid w:val="0F43624B"/>
    <w:rsid w:val="0F438F9C"/>
    <w:rsid w:val="0F4C45EA"/>
    <w:rsid w:val="0F4CDB84"/>
    <w:rsid w:val="0F53AFEC"/>
    <w:rsid w:val="0F57E483"/>
    <w:rsid w:val="0F68C1ED"/>
    <w:rsid w:val="0F69372B"/>
    <w:rsid w:val="0F6FCD93"/>
    <w:rsid w:val="0F77E7EC"/>
    <w:rsid w:val="0F818397"/>
    <w:rsid w:val="0F8ABA0D"/>
    <w:rsid w:val="0F8B465A"/>
    <w:rsid w:val="0F94BE23"/>
    <w:rsid w:val="0F952E80"/>
    <w:rsid w:val="0F968F2C"/>
    <w:rsid w:val="0F983192"/>
    <w:rsid w:val="0F9C9263"/>
    <w:rsid w:val="0F9C9E9E"/>
    <w:rsid w:val="0F9ECCDB"/>
    <w:rsid w:val="0F9EE4CA"/>
    <w:rsid w:val="0FA3AACD"/>
    <w:rsid w:val="0FB23F5E"/>
    <w:rsid w:val="0FB834DA"/>
    <w:rsid w:val="0FBA9E9B"/>
    <w:rsid w:val="0FBCB1BD"/>
    <w:rsid w:val="0FC5C507"/>
    <w:rsid w:val="0FCAAF4C"/>
    <w:rsid w:val="0FCE35C8"/>
    <w:rsid w:val="0FCFC907"/>
    <w:rsid w:val="0FD31FBF"/>
    <w:rsid w:val="0FD52B0D"/>
    <w:rsid w:val="0FD8AEA5"/>
    <w:rsid w:val="0FDA3A01"/>
    <w:rsid w:val="0FDCD7F6"/>
    <w:rsid w:val="0FE5B63A"/>
    <w:rsid w:val="0FEA3A4C"/>
    <w:rsid w:val="0FEDA021"/>
    <w:rsid w:val="0FF090B7"/>
    <w:rsid w:val="0FFB8F35"/>
    <w:rsid w:val="10039EE8"/>
    <w:rsid w:val="10068107"/>
    <w:rsid w:val="1007AFF5"/>
    <w:rsid w:val="100AD6FB"/>
    <w:rsid w:val="100B0446"/>
    <w:rsid w:val="101348E2"/>
    <w:rsid w:val="1016D34E"/>
    <w:rsid w:val="10171AF0"/>
    <w:rsid w:val="101B6EEE"/>
    <w:rsid w:val="10230311"/>
    <w:rsid w:val="10310599"/>
    <w:rsid w:val="103289D9"/>
    <w:rsid w:val="1034ACDD"/>
    <w:rsid w:val="1034CF8E"/>
    <w:rsid w:val="10357A79"/>
    <w:rsid w:val="103C2CC6"/>
    <w:rsid w:val="103C9919"/>
    <w:rsid w:val="10424634"/>
    <w:rsid w:val="10553475"/>
    <w:rsid w:val="10614F79"/>
    <w:rsid w:val="1062D300"/>
    <w:rsid w:val="1062FDC3"/>
    <w:rsid w:val="106444A9"/>
    <w:rsid w:val="106950E4"/>
    <w:rsid w:val="10695255"/>
    <w:rsid w:val="1073E6F4"/>
    <w:rsid w:val="1074269A"/>
    <w:rsid w:val="107B709F"/>
    <w:rsid w:val="10896937"/>
    <w:rsid w:val="1089E2EB"/>
    <w:rsid w:val="1094C832"/>
    <w:rsid w:val="10A2DA6D"/>
    <w:rsid w:val="10A51ED3"/>
    <w:rsid w:val="10A5352F"/>
    <w:rsid w:val="10A7B13E"/>
    <w:rsid w:val="10AC2DCC"/>
    <w:rsid w:val="10AC8456"/>
    <w:rsid w:val="10ACB619"/>
    <w:rsid w:val="10AE12F4"/>
    <w:rsid w:val="10B536E5"/>
    <w:rsid w:val="10B79AF6"/>
    <w:rsid w:val="10B9652D"/>
    <w:rsid w:val="10C011A3"/>
    <w:rsid w:val="10C0A323"/>
    <w:rsid w:val="10CEF721"/>
    <w:rsid w:val="10D33F1A"/>
    <w:rsid w:val="10DF9817"/>
    <w:rsid w:val="10E269AC"/>
    <w:rsid w:val="10EB6944"/>
    <w:rsid w:val="10FB6184"/>
    <w:rsid w:val="10FCBE68"/>
    <w:rsid w:val="10FE92E2"/>
    <w:rsid w:val="110216C2"/>
    <w:rsid w:val="1104066E"/>
    <w:rsid w:val="11080D4B"/>
    <w:rsid w:val="1108EF4D"/>
    <w:rsid w:val="110E4DC8"/>
    <w:rsid w:val="11161A3A"/>
    <w:rsid w:val="1118F02B"/>
    <w:rsid w:val="1118FED1"/>
    <w:rsid w:val="111CDCAE"/>
    <w:rsid w:val="111D6876"/>
    <w:rsid w:val="111F4EDD"/>
    <w:rsid w:val="112220A7"/>
    <w:rsid w:val="112398BE"/>
    <w:rsid w:val="11247885"/>
    <w:rsid w:val="11264C7E"/>
    <w:rsid w:val="112A4DC2"/>
    <w:rsid w:val="112A8730"/>
    <w:rsid w:val="112B4631"/>
    <w:rsid w:val="11326DAB"/>
    <w:rsid w:val="11391D57"/>
    <w:rsid w:val="113E8CC0"/>
    <w:rsid w:val="11430E10"/>
    <w:rsid w:val="114580D6"/>
    <w:rsid w:val="114855E7"/>
    <w:rsid w:val="114DB559"/>
    <w:rsid w:val="114F00D7"/>
    <w:rsid w:val="11544CC4"/>
    <w:rsid w:val="1154794A"/>
    <w:rsid w:val="1157C0EF"/>
    <w:rsid w:val="115FF6F6"/>
    <w:rsid w:val="1168E2A7"/>
    <w:rsid w:val="11690D08"/>
    <w:rsid w:val="11716D00"/>
    <w:rsid w:val="117523FE"/>
    <w:rsid w:val="117C37DA"/>
    <w:rsid w:val="11839791"/>
    <w:rsid w:val="11841D69"/>
    <w:rsid w:val="1188597E"/>
    <w:rsid w:val="1189109E"/>
    <w:rsid w:val="118C38C8"/>
    <w:rsid w:val="1192E2F6"/>
    <w:rsid w:val="119F4B30"/>
    <w:rsid w:val="11A0434E"/>
    <w:rsid w:val="11A1F289"/>
    <w:rsid w:val="11A40BDF"/>
    <w:rsid w:val="11A4E662"/>
    <w:rsid w:val="11A73307"/>
    <w:rsid w:val="11A7C7DD"/>
    <w:rsid w:val="11ABD9CC"/>
    <w:rsid w:val="11B36E18"/>
    <w:rsid w:val="11BBCDD1"/>
    <w:rsid w:val="11BC5F6C"/>
    <w:rsid w:val="11C9FE47"/>
    <w:rsid w:val="11D55A42"/>
    <w:rsid w:val="11E207C4"/>
    <w:rsid w:val="11E3B292"/>
    <w:rsid w:val="11E714CE"/>
    <w:rsid w:val="11ED4258"/>
    <w:rsid w:val="11F108F2"/>
    <w:rsid w:val="11F6B4E8"/>
    <w:rsid w:val="11FD2A6F"/>
    <w:rsid w:val="11FDBEDB"/>
    <w:rsid w:val="11FDEF21"/>
    <w:rsid w:val="11FFBD29"/>
    <w:rsid w:val="11FFBD7A"/>
    <w:rsid w:val="1209C01A"/>
    <w:rsid w:val="120A2BCB"/>
    <w:rsid w:val="120ECE50"/>
    <w:rsid w:val="1210A11A"/>
    <w:rsid w:val="12114A1C"/>
    <w:rsid w:val="1214252D"/>
    <w:rsid w:val="12146720"/>
    <w:rsid w:val="1215AE0D"/>
    <w:rsid w:val="121F37E5"/>
    <w:rsid w:val="12231146"/>
    <w:rsid w:val="122D112B"/>
    <w:rsid w:val="122F89D9"/>
    <w:rsid w:val="12364FEE"/>
    <w:rsid w:val="123C2E5D"/>
    <w:rsid w:val="12421349"/>
    <w:rsid w:val="1245F5FD"/>
    <w:rsid w:val="1253B2CD"/>
    <w:rsid w:val="125A82B5"/>
    <w:rsid w:val="125F2CF3"/>
    <w:rsid w:val="12603EA8"/>
    <w:rsid w:val="1262F83B"/>
    <w:rsid w:val="1263CFEB"/>
    <w:rsid w:val="12776526"/>
    <w:rsid w:val="128341D0"/>
    <w:rsid w:val="128630E1"/>
    <w:rsid w:val="12865A3D"/>
    <w:rsid w:val="128E539F"/>
    <w:rsid w:val="128EC6FB"/>
    <w:rsid w:val="128ED1A8"/>
    <w:rsid w:val="1295C305"/>
    <w:rsid w:val="1296F8E8"/>
    <w:rsid w:val="1298A8B4"/>
    <w:rsid w:val="129B7370"/>
    <w:rsid w:val="12A14705"/>
    <w:rsid w:val="12A20430"/>
    <w:rsid w:val="12A86F7A"/>
    <w:rsid w:val="12AE280A"/>
    <w:rsid w:val="12BCE7E6"/>
    <w:rsid w:val="12BF3F95"/>
    <w:rsid w:val="12C0156B"/>
    <w:rsid w:val="12C27563"/>
    <w:rsid w:val="12C3E0EB"/>
    <w:rsid w:val="12C713B5"/>
    <w:rsid w:val="12CF3BB4"/>
    <w:rsid w:val="12D06224"/>
    <w:rsid w:val="12D5F74F"/>
    <w:rsid w:val="12E0971D"/>
    <w:rsid w:val="12EC91F8"/>
    <w:rsid w:val="12ECE65A"/>
    <w:rsid w:val="12EDAEF8"/>
    <w:rsid w:val="12EE992C"/>
    <w:rsid w:val="12F01891"/>
    <w:rsid w:val="12F45459"/>
    <w:rsid w:val="12F54B35"/>
    <w:rsid w:val="13003F2A"/>
    <w:rsid w:val="1301D800"/>
    <w:rsid w:val="130C154B"/>
    <w:rsid w:val="131BB91B"/>
    <w:rsid w:val="131FB84A"/>
    <w:rsid w:val="132181A2"/>
    <w:rsid w:val="132BB1A2"/>
    <w:rsid w:val="132BD9CF"/>
    <w:rsid w:val="1333C672"/>
    <w:rsid w:val="13396CC7"/>
    <w:rsid w:val="133DDD2F"/>
    <w:rsid w:val="1341D24D"/>
    <w:rsid w:val="134EAE75"/>
    <w:rsid w:val="135533B6"/>
    <w:rsid w:val="135B5171"/>
    <w:rsid w:val="135C4F32"/>
    <w:rsid w:val="136426BE"/>
    <w:rsid w:val="136A7D2C"/>
    <w:rsid w:val="136C2931"/>
    <w:rsid w:val="136F58D9"/>
    <w:rsid w:val="1376C8BD"/>
    <w:rsid w:val="1378E542"/>
    <w:rsid w:val="138347E6"/>
    <w:rsid w:val="1388A0B5"/>
    <w:rsid w:val="139216C9"/>
    <w:rsid w:val="1396EFFF"/>
    <w:rsid w:val="139C3477"/>
    <w:rsid w:val="139FB097"/>
    <w:rsid w:val="13A399CA"/>
    <w:rsid w:val="13ABDAB7"/>
    <w:rsid w:val="13B55FBD"/>
    <w:rsid w:val="13C1BFA8"/>
    <w:rsid w:val="13C24738"/>
    <w:rsid w:val="13C29970"/>
    <w:rsid w:val="13C5DC52"/>
    <w:rsid w:val="13C7796A"/>
    <w:rsid w:val="13D12C95"/>
    <w:rsid w:val="13D963DE"/>
    <w:rsid w:val="13DFA9DF"/>
    <w:rsid w:val="13E24256"/>
    <w:rsid w:val="13E2F558"/>
    <w:rsid w:val="13E3B3CF"/>
    <w:rsid w:val="13E7F50F"/>
    <w:rsid w:val="13E98EC4"/>
    <w:rsid w:val="13EDBCD4"/>
    <w:rsid w:val="13EE5691"/>
    <w:rsid w:val="13FB72B8"/>
    <w:rsid w:val="13FF3F54"/>
    <w:rsid w:val="140C7488"/>
    <w:rsid w:val="140E49A7"/>
    <w:rsid w:val="140ECC63"/>
    <w:rsid w:val="140EF26B"/>
    <w:rsid w:val="14191AC5"/>
    <w:rsid w:val="14255344"/>
    <w:rsid w:val="1428437E"/>
    <w:rsid w:val="142F7B83"/>
    <w:rsid w:val="143B0D86"/>
    <w:rsid w:val="143B1B16"/>
    <w:rsid w:val="1448543F"/>
    <w:rsid w:val="1448629A"/>
    <w:rsid w:val="1448A1A7"/>
    <w:rsid w:val="144B4EAE"/>
    <w:rsid w:val="144B6233"/>
    <w:rsid w:val="144BC537"/>
    <w:rsid w:val="144CA4F3"/>
    <w:rsid w:val="144CB1A2"/>
    <w:rsid w:val="144EE9A4"/>
    <w:rsid w:val="146F4E2C"/>
    <w:rsid w:val="14711101"/>
    <w:rsid w:val="14715F38"/>
    <w:rsid w:val="1473E66A"/>
    <w:rsid w:val="1474F1C6"/>
    <w:rsid w:val="1477AB11"/>
    <w:rsid w:val="147AC8F3"/>
    <w:rsid w:val="147BE8B8"/>
    <w:rsid w:val="147C4C4E"/>
    <w:rsid w:val="148F01C4"/>
    <w:rsid w:val="1490FC14"/>
    <w:rsid w:val="14989E6B"/>
    <w:rsid w:val="1498E12F"/>
    <w:rsid w:val="14A03908"/>
    <w:rsid w:val="14A0E8CD"/>
    <w:rsid w:val="14B0F845"/>
    <w:rsid w:val="14B5664D"/>
    <w:rsid w:val="14B8B9AD"/>
    <w:rsid w:val="14BB6BF3"/>
    <w:rsid w:val="14BB74F6"/>
    <w:rsid w:val="14BC6F18"/>
    <w:rsid w:val="14C58313"/>
    <w:rsid w:val="14C74C15"/>
    <w:rsid w:val="14D8AE11"/>
    <w:rsid w:val="14E01610"/>
    <w:rsid w:val="14E18F24"/>
    <w:rsid w:val="14E1D544"/>
    <w:rsid w:val="14E9C365"/>
    <w:rsid w:val="14E9C9C4"/>
    <w:rsid w:val="14EB279E"/>
    <w:rsid w:val="14EBF3B1"/>
    <w:rsid w:val="14EDAD18"/>
    <w:rsid w:val="14F4A6F3"/>
    <w:rsid w:val="14FBC080"/>
    <w:rsid w:val="15028987"/>
    <w:rsid w:val="150B71C0"/>
    <w:rsid w:val="151528DB"/>
    <w:rsid w:val="15156723"/>
    <w:rsid w:val="1515ADFF"/>
    <w:rsid w:val="151F4CEB"/>
    <w:rsid w:val="152A3BA4"/>
    <w:rsid w:val="153B300C"/>
    <w:rsid w:val="153CFFA3"/>
    <w:rsid w:val="1549FB60"/>
    <w:rsid w:val="1551C7D1"/>
    <w:rsid w:val="15595FEB"/>
    <w:rsid w:val="155D3766"/>
    <w:rsid w:val="156EB5DE"/>
    <w:rsid w:val="156F1031"/>
    <w:rsid w:val="157065D1"/>
    <w:rsid w:val="15728FC8"/>
    <w:rsid w:val="15760038"/>
    <w:rsid w:val="157778B5"/>
    <w:rsid w:val="157C9434"/>
    <w:rsid w:val="158087CF"/>
    <w:rsid w:val="1581B9F9"/>
    <w:rsid w:val="15839A85"/>
    <w:rsid w:val="158720C0"/>
    <w:rsid w:val="158C0E53"/>
    <w:rsid w:val="1591FA22"/>
    <w:rsid w:val="15928E8D"/>
    <w:rsid w:val="15939CB4"/>
    <w:rsid w:val="159EA0C7"/>
    <w:rsid w:val="15A8AD42"/>
    <w:rsid w:val="15A8FEAC"/>
    <w:rsid w:val="15B131D5"/>
    <w:rsid w:val="15B50C47"/>
    <w:rsid w:val="15B57050"/>
    <w:rsid w:val="15B89E37"/>
    <w:rsid w:val="15BB5016"/>
    <w:rsid w:val="15CC86ED"/>
    <w:rsid w:val="15CD24AA"/>
    <w:rsid w:val="15CDEAE4"/>
    <w:rsid w:val="15D318F4"/>
    <w:rsid w:val="15D3B98B"/>
    <w:rsid w:val="15D7A6DA"/>
    <w:rsid w:val="15DA0D43"/>
    <w:rsid w:val="15DDD1C5"/>
    <w:rsid w:val="15EC7FC6"/>
    <w:rsid w:val="15ED4A5A"/>
    <w:rsid w:val="15F26F4F"/>
    <w:rsid w:val="15FE7016"/>
    <w:rsid w:val="160122AC"/>
    <w:rsid w:val="16046E52"/>
    <w:rsid w:val="16057261"/>
    <w:rsid w:val="160AA56C"/>
    <w:rsid w:val="160E9E89"/>
    <w:rsid w:val="161833C4"/>
    <w:rsid w:val="161BBD14"/>
    <w:rsid w:val="161F5397"/>
    <w:rsid w:val="1620E03D"/>
    <w:rsid w:val="1622E05C"/>
    <w:rsid w:val="1622EE1C"/>
    <w:rsid w:val="1625356D"/>
    <w:rsid w:val="162C0F52"/>
    <w:rsid w:val="16322B20"/>
    <w:rsid w:val="1637B6CF"/>
    <w:rsid w:val="163FBACC"/>
    <w:rsid w:val="16434674"/>
    <w:rsid w:val="16496CBF"/>
    <w:rsid w:val="164CD8D7"/>
    <w:rsid w:val="16560C24"/>
    <w:rsid w:val="1658847B"/>
    <w:rsid w:val="16672DD3"/>
    <w:rsid w:val="1668B72E"/>
    <w:rsid w:val="1669596D"/>
    <w:rsid w:val="1671A292"/>
    <w:rsid w:val="1675A26D"/>
    <w:rsid w:val="1678C276"/>
    <w:rsid w:val="16830073"/>
    <w:rsid w:val="16898B4C"/>
    <w:rsid w:val="1693DF0F"/>
    <w:rsid w:val="16960509"/>
    <w:rsid w:val="16990AF1"/>
    <w:rsid w:val="169ACF39"/>
    <w:rsid w:val="169B824D"/>
    <w:rsid w:val="169BD830"/>
    <w:rsid w:val="16A486F5"/>
    <w:rsid w:val="16A8CC73"/>
    <w:rsid w:val="16A9438E"/>
    <w:rsid w:val="16AC8B18"/>
    <w:rsid w:val="16B68A97"/>
    <w:rsid w:val="16BBE6D5"/>
    <w:rsid w:val="16C13D76"/>
    <w:rsid w:val="16C14112"/>
    <w:rsid w:val="16C5620F"/>
    <w:rsid w:val="16C6A7B9"/>
    <w:rsid w:val="16D4750E"/>
    <w:rsid w:val="16D50E80"/>
    <w:rsid w:val="16E640A0"/>
    <w:rsid w:val="16E66C97"/>
    <w:rsid w:val="16E71AF4"/>
    <w:rsid w:val="16E95BA8"/>
    <w:rsid w:val="16E9775A"/>
    <w:rsid w:val="16EC487C"/>
    <w:rsid w:val="16EFD71B"/>
    <w:rsid w:val="16F1BD60"/>
    <w:rsid w:val="16F327FE"/>
    <w:rsid w:val="16F36B1A"/>
    <w:rsid w:val="16FAB60C"/>
    <w:rsid w:val="16FD997C"/>
    <w:rsid w:val="17049475"/>
    <w:rsid w:val="17103C98"/>
    <w:rsid w:val="171B5216"/>
    <w:rsid w:val="171C605F"/>
    <w:rsid w:val="17240788"/>
    <w:rsid w:val="1727A365"/>
    <w:rsid w:val="17294366"/>
    <w:rsid w:val="172D640A"/>
    <w:rsid w:val="17373F86"/>
    <w:rsid w:val="1737FE2F"/>
    <w:rsid w:val="173BC0B6"/>
    <w:rsid w:val="173BD28C"/>
    <w:rsid w:val="173D17EA"/>
    <w:rsid w:val="173F504A"/>
    <w:rsid w:val="173FCD86"/>
    <w:rsid w:val="174107BB"/>
    <w:rsid w:val="17477B6C"/>
    <w:rsid w:val="1748C42C"/>
    <w:rsid w:val="174ABFFB"/>
    <w:rsid w:val="1750ADFB"/>
    <w:rsid w:val="17528CA6"/>
    <w:rsid w:val="175F9C8E"/>
    <w:rsid w:val="1760C0F2"/>
    <w:rsid w:val="1767A422"/>
    <w:rsid w:val="177B0D39"/>
    <w:rsid w:val="177D2C14"/>
    <w:rsid w:val="17828175"/>
    <w:rsid w:val="17877878"/>
    <w:rsid w:val="17886317"/>
    <w:rsid w:val="178A5D8A"/>
    <w:rsid w:val="178F8A98"/>
    <w:rsid w:val="179199B2"/>
    <w:rsid w:val="179435EB"/>
    <w:rsid w:val="17970AFD"/>
    <w:rsid w:val="17A18D5A"/>
    <w:rsid w:val="17A31D4A"/>
    <w:rsid w:val="17A38536"/>
    <w:rsid w:val="17BA3069"/>
    <w:rsid w:val="17C7FA9E"/>
    <w:rsid w:val="17C8936F"/>
    <w:rsid w:val="17CD50B4"/>
    <w:rsid w:val="17D57DE6"/>
    <w:rsid w:val="17D5FC47"/>
    <w:rsid w:val="17D8067F"/>
    <w:rsid w:val="17D85CCB"/>
    <w:rsid w:val="17DA3A14"/>
    <w:rsid w:val="17E5A3C6"/>
    <w:rsid w:val="17E8668B"/>
    <w:rsid w:val="17EE70CD"/>
    <w:rsid w:val="17F0EC09"/>
    <w:rsid w:val="17F634D6"/>
    <w:rsid w:val="17F97013"/>
    <w:rsid w:val="17FA216F"/>
    <w:rsid w:val="1800071C"/>
    <w:rsid w:val="1807FD68"/>
    <w:rsid w:val="180ADDD3"/>
    <w:rsid w:val="181B5B89"/>
    <w:rsid w:val="182074D6"/>
    <w:rsid w:val="18249BCF"/>
    <w:rsid w:val="1825AB80"/>
    <w:rsid w:val="182748E9"/>
    <w:rsid w:val="1829B114"/>
    <w:rsid w:val="183C5B70"/>
    <w:rsid w:val="183E895E"/>
    <w:rsid w:val="1840776A"/>
    <w:rsid w:val="1842D750"/>
    <w:rsid w:val="18513E46"/>
    <w:rsid w:val="185AABA5"/>
    <w:rsid w:val="1862B61E"/>
    <w:rsid w:val="18664369"/>
    <w:rsid w:val="1873DF3E"/>
    <w:rsid w:val="1873F653"/>
    <w:rsid w:val="1879DA30"/>
    <w:rsid w:val="1889D159"/>
    <w:rsid w:val="188C1969"/>
    <w:rsid w:val="188DDA0A"/>
    <w:rsid w:val="18994619"/>
    <w:rsid w:val="189E220F"/>
    <w:rsid w:val="18A1C3A6"/>
    <w:rsid w:val="18BAB7DF"/>
    <w:rsid w:val="18BC5192"/>
    <w:rsid w:val="18C03E1E"/>
    <w:rsid w:val="18C521C0"/>
    <w:rsid w:val="18C63587"/>
    <w:rsid w:val="18C7AA9C"/>
    <w:rsid w:val="18C881B1"/>
    <w:rsid w:val="18CDFB05"/>
    <w:rsid w:val="18CE8770"/>
    <w:rsid w:val="18D184B5"/>
    <w:rsid w:val="18D51EA1"/>
    <w:rsid w:val="18D5D67A"/>
    <w:rsid w:val="18D6DB21"/>
    <w:rsid w:val="18E98442"/>
    <w:rsid w:val="18EAC7CA"/>
    <w:rsid w:val="18F9243B"/>
    <w:rsid w:val="1900F9D0"/>
    <w:rsid w:val="19033A52"/>
    <w:rsid w:val="1903D6A5"/>
    <w:rsid w:val="19068CCA"/>
    <w:rsid w:val="191542D7"/>
    <w:rsid w:val="19175E35"/>
    <w:rsid w:val="1920D7C1"/>
    <w:rsid w:val="19250577"/>
    <w:rsid w:val="1926FFB4"/>
    <w:rsid w:val="192B3021"/>
    <w:rsid w:val="192BE1F5"/>
    <w:rsid w:val="19323A9B"/>
    <w:rsid w:val="1935C55D"/>
    <w:rsid w:val="1935CD07"/>
    <w:rsid w:val="193A0E7A"/>
    <w:rsid w:val="194344CD"/>
    <w:rsid w:val="1944C7D6"/>
    <w:rsid w:val="194C7E6E"/>
    <w:rsid w:val="195D8D2F"/>
    <w:rsid w:val="195D9491"/>
    <w:rsid w:val="19674516"/>
    <w:rsid w:val="19818213"/>
    <w:rsid w:val="1982A59D"/>
    <w:rsid w:val="198FADBC"/>
    <w:rsid w:val="1996B8BD"/>
    <w:rsid w:val="199FD201"/>
    <w:rsid w:val="19A2AF2C"/>
    <w:rsid w:val="19A546A1"/>
    <w:rsid w:val="19A57CC1"/>
    <w:rsid w:val="19A958A3"/>
    <w:rsid w:val="19AD2EAE"/>
    <w:rsid w:val="19AF8E03"/>
    <w:rsid w:val="19B0C4DA"/>
    <w:rsid w:val="19B55F5C"/>
    <w:rsid w:val="19BE195C"/>
    <w:rsid w:val="19C0DE46"/>
    <w:rsid w:val="19C4037B"/>
    <w:rsid w:val="19CD47FC"/>
    <w:rsid w:val="19D00B33"/>
    <w:rsid w:val="19D03EFF"/>
    <w:rsid w:val="19D3D66E"/>
    <w:rsid w:val="19D42F72"/>
    <w:rsid w:val="19E86EA8"/>
    <w:rsid w:val="19E89673"/>
    <w:rsid w:val="19EA42E6"/>
    <w:rsid w:val="19EC73F8"/>
    <w:rsid w:val="1A019DC9"/>
    <w:rsid w:val="1A12159E"/>
    <w:rsid w:val="1A20E34A"/>
    <w:rsid w:val="1A28A854"/>
    <w:rsid w:val="1A29CFC9"/>
    <w:rsid w:val="1A2C2A4C"/>
    <w:rsid w:val="1A2FCDB8"/>
    <w:rsid w:val="1A3A243F"/>
    <w:rsid w:val="1A42104E"/>
    <w:rsid w:val="1A43C038"/>
    <w:rsid w:val="1A43EB4C"/>
    <w:rsid w:val="1A4622CF"/>
    <w:rsid w:val="1A49056C"/>
    <w:rsid w:val="1A56530B"/>
    <w:rsid w:val="1A5AE08F"/>
    <w:rsid w:val="1A5CA1F8"/>
    <w:rsid w:val="1A5E7CE4"/>
    <w:rsid w:val="1A6110A0"/>
    <w:rsid w:val="1A67B2AB"/>
    <w:rsid w:val="1A6835B1"/>
    <w:rsid w:val="1A73200A"/>
    <w:rsid w:val="1A73D3E0"/>
    <w:rsid w:val="1A76ABD3"/>
    <w:rsid w:val="1A79053D"/>
    <w:rsid w:val="1A79E48A"/>
    <w:rsid w:val="1A7A5F18"/>
    <w:rsid w:val="1A7BC25C"/>
    <w:rsid w:val="1A83977C"/>
    <w:rsid w:val="1A86CB80"/>
    <w:rsid w:val="1A8E279A"/>
    <w:rsid w:val="1A91495A"/>
    <w:rsid w:val="1A935915"/>
    <w:rsid w:val="1A9B00E3"/>
    <w:rsid w:val="1A9F726E"/>
    <w:rsid w:val="1AA2E3F9"/>
    <w:rsid w:val="1AA36D2F"/>
    <w:rsid w:val="1AC41610"/>
    <w:rsid w:val="1AC6F2D3"/>
    <w:rsid w:val="1ACA6F80"/>
    <w:rsid w:val="1AD12782"/>
    <w:rsid w:val="1ADA8976"/>
    <w:rsid w:val="1AE066A4"/>
    <w:rsid w:val="1AE53164"/>
    <w:rsid w:val="1AEC3C05"/>
    <w:rsid w:val="1AF99FEE"/>
    <w:rsid w:val="1AFB4DFD"/>
    <w:rsid w:val="1AFDBD98"/>
    <w:rsid w:val="1B015A2F"/>
    <w:rsid w:val="1B01A603"/>
    <w:rsid w:val="1B083A42"/>
    <w:rsid w:val="1B09E5BE"/>
    <w:rsid w:val="1B0E4C9D"/>
    <w:rsid w:val="1B0E5C32"/>
    <w:rsid w:val="1B0EA09C"/>
    <w:rsid w:val="1B1A10DB"/>
    <w:rsid w:val="1B2A12C7"/>
    <w:rsid w:val="1B2BC05C"/>
    <w:rsid w:val="1B2D26F6"/>
    <w:rsid w:val="1B35D584"/>
    <w:rsid w:val="1B37EC66"/>
    <w:rsid w:val="1B3A60F1"/>
    <w:rsid w:val="1B4A4D06"/>
    <w:rsid w:val="1B50D693"/>
    <w:rsid w:val="1B562F76"/>
    <w:rsid w:val="1B57B08E"/>
    <w:rsid w:val="1B5C9FF3"/>
    <w:rsid w:val="1B620409"/>
    <w:rsid w:val="1B695631"/>
    <w:rsid w:val="1B6CC91E"/>
    <w:rsid w:val="1B6DA942"/>
    <w:rsid w:val="1B7066BE"/>
    <w:rsid w:val="1B714958"/>
    <w:rsid w:val="1B78ED33"/>
    <w:rsid w:val="1B7D8FFB"/>
    <w:rsid w:val="1B7F2F57"/>
    <w:rsid w:val="1B852D76"/>
    <w:rsid w:val="1B88A622"/>
    <w:rsid w:val="1B8B6125"/>
    <w:rsid w:val="1B94A992"/>
    <w:rsid w:val="1B9B8B3D"/>
    <w:rsid w:val="1BA5B4A2"/>
    <w:rsid w:val="1BA994DF"/>
    <w:rsid w:val="1BAB97A9"/>
    <w:rsid w:val="1BB09861"/>
    <w:rsid w:val="1BB9CBE1"/>
    <w:rsid w:val="1BBA5DAA"/>
    <w:rsid w:val="1BBB2E61"/>
    <w:rsid w:val="1BBBEE30"/>
    <w:rsid w:val="1BC29F8F"/>
    <w:rsid w:val="1BD27BA9"/>
    <w:rsid w:val="1BD2AFCE"/>
    <w:rsid w:val="1BD8D6E4"/>
    <w:rsid w:val="1BE785A3"/>
    <w:rsid w:val="1BEE8565"/>
    <w:rsid w:val="1BF017BC"/>
    <w:rsid w:val="1BFC6D51"/>
    <w:rsid w:val="1BFFB1D1"/>
    <w:rsid w:val="1C03A139"/>
    <w:rsid w:val="1C08A405"/>
    <w:rsid w:val="1C0BCCC6"/>
    <w:rsid w:val="1C141DAB"/>
    <w:rsid w:val="1C1F2EEF"/>
    <w:rsid w:val="1C1F8F65"/>
    <w:rsid w:val="1C255BC8"/>
    <w:rsid w:val="1C269A68"/>
    <w:rsid w:val="1C277DFF"/>
    <w:rsid w:val="1C2960A5"/>
    <w:rsid w:val="1C2D3AB8"/>
    <w:rsid w:val="1C2DA848"/>
    <w:rsid w:val="1C301A66"/>
    <w:rsid w:val="1C367A12"/>
    <w:rsid w:val="1C378928"/>
    <w:rsid w:val="1C38273B"/>
    <w:rsid w:val="1C3BF3C6"/>
    <w:rsid w:val="1C416AE5"/>
    <w:rsid w:val="1C41836D"/>
    <w:rsid w:val="1C41AA54"/>
    <w:rsid w:val="1C49B569"/>
    <w:rsid w:val="1C4BE49A"/>
    <w:rsid w:val="1C4DDA2A"/>
    <w:rsid w:val="1C4FAB5F"/>
    <w:rsid w:val="1C543F27"/>
    <w:rsid w:val="1C58F1CD"/>
    <w:rsid w:val="1C59285F"/>
    <w:rsid w:val="1C5A9088"/>
    <w:rsid w:val="1C5B6046"/>
    <w:rsid w:val="1C72D2C9"/>
    <w:rsid w:val="1C746F99"/>
    <w:rsid w:val="1C77A15A"/>
    <w:rsid w:val="1C7C9498"/>
    <w:rsid w:val="1C7EA47A"/>
    <w:rsid w:val="1C7F5A64"/>
    <w:rsid w:val="1C838A9E"/>
    <w:rsid w:val="1C84BAC8"/>
    <w:rsid w:val="1C8A05DB"/>
    <w:rsid w:val="1C8DF8CC"/>
    <w:rsid w:val="1C9169E4"/>
    <w:rsid w:val="1C97044E"/>
    <w:rsid w:val="1C9DCCB4"/>
    <w:rsid w:val="1CA257EA"/>
    <w:rsid w:val="1CA33CBC"/>
    <w:rsid w:val="1CA3FD2F"/>
    <w:rsid w:val="1CA7D560"/>
    <w:rsid w:val="1CA9592F"/>
    <w:rsid w:val="1CAA3AA3"/>
    <w:rsid w:val="1CAAF55B"/>
    <w:rsid w:val="1CB1766D"/>
    <w:rsid w:val="1CB20CDF"/>
    <w:rsid w:val="1CB3F6AF"/>
    <w:rsid w:val="1CB68E7C"/>
    <w:rsid w:val="1CBC0DF3"/>
    <w:rsid w:val="1CBDD020"/>
    <w:rsid w:val="1CBDEA61"/>
    <w:rsid w:val="1CC52F08"/>
    <w:rsid w:val="1CCB669E"/>
    <w:rsid w:val="1CCD264B"/>
    <w:rsid w:val="1CCF3A23"/>
    <w:rsid w:val="1CD27EE0"/>
    <w:rsid w:val="1CD2FEFE"/>
    <w:rsid w:val="1CD303DF"/>
    <w:rsid w:val="1CD96694"/>
    <w:rsid w:val="1CE04F7B"/>
    <w:rsid w:val="1CE4AAC8"/>
    <w:rsid w:val="1CE4DD65"/>
    <w:rsid w:val="1CE866EC"/>
    <w:rsid w:val="1CEABADA"/>
    <w:rsid w:val="1CFBF65E"/>
    <w:rsid w:val="1CFDB0B7"/>
    <w:rsid w:val="1D03ADF1"/>
    <w:rsid w:val="1D0BFBF4"/>
    <w:rsid w:val="1D0C43A5"/>
    <w:rsid w:val="1D1020D6"/>
    <w:rsid w:val="1D1536E1"/>
    <w:rsid w:val="1D1B050D"/>
    <w:rsid w:val="1D210DF2"/>
    <w:rsid w:val="1D21FB7A"/>
    <w:rsid w:val="1D2341D7"/>
    <w:rsid w:val="1D238253"/>
    <w:rsid w:val="1D23DE73"/>
    <w:rsid w:val="1D2ACE2F"/>
    <w:rsid w:val="1D2ED7A4"/>
    <w:rsid w:val="1D2FAD5D"/>
    <w:rsid w:val="1D3054A5"/>
    <w:rsid w:val="1D32B2A2"/>
    <w:rsid w:val="1D386BB7"/>
    <w:rsid w:val="1D3D9ED6"/>
    <w:rsid w:val="1D42A20F"/>
    <w:rsid w:val="1D45A313"/>
    <w:rsid w:val="1D4DFC36"/>
    <w:rsid w:val="1D608C56"/>
    <w:rsid w:val="1D62C2B1"/>
    <w:rsid w:val="1D647391"/>
    <w:rsid w:val="1D7647C3"/>
    <w:rsid w:val="1D784A0A"/>
    <w:rsid w:val="1D85F014"/>
    <w:rsid w:val="1D8900B3"/>
    <w:rsid w:val="1D90BBCF"/>
    <w:rsid w:val="1D97BA6D"/>
    <w:rsid w:val="1D9BB1C7"/>
    <w:rsid w:val="1D9FD470"/>
    <w:rsid w:val="1DB2D25E"/>
    <w:rsid w:val="1DBCB57B"/>
    <w:rsid w:val="1DBE4780"/>
    <w:rsid w:val="1DC20E84"/>
    <w:rsid w:val="1DC4F4F1"/>
    <w:rsid w:val="1DC78B00"/>
    <w:rsid w:val="1DCA852C"/>
    <w:rsid w:val="1DCEA9D7"/>
    <w:rsid w:val="1DDA8ACF"/>
    <w:rsid w:val="1DDCF762"/>
    <w:rsid w:val="1DE88B01"/>
    <w:rsid w:val="1DE904F5"/>
    <w:rsid w:val="1DEE3291"/>
    <w:rsid w:val="1DF7F594"/>
    <w:rsid w:val="1E069C9D"/>
    <w:rsid w:val="1E0886A7"/>
    <w:rsid w:val="1E08B876"/>
    <w:rsid w:val="1E1C1C07"/>
    <w:rsid w:val="1E1F2A36"/>
    <w:rsid w:val="1E2631DA"/>
    <w:rsid w:val="1E274C0B"/>
    <w:rsid w:val="1E291786"/>
    <w:rsid w:val="1E30B7B7"/>
    <w:rsid w:val="1E37DB0B"/>
    <w:rsid w:val="1E439012"/>
    <w:rsid w:val="1E58465B"/>
    <w:rsid w:val="1E59B5CD"/>
    <w:rsid w:val="1E5E8539"/>
    <w:rsid w:val="1E627E8F"/>
    <w:rsid w:val="1E63D885"/>
    <w:rsid w:val="1E65396F"/>
    <w:rsid w:val="1E785BFF"/>
    <w:rsid w:val="1E7FE96D"/>
    <w:rsid w:val="1E87A4FE"/>
    <w:rsid w:val="1E8AEE19"/>
    <w:rsid w:val="1E8B88E8"/>
    <w:rsid w:val="1E8C31FA"/>
    <w:rsid w:val="1EA424F9"/>
    <w:rsid w:val="1EA820CE"/>
    <w:rsid w:val="1EA84197"/>
    <w:rsid w:val="1EAA02A9"/>
    <w:rsid w:val="1EAE77C8"/>
    <w:rsid w:val="1EAED4A9"/>
    <w:rsid w:val="1EB12A66"/>
    <w:rsid w:val="1EB2787A"/>
    <w:rsid w:val="1EB3F22E"/>
    <w:rsid w:val="1EB86260"/>
    <w:rsid w:val="1EBAFAF7"/>
    <w:rsid w:val="1EBECF44"/>
    <w:rsid w:val="1EBF9277"/>
    <w:rsid w:val="1EC04E8C"/>
    <w:rsid w:val="1EC1D2AB"/>
    <w:rsid w:val="1EC3686B"/>
    <w:rsid w:val="1ECC4F64"/>
    <w:rsid w:val="1ECF5C4F"/>
    <w:rsid w:val="1ECFC788"/>
    <w:rsid w:val="1ED0FB57"/>
    <w:rsid w:val="1EDC00BC"/>
    <w:rsid w:val="1EDEA6E2"/>
    <w:rsid w:val="1EE2228A"/>
    <w:rsid w:val="1EE24282"/>
    <w:rsid w:val="1EF65EDE"/>
    <w:rsid w:val="1EFB7849"/>
    <w:rsid w:val="1F02C68C"/>
    <w:rsid w:val="1F249307"/>
    <w:rsid w:val="1F2CFA4C"/>
    <w:rsid w:val="1F4E490D"/>
    <w:rsid w:val="1F4E91F2"/>
    <w:rsid w:val="1F4F018C"/>
    <w:rsid w:val="1F4FCA15"/>
    <w:rsid w:val="1F596399"/>
    <w:rsid w:val="1F6E1B78"/>
    <w:rsid w:val="1F749579"/>
    <w:rsid w:val="1F76042F"/>
    <w:rsid w:val="1F8E6F14"/>
    <w:rsid w:val="1F91694B"/>
    <w:rsid w:val="1F92F186"/>
    <w:rsid w:val="1F95A98E"/>
    <w:rsid w:val="1F96BA83"/>
    <w:rsid w:val="1F974AD1"/>
    <w:rsid w:val="1F9861F2"/>
    <w:rsid w:val="1F99A908"/>
    <w:rsid w:val="1F9C67B5"/>
    <w:rsid w:val="1F9FCAC8"/>
    <w:rsid w:val="1FA4D1FC"/>
    <w:rsid w:val="1FB35A5D"/>
    <w:rsid w:val="1FB61DFC"/>
    <w:rsid w:val="1FBA96ED"/>
    <w:rsid w:val="1FBB8342"/>
    <w:rsid w:val="1FBE9CA4"/>
    <w:rsid w:val="1FBF334F"/>
    <w:rsid w:val="1FC25C75"/>
    <w:rsid w:val="1FD0A3D7"/>
    <w:rsid w:val="1FD20A29"/>
    <w:rsid w:val="1FD4C36D"/>
    <w:rsid w:val="1FD76025"/>
    <w:rsid w:val="1FDB084E"/>
    <w:rsid w:val="1FE41C9A"/>
    <w:rsid w:val="1FE9D61F"/>
    <w:rsid w:val="1FED4A7D"/>
    <w:rsid w:val="1FEDA57C"/>
    <w:rsid w:val="1FF2A584"/>
    <w:rsid w:val="1FF37F07"/>
    <w:rsid w:val="1FF85C7C"/>
    <w:rsid w:val="1FFE3C63"/>
    <w:rsid w:val="2009009F"/>
    <w:rsid w:val="200C179B"/>
    <w:rsid w:val="20105717"/>
    <w:rsid w:val="2015A9E0"/>
    <w:rsid w:val="2017ADEE"/>
    <w:rsid w:val="202280D9"/>
    <w:rsid w:val="2029FBA0"/>
    <w:rsid w:val="202D192B"/>
    <w:rsid w:val="202F5B19"/>
    <w:rsid w:val="202FEA24"/>
    <w:rsid w:val="203098B8"/>
    <w:rsid w:val="20319C52"/>
    <w:rsid w:val="20418030"/>
    <w:rsid w:val="20422DD2"/>
    <w:rsid w:val="204E1D9B"/>
    <w:rsid w:val="204E552D"/>
    <w:rsid w:val="2054AB9F"/>
    <w:rsid w:val="20582CBF"/>
    <w:rsid w:val="205C3C91"/>
    <w:rsid w:val="205F8B96"/>
    <w:rsid w:val="206168D6"/>
    <w:rsid w:val="206D802D"/>
    <w:rsid w:val="20751545"/>
    <w:rsid w:val="207594EB"/>
    <w:rsid w:val="2075D85B"/>
    <w:rsid w:val="2079E9CF"/>
    <w:rsid w:val="207B6ACA"/>
    <w:rsid w:val="207EED4F"/>
    <w:rsid w:val="2088E0B8"/>
    <w:rsid w:val="20899E49"/>
    <w:rsid w:val="208F7AC2"/>
    <w:rsid w:val="20943D46"/>
    <w:rsid w:val="2098D35A"/>
    <w:rsid w:val="2098F420"/>
    <w:rsid w:val="209C3122"/>
    <w:rsid w:val="209D52D3"/>
    <w:rsid w:val="20A5A37B"/>
    <w:rsid w:val="20AD621B"/>
    <w:rsid w:val="20B32303"/>
    <w:rsid w:val="20B9ED7F"/>
    <w:rsid w:val="20BD67B9"/>
    <w:rsid w:val="20C58FC9"/>
    <w:rsid w:val="20CD2BBF"/>
    <w:rsid w:val="20D0D8A4"/>
    <w:rsid w:val="20D53D22"/>
    <w:rsid w:val="20D5FF70"/>
    <w:rsid w:val="20D8CC4D"/>
    <w:rsid w:val="20DB81EA"/>
    <w:rsid w:val="20DBEE0B"/>
    <w:rsid w:val="20DE80D1"/>
    <w:rsid w:val="20E0AB0D"/>
    <w:rsid w:val="20F1D192"/>
    <w:rsid w:val="20F3177E"/>
    <w:rsid w:val="20F4BDB8"/>
    <w:rsid w:val="20F87524"/>
    <w:rsid w:val="20FA7E97"/>
    <w:rsid w:val="210022A0"/>
    <w:rsid w:val="21040D6B"/>
    <w:rsid w:val="21066050"/>
    <w:rsid w:val="2118A4CB"/>
    <w:rsid w:val="21209419"/>
    <w:rsid w:val="212650BE"/>
    <w:rsid w:val="212F3173"/>
    <w:rsid w:val="212F55B1"/>
    <w:rsid w:val="21300BF4"/>
    <w:rsid w:val="21316DD6"/>
    <w:rsid w:val="2133CC76"/>
    <w:rsid w:val="2134369F"/>
    <w:rsid w:val="213BBE57"/>
    <w:rsid w:val="213E22FB"/>
    <w:rsid w:val="21487037"/>
    <w:rsid w:val="2153438E"/>
    <w:rsid w:val="21535788"/>
    <w:rsid w:val="2154E116"/>
    <w:rsid w:val="2155A7FC"/>
    <w:rsid w:val="2157A703"/>
    <w:rsid w:val="21662B00"/>
    <w:rsid w:val="216BD58B"/>
    <w:rsid w:val="216CEA6A"/>
    <w:rsid w:val="217BE97B"/>
    <w:rsid w:val="21823DD5"/>
    <w:rsid w:val="2188580A"/>
    <w:rsid w:val="218A55A8"/>
    <w:rsid w:val="218C2739"/>
    <w:rsid w:val="218DDEE0"/>
    <w:rsid w:val="21916507"/>
    <w:rsid w:val="21986E83"/>
    <w:rsid w:val="21999DF6"/>
    <w:rsid w:val="21A91F34"/>
    <w:rsid w:val="21AB1F8F"/>
    <w:rsid w:val="21ADFD7E"/>
    <w:rsid w:val="21AE2483"/>
    <w:rsid w:val="21B6368E"/>
    <w:rsid w:val="21BDBC2A"/>
    <w:rsid w:val="21CB9CE6"/>
    <w:rsid w:val="21CC775F"/>
    <w:rsid w:val="21CDD9B7"/>
    <w:rsid w:val="21CE8287"/>
    <w:rsid w:val="21D8DA20"/>
    <w:rsid w:val="21E4EE51"/>
    <w:rsid w:val="21E60FAD"/>
    <w:rsid w:val="21EDC7CA"/>
    <w:rsid w:val="21EEA5F1"/>
    <w:rsid w:val="21FAE542"/>
    <w:rsid w:val="2214697A"/>
    <w:rsid w:val="222100A2"/>
    <w:rsid w:val="2222E865"/>
    <w:rsid w:val="22278134"/>
    <w:rsid w:val="222E2622"/>
    <w:rsid w:val="222F0FC6"/>
    <w:rsid w:val="223144A7"/>
    <w:rsid w:val="2231CD46"/>
    <w:rsid w:val="223B6137"/>
    <w:rsid w:val="22484464"/>
    <w:rsid w:val="2248534A"/>
    <w:rsid w:val="224DB49F"/>
    <w:rsid w:val="22571DAE"/>
    <w:rsid w:val="22592BA3"/>
    <w:rsid w:val="22655BBE"/>
    <w:rsid w:val="226F44C3"/>
    <w:rsid w:val="22706322"/>
    <w:rsid w:val="227AC57A"/>
    <w:rsid w:val="227C2354"/>
    <w:rsid w:val="227F6CAD"/>
    <w:rsid w:val="22851179"/>
    <w:rsid w:val="228694C5"/>
    <w:rsid w:val="228696B2"/>
    <w:rsid w:val="228B1EA1"/>
    <w:rsid w:val="228D15CB"/>
    <w:rsid w:val="229DD2A3"/>
    <w:rsid w:val="22A02B05"/>
    <w:rsid w:val="22A207EC"/>
    <w:rsid w:val="22A22A20"/>
    <w:rsid w:val="22A2AB1B"/>
    <w:rsid w:val="22A3E026"/>
    <w:rsid w:val="22A7AE7B"/>
    <w:rsid w:val="22B3CC27"/>
    <w:rsid w:val="22C76893"/>
    <w:rsid w:val="22C94A2E"/>
    <w:rsid w:val="22D03AEC"/>
    <w:rsid w:val="22DB5FA6"/>
    <w:rsid w:val="22DC4C8D"/>
    <w:rsid w:val="22DC742D"/>
    <w:rsid w:val="22E72BDD"/>
    <w:rsid w:val="22EB725A"/>
    <w:rsid w:val="22F61EC5"/>
    <w:rsid w:val="2314FBB1"/>
    <w:rsid w:val="232068D5"/>
    <w:rsid w:val="23227CE1"/>
    <w:rsid w:val="23279BA4"/>
    <w:rsid w:val="2329C629"/>
    <w:rsid w:val="232EC097"/>
    <w:rsid w:val="2334CFA6"/>
    <w:rsid w:val="233685AA"/>
    <w:rsid w:val="2339D4C6"/>
    <w:rsid w:val="233A5C61"/>
    <w:rsid w:val="2344CFA5"/>
    <w:rsid w:val="2345D371"/>
    <w:rsid w:val="2345FDE5"/>
    <w:rsid w:val="23525000"/>
    <w:rsid w:val="236089AF"/>
    <w:rsid w:val="23620B30"/>
    <w:rsid w:val="23623509"/>
    <w:rsid w:val="23628080"/>
    <w:rsid w:val="236468C5"/>
    <w:rsid w:val="2364A4B6"/>
    <w:rsid w:val="2365AC7B"/>
    <w:rsid w:val="2370362C"/>
    <w:rsid w:val="237CEDD2"/>
    <w:rsid w:val="238C477E"/>
    <w:rsid w:val="238DEB94"/>
    <w:rsid w:val="239CFBA7"/>
    <w:rsid w:val="239DD2A5"/>
    <w:rsid w:val="23A321CE"/>
    <w:rsid w:val="23A8F363"/>
    <w:rsid w:val="23AC3D7C"/>
    <w:rsid w:val="23AF29D5"/>
    <w:rsid w:val="23C3BB1E"/>
    <w:rsid w:val="23C52312"/>
    <w:rsid w:val="23C6558A"/>
    <w:rsid w:val="23CE83C6"/>
    <w:rsid w:val="23D2C943"/>
    <w:rsid w:val="23F60F1B"/>
    <w:rsid w:val="23F67741"/>
    <w:rsid w:val="2400A5F5"/>
    <w:rsid w:val="2400DF69"/>
    <w:rsid w:val="240C7841"/>
    <w:rsid w:val="2414D85D"/>
    <w:rsid w:val="2415C862"/>
    <w:rsid w:val="241F8D59"/>
    <w:rsid w:val="2421525A"/>
    <w:rsid w:val="242371E4"/>
    <w:rsid w:val="242911A1"/>
    <w:rsid w:val="242A5A2F"/>
    <w:rsid w:val="243260C9"/>
    <w:rsid w:val="2432E7FB"/>
    <w:rsid w:val="2437096B"/>
    <w:rsid w:val="2437493D"/>
    <w:rsid w:val="24386B8E"/>
    <w:rsid w:val="243A1C7B"/>
    <w:rsid w:val="2446A5AA"/>
    <w:rsid w:val="244E22F9"/>
    <w:rsid w:val="245AE050"/>
    <w:rsid w:val="2471249D"/>
    <w:rsid w:val="2475EB71"/>
    <w:rsid w:val="247B4B77"/>
    <w:rsid w:val="247F8C3C"/>
    <w:rsid w:val="2480B7F4"/>
    <w:rsid w:val="2480F4E4"/>
    <w:rsid w:val="24818F58"/>
    <w:rsid w:val="2488030D"/>
    <w:rsid w:val="2489CC04"/>
    <w:rsid w:val="248AFFA7"/>
    <w:rsid w:val="248C81F3"/>
    <w:rsid w:val="24956712"/>
    <w:rsid w:val="24A8CC3F"/>
    <w:rsid w:val="24B6317B"/>
    <w:rsid w:val="24BA9205"/>
    <w:rsid w:val="24C7B713"/>
    <w:rsid w:val="24CED2FE"/>
    <w:rsid w:val="24D09280"/>
    <w:rsid w:val="24E60DE8"/>
    <w:rsid w:val="24E75598"/>
    <w:rsid w:val="24ECDC3C"/>
    <w:rsid w:val="24F2C4E2"/>
    <w:rsid w:val="24F81975"/>
    <w:rsid w:val="24FE9FAE"/>
    <w:rsid w:val="250393D7"/>
    <w:rsid w:val="250EC34A"/>
    <w:rsid w:val="250F43C3"/>
    <w:rsid w:val="25107CF7"/>
    <w:rsid w:val="251AA7D3"/>
    <w:rsid w:val="251C0D23"/>
    <w:rsid w:val="251D224E"/>
    <w:rsid w:val="25215643"/>
    <w:rsid w:val="252A5A90"/>
    <w:rsid w:val="252EBE53"/>
    <w:rsid w:val="253542BC"/>
    <w:rsid w:val="253AB3DA"/>
    <w:rsid w:val="253AE129"/>
    <w:rsid w:val="25447018"/>
    <w:rsid w:val="2548742C"/>
    <w:rsid w:val="254ACD14"/>
    <w:rsid w:val="25564D0D"/>
    <w:rsid w:val="255AD6FC"/>
    <w:rsid w:val="255D08A8"/>
    <w:rsid w:val="255FD9DC"/>
    <w:rsid w:val="25617974"/>
    <w:rsid w:val="25619A5B"/>
    <w:rsid w:val="25640D88"/>
    <w:rsid w:val="2569630D"/>
    <w:rsid w:val="25696A7D"/>
    <w:rsid w:val="2569FE3B"/>
    <w:rsid w:val="256C8112"/>
    <w:rsid w:val="2570D237"/>
    <w:rsid w:val="2573A683"/>
    <w:rsid w:val="2576F9B6"/>
    <w:rsid w:val="25849649"/>
    <w:rsid w:val="258529CA"/>
    <w:rsid w:val="258B6F08"/>
    <w:rsid w:val="258F0E37"/>
    <w:rsid w:val="25904428"/>
    <w:rsid w:val="25906998"/>
    <w:rsid w:val="2598EF13"/>
    <w:rsid w:val="25A60123"/>
    <w:rsid w:val="25A879F3"/>
    <w:rsid w:val="25A91ABB"/>
    <w:rsid w:val="25ABE0E5"/>
    <w:rsid w:val="25ACF07F"/>
    <w:rsid w:val="25AE387E"/>
    <w:rsid w:val="25BFCC07"/>
    <w:rsid w:val="25C1DB22"/>
    <w:rsid w:val="25C91CE7"/>
    <w:rsid w:val="25D8DF3F"/>
    <w:rsid w:val="25D918BD"/>
    <w:rsid w:val="25DD7D62"/>
    <w:rsid w:val="25E0117F"/>
    <w:rsid w:val="25E378FE"/>
    <w:rsid w:val="25EF48DE"/>
    <w:rsid w:val="25F3114B"/>
    <w:rsid w:val="25F3FE54"/>
    <w:rsid w:val="25F8BEDA"/>
    <w:rsid w:val="25FCE61E"/>
    <w:rsid w:val="260050FD"/>
    <w:rsid w:val="260A9CEB"/>
    <w:rsid w:val="260C9E32"/>
    <w:rsid w:val="2613A974"/>
    <w:rsid w:val="2614D692"/>
    <w:rsid w:val="26195BF3"/>
    <w:rsid w:val="261AA2D4"/>
    <w:rsid w:val="261B5F40"/>
    <w:rsid w:val="261DAAFA"/>
    <w:rsid w:val="26213898"/>
    <w:rsid w:val="26258C89"/>
    <w:rsid w:val="26297528"/>
    <w:rsid w:val="26337163"/>
    <w:rsid w:val="263409E7"/>
    <w:rsid w:val="2634619A"/>
    <w:rsid w:val="263EA52B"/>
    <w:rsid w:val="2642C739"/>
    <w:rsid w:val="26451B3E"/>
    <w:rsid w:val="26487B77"/>
    <w:rsid w:val="264E661B"/>
    <w:rsid w:val="2655C734"/>
    <w:rsid w:val="2656AEB1"/>
    <w:rsid w:val="2656B6E3"/>
    <w:rsid w:val="265ADD00"/>
    <w:rsid w:val="266D7D75"/>
    <w:rsid w:val="266E0552"/>
    <w:rsid w:val="2677CA55"/>
    <w:rsid w:val="268B5AB9"/>
    <w:rsid w:val="268EE563"/>
    <w:rsid w:val="268F7496"/>
    <w:rsid w:val="2696B5AA"/>
    <w:rsid w:val="26974102"/>
    <w:rsid w:val="26A503E6"/>
    <w:rsid w:val="26A63695"/>
    <w:rsid w:val="26A773BF"/>
    <w:rsid w:val="26AAAB45"/>
    <w:rsid w:val="26C26033"/>
    <w:rsid w:val="26C517B0"/>
    <w:rsid w:val="26C64B1E"/>
    <w:rsid w:val="26CC3500"/>
    <w:rsid w:val="26CCBF10"/>
    <w:rsid w:val="26D28BEA"/>
    <w:rsid w:val="26D2EF1E"/>
    <w:rsid w:val="26D44C1C"/>
    <w:rsid w:val="26D69290"/>
    <w:rsid w:val="26DAC6BA"/>
    <w:rsid w:val="26E04AF6"/>
    <w:rsid w:val="26EC360D"/>
    <w:rsid w:val="26EC9B80"/>
    <w:rsid w:val="26EDE3C1"/>
    <w:rsid w:val="26F1B209"/>
    <w:rsid w:val="26F993E0"/>
    <w:rsid w:val="26FDCD40"/>
    <w:rsid w:val="26FF574E"/>
    <w:rsid w:val="27011C47"/>
    <w:rsid w:val="2704C6E3"/>
    <w:rsid w:val="27107ED2"/>
    <w:rsid w:val="27166947"/>
    <w:rsid w:val="27176BB6"/>
    <w:rsid w:val="271AC975"/>
    <w:rsid w:val="272071B5"/>
    <w:rsid w:val="2720769A"/>
    <w:rsid w:val="27213B1C"/>
    <w:rsid w:val="273019CB"/>
    <w:rsid w:val="2735534E"/>
    <w:rsid w:val="2736274E"/>
    <w:rsid w:val="2738CFCA"/>
    <w:rsid w:val="273AAE93"/>
    <w:rsid w:val="274147D5"/>
    <w:rsid w:val="274C1036"/>
    <w:rsid w:val="27511146"/>
    <w:rsid w:val="275342FD"/>
    <w:rsid w:val="275CF499"/>
    <w:rsid w:val="2769AE3F"/>
    <w:rsid w:val="276DB61C"/>
    <w:rsid w:val="276F34E1"/>
    <w:rsid w:val="27827080"/>
    <w:rsid w:val="278E3881"/>
    <w:rsid w:val="278F4FFA"/>
    <w:rsid w:val="2791BCDA"/>
    <w:rsid w:val="27932E37"/>
    <w:rsid w:val="279C0CFC"/>
    <w:rsid w:val="279C8246"/>
    <w:rsid w:val="279FFBB1"/>
    <w:rsid w:val="27A77F35"/>
    <w:rsid w:val="27AC65D9"/>
    <w:rsid w:val="27AC6F3E"/>
    <w:rsid w:val="27B7DDC1"/>
    <w:rsid w:val="27BC32E4"/>
    <w:rsid w:val="27C0A3AC"/>
    <w:rsid w:val="27D1B346"/>
    <w:rsid w:val="27D43BFB"/>
    <w:rsid w:val="27D54635"/>
    <w:rsid w:val="27DB1461"/>
    <w:rsid w:val="27E81DA7"/>
    <w:rsid w:val="27E86859"/>
    <w:rsid w:val="27EAF651"/>
    <w:rsid w:val="27EE449D"/>
    <w:rsid w:val="27F44121"/>
    <w:rsid w:val="27F4F410"/>
    <w:rsid w:val="27F8ED8B"/>
    <w:rsid w:val="27FA579B"/>
    <w:rsid w:val="27FDC2C3"/>
    <w:rsid w:val="2807F944"/>
    <w:rsid w:val="280C48EA"/>
    <w:rsid w:val="280D10B1"/>
    <w:rsid w:val="281F8531"/>
    <w:rsid w:val="28291AE2"/>
    <w:rsid w:val="282A0266"/>
    <w:rsid w:val="282CB2B1"/>
    <w:rsid w:val="282D5B0E"/>
    <w:rsid w:val="28346A5A"/>
    <w:rsid w:val="2834BD2E"/>
    <w:rsid w:val="28379F32"/>
    <w:rsid w:val="28390815"/>
    <w:rsid w:val="283B9190"/>
    <w:rsid w:val="283DB259"/>
    <w:rsid w:val="284029FA"/>
    <w:rsid w:val="284060A5"/>
    <w:rsid w:val="2841C30D"/>
    <w:rsid w:val="2846EB3D"/>
    <w:rsid w:val="284E4CF1"/>
    <w:rsid w:val="28516EA5"/>
    <w:rsid w:val="2854A66F"/>
    <w:rsid w:val="285FD0C1"/>
    <w:rsid w:val="28674320"/>
    <w:rsid w:val="2867BD96"/>
    <w:rsid w:val="286CE687"/>
    <w:rsid w:val="287389BE"/>
    <w:rsid w:val="28781A33"/>
    <w:rsid w:val="287A7D18"/>
    <w:rsid w:val="287E6AF0"/>
    <w:rsid w:val="288BE394"/>
    <w:rsid w:val="288E3406"/>
    <w:rsid w:val="28969E6D"/>
    <w:rsid w:val="289726A3"/>
    <w:rsid w:val="28A2104D"/>
    <w:rsid w:val="28A6FFB0"/>
    <w:rsid w:val="28A8FB29"/>
    <w:rsid w:val="28AC4284"/>
    <w:rsid w:val="28AE5BEA"/>
    <w:rsid w:val="28BCCE4A"/>
    <w:rsid w:val="28C6F528"/>
    <w:rsid w:val="28D33754"/>
    <w:rsid w:val="28D42614"/>
    <w:rsid w:val="28D95832"/>
    <w:rsid w:val="28DB6513"/>
    <w:rsid w:val="28E5A093"/>
    <w:rsid w:val="28E7B7FE"/>
    <w:rsid w:val="28F020E8"/>
    <w:rsid w:val="28FB58FF"/>
    <w:rsid w:val="29052BC6"/>
    <w:rsid w:val="290684E0"/>
    <w:rsid w:val="290E52BE"/>
    <w:rsid w:val="29108D72"/>
    <w:rsid w:val="2917DD1A"/>
    <w:rsid w:val="292424D3"/>
    <w:rsid w:val="2927E558"/>
    <w:rsid w:val="293016F8"/>
    <w:rsid w:val="293229A5"/>
    <w:rsid w:val="29331867"/>
    <w:rsid w:val="2934F1E3"/>
    <w:rsid w:val="293BEF58"/>
    <w:rsid w:val="293C81A5"/>
    <w:rsid w:val="293E2CA0"/>
    <w:rsid w:val="2945E2F7"/>
    <w:rsid w:val="294AEFF0"/>
    <w:rsid w:val="2956DB86"/>
    <w:rsid w:val="295735A1"/>
    <w:rsid w:val="295E87D9"/>
    <w:rsid w:val="29600D45"/>
    <w:rsid w:val="2966DDCF"/>
    <w:rsid w:val="296BCF72"/>
    <w:rsid w:val="2973338F"/>
    <w:rsid w:val="297FF7D1"/>
    <w:rsid w:val="2980B9BA"/>
    <w:rsid w:val="29889873"/>
    <w:rsid w:val="2992990C"/>
    <w:rsid w:val="299A3B9D"/>
    <w:rsid w:val="29A4FCD7"/>
    <w:rsid w:val="29B3DCD1"/>
    <w:rsid w:val="29B69CC9"/>
    <w:rsid w:val="29B82A63"/>
    <w:rsid w:val="29BE490A"/>
    <w:rsid w:val="29CCC1F5"/>
    <w:rsid w:val="29CCFA9F"/>
    <w:rsid w:val="29CF0C75"/>
    <w:rsid w:val="29D40E2E"/>
    <w:rsid w:val="29DB4B21"/>
    <w:rsid w:val="29DD8C04"/>
    <w:rsid w:val="29DE2375"/>
    <w:rsid w:val="29E0BB6F"/>
    <w:rsid w:val="29E72A26"/>
    <w:rsid w:val="29E8F597"/>
    <w:rsid w:val="29E97C7E"/>
    <w:rsid w:val="29ED1797"/>
    <w:rsid w:val="29EF0DCA"/>
    <w:rsid w:val="29FA688B"/>
    <w:rsid w:val="2A017BE7"/>
    <w:rsid w:val="2A018A67"/>
    <w:rsid w:val="2A028742"/>
    <w:rsid w:val="2A133F0F"/>
    <w:rsid w:val="2A192214"/>
    <w:rsid w:val="2A1E2CA8"/>
    <w:rsid w:val="2A21D887"/>
    <w:rsid w:val="2A225B33"/>
    <w:rsid w:val="2A232B19"/>
    <w:rsid w:val="2A28F322"/>
    <w:rsid w:val="2A2BA429"/>
    <w:rsid w:val="2A2F0E99"/>
    <w:rsid w:val="2A2FE35A"/>
    <w:rsid w:val="2A312608"/>
    <w:rsid w:val="2A38555B"/>
    <w:rsid w:val="2A39559A"/>
    <w:rsid w:val="2A3A478B"/>
    <w:rsid w:val="2A3AF2A8"/>
    <w:rsid w:val="2A3C37A6"/>
    <w:rsid w:val="2A3F0BD9"/>
    <w:rsid w:val="2A41F069"/>
    <w:rsid w:val="2A44001D"/>
    <w:rsid w:val="2A46BC87"/>
    <w:rsid w:val="2A471362"/>
    <w:rsid w:val="2A4989D2"/>
    <w:rsid w:val="2A4A0C5A"/>
    <w:rsid w:val="2A4A37CE"/>
    <w:rsid w:val="2A4E76EB"/>
    <w:rsid w:val="2A4FFE01"/>
    <w:rsid w:val="2A5F8C76"/>
    <w:rsid w:val="2A615244"/>
    <w:rsid w:val="2A67CAF0"/>
    <w:rsid w:val="2A6F66A2"/>
    <w:rsid w:val="2A773057"/>
    <w:rsid w:val="2A7A02AF"/>
    <w:rsid w:val="2A7D91FD"/>
    <w:rsid w:val="2A7F9757"/>
    <w:rsid w:val="2A8640D1"/>
    <w:rsid w:val="2A871A10"/>
    <w:rsid w:val="2A88A0AB"/>
    <w:rsid w:val="2A8ABFDA"/>
    <w:rsid w:val="2A8D91F2"/>
    <w:rsid w:val="2A9836AD"/>
    <w:rsid w:val="2A99891A"/>
    <w:rsid w:val="2AA0FA98"/>
    <w:rsid w:val="2AA677F9"/>
    <w:rsid w:val="2AAD17CE"/>
    <w:rsid w:val="2AB624BD"/>
    <w:rsid w:val="2AC529C2"/>
    <w:rsid w:val="2AC7E8C5"/>
    <w:rsid w:val="2ACA9658"/>
    <w:rsid w:val="2ACC9873"/>
    <w:rsid w:val="2AD20818"/>
    <w:rsid w:val="2AD2455D"/>
    <w:rsid w:val="2AD3446F"/>
    <w:rsid w:val="2ADABE35"/>
    <w:rsid w:val="2AEFACF1"/>
    <w:rsid w:val="2AFB3372"/>
    <w:rsid w:val="2B012182"/>
    <w:rsid w:val="2B01DDE5"/>
    <w:rsid w:val="2B039A6A"/>
    <w:rsid w:val="2B09AB7F"/>
    <w:rsid w:val="2B0ACE93"/>
    <w:rsid w:val="2B0E2AEC"/>
    <w:rsid w:val="2B10850A"/>
    <w:rsid w:val="2B164233"/>
    <w:rsid w:val="2B23D641"/>
    <w:rsid w:val="2B251856"/>
    <w:rsid w:val="2B2AE0E7"/>
    <w:rsid w:val="2B2DD4B8"/>
    <w:rsid w:val="2B352C82"/>
    <w:rsid w:val="2B3941E9"/>
    <w:rsid w:val="2B399C9F"/>
    <w:rsid w:val="2B3BDFE4"/>
    <w:rsid w:val="2B3D8F19"/>
    <w:rsid w:val="2B3F3FF2"/>
    <w:rsid w:val="2B464CBE"/>
    <w:rsid w:val="2B4FB5E1"/>
    <w:rsid w:val="2B50D8B0"/>
    <w:rsid w:val="2B5D0F2A"/>
    <w:rsid w:val="2B5E1650"/>
    <w:rsid w:val="2B5E5582"/>
    <w:rsid w:val="2B637130"/>
    <w:rsid w:val="2B68E18B"/>
    <w:rsid w:val="2B70F76E"/>
    <w:rsid w:val="2B753560"/>
    <w:rsid w:val="2B77D365"/>
    <w:rsid w:val="2B79EEC2"/>
    <w:rsid w:val="2B7E0F6A"/>
    <w:rsid w:val="2B7FA695"/>
    <w:rsid w:val="2B817E42"/>
    <w:rsid w:val="2B8D55B8"/>
    <w:rsid w:val="2B8F8839"/>
    <w:rsid w:val="2B90F49E"/>
    <w:rsid w:val="2B985EF6"/>
    <w:rsid w:val="2B9A5470"/>
    <w:rsid w:val="2B9C50AF"/>
    <w:rsid w:val="2B9DC2D7"/>
    <w:rsid w:val="2BA5178A"/>
    <w:rsid w:val="2BA8959F"/>
    <w:rsid w:val="2BADD1C7"/>
    <w:rsid w:val="2BBC76AA"/>
    <w:rsid w:val="2BC938B5"/>
    <w:rsid w:val="2BD5C296"/>
    <w:rsid w:val="2BD7BE8C"/>
    <w:rsid w:val="2BD8E80A"/>
    <w:rsid w:val="2BDC115E"/>
    <w:rsid w:val="2BDEA155"/>
    <w:rsid w:val="2BE14158"/>
    <w:rsid w:val="2BE4B07A"/>
    <w:rsid w:val="2BE9180A"/>
    <w:rsid w:val="2BEEF2C9"/>
    <w:rsid w:val="2BEF2953"/>
    <w:rsid w:val="2BF8D56C"/>
    <w:rsid w:val="2BFA6A7C"/>
    <w:rsid w:val="2C075D17"/>
    <w:rsid w:val="2C094CED"/>
    <w:rsid w:val="2C0F8198"/>
    <w:rsid w:val="2C16DCD5"/>
    <w:rsid w:val="2C1E7305"/>
    <w:rsid w:val="2C21D385"/>
    <w:rsid w:val="2C2741A0"/>
    <w:rsid w:val="2C28C822"/>
    <w:rsid w:val="2C2A44BB"/>
    <w:rsid w:val="2C2ACE7F"/>
    <w:rsid w:val="2C2F87DD"/>
    <w:rsid w:val="2C3E5D6E"/>
    <w:rsid w:val="2C473A1D"/>
    <w:rsid w:val="2C486E3B"/>
    <w:rsid w:val="2C4DA4C8"/>
    <w:rsid w:val="2C500582"/>
    <w:rsid w:val="2C58CCB4"/>
    <w:rsid w:val="2C6863A7"/>
    <w:rsid w:val="2C78C29C"/>
    <w:rsid w:val="2C790954"/>
    <w:rsid w:val="2C818962"/>
    <w:rsid w:val="2C81956C"/>
    <w:rsid w:val="2C8D1A98"/>
    <w:rsid w:val="2C8F9B35"/>
    <w:rsid w:val="2C906CEB"/>
    <w:rsid w:val="2C949CE0"/>
    <w:rsid w:val="2C95FFE9"/>
    <w:rsid w:val="2C969104"/>
    <w:rsid w:val="2CA2F83C"/>
    <w:rsid w:val="2CA37E43"/>
    <w:rsid w:val="2CBA3A3F"/>
    <w:rsid w:val="2CC52562"/>
    <w:rsid w:val="2CCDF1CF"/>
    <w:rsid w:val="2CD2BB42"/>
    <w:rsid w:val="2CD37E7B"/>
    <w:rsid w:val="2CD5B16D"/>
    <w:rsid w:val="2CD7A732"/>
    <w:rsid w:val="2CD9641B"/>
    <w:rsid w:val="2CE001A2"/>
    <w:rsid w:val="2CE9411F"/>
    <w:rsid w:val="2CEF41D0"/>
    <w:rsid w:val="2CF1A4C0"/>
    <w:rsid w:val="2CF47783"/>
    <w:rsid w:val="2CF79AAA"/>
    <w:rsid w:val="2D0162F1"/>
    <w:rsid w:val="2D0C61A0"/>
    <w:rsid w:val="2D126EF0"/>
    <w:rsid w:val="2D1FF2FF"/>
    <w:rsid w:val="2D23B8B4"/>
    <w:rsid w:val="2D254B2B"/>
    <w:rsid w:val="2D25ADE0"/>
    <w:rsid w:val="2D280390"/>
    <w:rsid w:val="2D28BE83"/>
    <w:rsid w:val="2D41307B"/>
    <w:rsid w:val="2D435A67"/>
    <w:rsid w:val="2D454C8A"/>
    <w:rsid w:val="2D4A895D"/>
    <w:rsid w:val="2D4DDE7B"/>
    <w:rsid w:val="2D4E8EC2"/>
    <w:rsid w:val="2D51AE20"/>
    <w:rsid w:val="2D53F738"/>
    <w:rsid w:val="2D5B88C2"/>
    <w:rsid w:val="2D61EBE7"/>
    <w:rsid w:val="2D65C3DD"/>
    <w:rsid w:val="2D67E662"/>
    <w:rsid w:val="2D6DF91A"/>
    <w:rsid w:val="2D6E414D"/>
    <w:rsid w:val="2D6EAAFE"/>
    <w:rsid w:val="2D73463C"/>
    <w:rsid w:val="2D7370EE"/>
    <w:rsid w:val="2D74F09B"/>
    <w:rsid w:val="2D77B7C0"/>
    <w:rsid w:val="2D78C0F7"/>
    <w:rsid w:val="2D815C5B"/>
    <w:rsid w:val="2D82B5F7"/>
    <w:rsid w:val="2D8402C7"/>
    <w:rsid w:val="2D868630"/>
    <w:rsid w:val="2D8A7C2F"/>
    <w:rsid w:val="2D937D4E"/>
    <w:rsid w:val="2D9927E3"/>
    <w:rsid w:val="2D995504"/>
    <w:rsid w:val="2D9D342A"/>
    <w:rsid w:val="2DAF7FF4"/>
    <w:rsid w:val="2DAFABA0"/>
    <w:rsid w:val="2DB5F001"/>
    <w:rsid w:val="2DB69133"/>
    <w:rsid w:val="2DC1A916"/>
    <w:rsid w:val="2DC2EA32"/>
    <w:rsid w:val="2DC9FE3E"/>
    <w:rsid w:val="2DD1127E"/>
    <w:rsid w:val="2DD12133"/>
    <w:rsid w:val="2DDF968A"/>
    <w:rsid w:val="2DE0CAEE"/>
    <w:rsid w:val="2DE143B3"/>
    <w:rsid w:val="2DE23D02"/>
    <w:rsid w:val="2DE51250"/>
    <w:rsid w:val="2DE71178"/>
    <w:rsid w:val="2DE9BEC2"/>
    <w:rsid w:val="2E0A567E"/>
    <w:rsid w:val="2E0D4E8A"/>
    <w:rsid w:val="2E0E2659"/>
    <w:rsid w:val="2E0EE5D0"/>
    <w:rsid w:val="2E125146"/>
    <w:rsid w:val="2E145CCE"/>
    <w:rsid w:val="2E156220"/>
    <w:rsid w:val="2E1A918D"/>
    <w:rsid w:val="2E218F3D"/>
    <w:rsid w:val="2E2883E7"/>
    <w:rsid w:val="2E30410D"/>
    <w:rsid w:val="2E33EEA4"/>
    <w:rsid w:val="2E365895"/>
    <w:rsid w:val="2E3C87EB"/>
    <w:rsid w:val="2E433AFA"/>
    <w:rsid w:val="2E45C98B"/>
    <w:rsid w:val="2E4EC641"/>
    <w:rsid w:val="2E5404E6"/>
    <w:rsid w:val="2E5CC622"/>
    <w:rsid w:val="2E5D8AC3"/>
    <w:rsid w:val="2E601321"/>
    <w:rsid w:val="2E720FB8"/>
    <w:rsid w:val="2E743FF0"/>
    <w:rsid w:val="2E7D32EC"/>
    <w:rsid w:val="2E819621"/>
    <w:rsid w:val="2E81CB41"/>
    <w:rsid w:val="2E8411F7"/>
    <w:rsid w:val="2E8433BF"/>
    <w:rsid w:val="2E848E50"/>
    <w:rsid w:val="2E89F12B"/>
    <w:rsid w:val="2E9051F4"/>
    <w:rsid w:val="2E953990"/>
    <w:rsid w:val="2E95E3F2"/>
    <w:rsid w:val="2E9613A8"/>
    <w:rsid w:val="2E97C837"/>
    <w:rsid w:val="2E9C53DE"/>
    <w:rsid w:val="2EA7D4E0"/>
    <w:rsid w:val="2EB23208"/>
    <w:rsid w:val="2EB769D5"/>
    <w:rsid w:val="2EB9AA03"/>
    <w:rsid w:val="2EBB8AFD"/>
    <w:rsid w:val="2EBCB7D1"/>
    <w:rsid w:val="2EBFE869"/>
    <w:rsid w:val="2EC45B88"/>
    <w:rsid w:val="2EC59BA9"/>
    <w:rsid w:val="2ED068C6"/>
    <w:rsid w:val="2ED4D59E"/>
    <w:rsid w:val="2ED69888"/>
    <w:rsid w:val="2EDDEB6C"/>
    <w:rsid w:val="2EDF05B9"/>
    <w:rsid w:val="2EDF4779"/>
    <w:rsid w:val="2EE02601"/>
    <w:rsid w:val="2EE5122E"/>
    <w:rsid w:val="2EE79651"/>
    <w:rsid w:val="2EF708FD"/>
    <w:rsid w:val="2EFF306A"/>
    <w:rsid w:val="2F05A65C"/>
    <w:rsid w:val="2F0A9B0E"/>
    <w:rsid w:val="2F0DB9D8"/>
    <w:rsid w:val="2F16E1F0"/>
    <w:rsid w:val="2F18C9CC"/>
    <w:rsid w:val="2F1D4CA6"/>
    <w:rsid w:val="2F1D96A6"/>
    <w:rsid w:val="2F225087"/>
    <w:rsid w:val="2F2DAE23"/>
    <w:rsid w:val="2F2FE5F8"/>
    <w:rsid w:val="2F3632BC"/>
    <w:rsid w:val="2F3977C7"/>
    <w:rsid w:val="2F3A59D6"/>
    <w:rsid w:val="2F3B51F1"/>
    <w:rsid w:val="2F3E995A"/>
    <w:rsid w:val="2F42F6A7"/>
    <w:rsid w:val="2F457739"/>
    <w:rsid w:val="2F457EB8"/>
    <w:rsid w:val="2F46DFA8"/>
    <w:rsid w:val="2F4E0E55"/>
    <w:rsid w:val="2F54D22D"/>
    <w:rsid w:val="2F59E496"/>
    <w:rsid w:val="2F5B8CC1"/>
    <w:rsid w:val="2F625B7B"/>
    <w:rsid w:val="2F6AFBA2"/>
    <w:rsid w:val="2F6E7DE5"/>
    <w:rsid w:val="2F7487AB"/>
    <w:rsid w:val="2F7AAA1C"/>
    <w:rsid w:val="2F7FF669"/>
    <w:rsid w:val="2F864BC6"/>
    <w:rsid w:val="2F89A5CF"/>
    <w:rsid w:val="2F8EB553"/>
    <w:rsid w:val="2F8F22CD"/>
    <w:rsid w:val="2F93165B"/>
    <w:rsid w:val="2F936704"/>
    <w:rsid w:val="2FA39B6A"/>
    <w:rsid w:val="2FADD4B7"/>
    <w:rsid w:val="2FAE2510"/>
    <w:rsid w:val="2FB76B90"/>
    <w:rsid w:val="2FBA301E"/>
    <w:rsid w:val="2FC472E2"/>
    <w:rsid w:val="2FC8E420"/>
    <w:rsid w:val="2FC8ED18"/>
    <w:rsid w:val="2FCD60AE"/>
    <w:rsid w:val="2FD59FBC"/>
    <w:rsid w:val="2FD5A1BF"/>
    <w:rsid w:val="2FD5B23D"/>
    <w:rsid w:val="2FDCA5A3"/>
    <w:rsid w:val="2FE68FD5"/>
    <w:rsid w:val="2FECA937"/>
    <w:rsid w:val="2FEE7169"/>
    <w:rsid w:val="2FF6FEB8"/>
    <w:rsid w:val="2FFCFE46"/>
    <w:rsid w:val="30049C7D"/>
    <w:rsid w:val="300D8E11"/>
    <w:rsid w:val="300F4F9E"/>
    <w:rsid w:val="3013FC47"/>
    <w:rsid w:val="3018EE26"/>
    <w:rsid w:val="301C9F1A"/>
    <w:rsid w:val="3026E64D"/>
    <w:rsid w:val="30305C63"/>
    <w:rsid w:val="303317FC"/>
    <w:rsid w:val="30375825"/>
    <w:rsid w:val="3037B3C6"/>
    <w:rsid w:val="3037CCC8"/>
    <w:rsid w:val="303F59FF"/>
    <w:rsid w:val="30471CFC"/>
    <w:rsid w:val="304A3ABF"/>
    <w:rsid w:val="304CBC1D"/>
    <w:rsid w:val="304D3D9B"/>
    <w:rsid w:val="304F42F0"/>
    <w:rsid w:val="304F79FC"/>
    <w:rsid w:val="30502690"/>
    <w:rsid w:val="3050F6D8"/>
    <w:rsid w:val="30581402"/>
    <w:rsid w:val="305BEBEA"/>
    <w:rsid w:val="30612F4F"/>
    <w:rsid w:val="30669C0E"/>
    <w:rsid w:val="306DEF2B"/>
    <w:rsid w:val="3075EC6E"/>
    <w:rsid w:val="3076984B"/>
    <w:rsid w:val="30810A5E"/>
    <w:rsid w:val="3083B914"/>
    <w:rsid w:val="308AAD02"/>
    <w:rsid w:val="30911F5E"/>
    <w:rsid w:val="30927326"/>
    <w:rsid w:val="3092DD09"/>
    <w:rsid w:val="3096590D"/>
    <w:rsid w:val="309BE215"/>
    <w:rsid w:val="309CBD7E"/>
    <w:rsid w:val="30A4CAFF"/>
    <w:rsid w:val="30AC7D94"/>
    <w:rsid w:val="30ADA536"/>
    <w:rsid w:val="30B2BDE4"/>
    <w:rsid w:val="30B4D88C"/>
    <w:rsid w:val="30B96E79"/>
    <w:rsid w:val="30B98CEF"/>
    <w:rsid w:val="30BE2367"/>
    <w:rsid w:val="30C83533"/>
    <w:rsid w:val="30C84F40"/>
    <w:rsid w:val="30C8CD8A"/>
    <w:rsid w:val="30D2A32A"/>
    <w:rsid w:val="30D4C38B"/>
    <w:rsid w:val="30D8A572"/>
    <w:rsid w:val="30E24182"/>
    <w:rsid w:val="30E3E1D5"/>
    <w:rsid w:val="30E49520"/>
    <w:rsid w:val="30E5AC40"/>
    <w:rsid w:val="30E661FE"/>
    <w:rsid w:val="30E78534"/>
    <w:rsid w:val="30E9ACFC"/>
    <w:rsid w:val="30EA68C1"/>
    <w:rsid w:val="30FC01FE"/>
    <w:rsid w:val="30FE980A"/>
    <w:rsid w:val="310271F6"/>
    <w:rsid w:val="3105AC61"/>
    <w:rsid w:val="310EBF38"/>
    <w:rsid w:val="311608D6"/>
    <w:rsid w:val="3118F247"/>
    <w:rsid w:val="311E5994"/>
    <w:rsid w:val="311FE724"/>
    <w:rsid w:val="31229F9D"/>
    <w:rsid w:val="31246CB7"/>
    <w:rsid w:val="312ABE9D"/>
    <w:rsid w:val="313713E0"/>
    <w:rsid w:val="313802D5"/>
    <w:rsid w:val="3138321C"/>
    <w:rsid w:val="3145D447"/>
    <w:rsid w:val="315D1342"/>
    <w:rsid w:val="3161B3F5"/>
    <w:rsid w:val="3161B867"/>
    <w:rsid w:val="3165E7C8"/>
    <w:rsid w:val="31660572"/>
    <w:rsid w:val="316A18CE"/>
    <w:rsid w:val="316B352A"/>
    <w:rsid w:val="316BD21F"/>
    <w:rsid w:val="31728908"/>
    <w:rsid w:val="3176225C"/>
    <w:rsid w:val="317C72D3"/>
    <w:rsid w:val="3184BCA0"/>
    <w:rsid w:val="31921FF5"/>
    <w:rsid w:val="31939E97"/>
    <w:rsid w:val="31950B7A"/>
    <w:rsid w:val="319EADE9"/>
    <w:rsid w:val="31A025CA"/>
    <w:rsid w:val="31A0D24F"/>
    <w:rsid w:val="31A428EF"/>
    <w:rsid w:val="31B9FA88"/>
    <w:rsid w:val="31BACBF1"/>
    <w:rsid w:val="31BAD667"/>
    <w:rsid w:val="31BFF441"/>
    <w:rsid w:val="31C56DFB"/>
    <w:rsid w:val="31CECAC0"/>
    <w:rsid w:val="31D5E622"/>
    <w:rsid w:val="31D7F3C5"/>
    <w:rsid w:val="31D9A56E"/>
    <w:rsid w:val="31DA754D"/>
    <w:rsid w:val="31DC5072"/>
    <w:rsid w:val="31E1FE90"/>
    <w:rsid w:val="31E357BC"/>
    <w:rsid w:val="31F82F8F"/>
    <w:rsid w:val="31F967E0"/>
    <w:rsid w:val="31FAA148"/>
    <w:rsid w:val="31FB03A5"/>
    <w:rsid w:val="31FEE94D"/>
    <w:rsid w:val="3200D0EA"/>
    <w:rsid w:val="32068C00"/>
    <w:rsid w:val="32071B8B"/>
    <w:rsid w:val="3208E9DB"/>
    <w:rsid w:val="320BAB45"/>
    <w:rsid w:val="320DE27C"/>
    <w:rsid w:val="3211D6C5"/>
    <w:rsid w:val="321339B7"/>
    <w:rsid w:val="321CF557"/>
    <w:rsid w:val="321E05BC"/>
    <w:rsid w:val="322959F2"/>
    <w:rsid w:val="322C5923"/>
    <w:rsid w:val="322CA99D"/>
    <w:rsid w:val="322D21D1"/>
    <w:rsid w:val="3234B163"/>
    <w:rsid w:val="323F7E56"/>
    <w:rsid w:val="324159CB"/>
    <w:rsid w:val="32476C18"/>
    <w:rsid w:val="324D3DF7"/>
    <w:rsid w:val="32511B38"/>
    <w:rsid w:val="325683A4"/>
    <w:rsid w:val="325984C7"/>
    <w:rsid w:val="325DA46F"/>
    <w:rsid w:val="325FA758"/>
    <w:rsid w:val="32614445"/>
    <w:rsid w:val="326D9091"/>
    <w:rsid w:val="3270C253"/>
    <w:rsid w:val="3272710D"/>
    <w:rsid w:val="3275E835"/>
    <w:rsid w:val="327BBD75"/>
    <w:rsid w:val="327DE129"/>
    <w:rsid w:val="327DE88D"/>
    <w:rsid w:val="3284A320"/>
    <w:rsid w:val="328A1917"/>
    <w:rsid w:val="32A4448C"/>
    <w:rsid w:val="32A5DAAD"/>
    <w:rsid w:val="32AF384A"/>
    <w:rsid w:val="32B11487"/>
    <w:rsid w:val="32B3E40A"/>
    <w:rsid w:val="32B75A29"/>
    <w:rsid w:val="32BCD728"/>
    <w:rsid w:val="32BEBF85"/>
    <w:rsid w:val="32C2FCE3"/>
    <w:rsid w:val="32C713D9"/>
    <w:rsid w:val="32C8D308"/>
    <w:rsid w:val="32CC0FE1"/>
    <w:rsid w:val="32CEFEEC"/>
    <w:rsid w:val="32D1E932"/>
    <w:rsid w:val="32D702A2"/>
    <w:rsid w:val="32D9BA15"/>
    <w:rsid w:val="32DD995B"/>
    <w:rsid w:val="32DDBD44"/>
    <w:rsid w:val="32EC31D4"/>
    <w:rsid w:val="32EFBF30"/>
    <w:rsid w:val="32F24963"/>
    <w:rsid w:val="32F6D835"/>
    <w:rsid w:val="330024AD"/>
    <w:rsid w:val="3306C8B1"/>
    <w:rsid w:val="330B67B9"/>
    <w:rsid w:val="330E277F"/>
    <w:rsid w:val="330EB8D2"/>
    <w:rsid w:val="3310A733"/>
    <w:rsid w:val="33182ABC"/>
    <w:rsid w:val="33198DCE"/>
    <w:rsid w:val="331C82A0"/>
    <w:rsid w:val="331C8DD9"/>
    <w:rsid w:val="332128CC"/>
    <w:rsid w:val="3332C7C6"/>
    <w:rsid w:val="33344B0C"/>
    <w:rsid w:val="3335E940"/>
    <w:rsid w:val="333B17C2"/>
    <w:rsid w:val="3348BD7F"/>
    <w:rsid w:val="334919E3"/>
    <w:rsid w:val="334C86D2"/>
    <w:rsid w:val="334EC17D"/>
    <w:rsid w:val="33582F51"/>
    <w:rsid w:val="335A9C2B"/>
    <w:rsid w:val="335C2B87"/>
    <w:rsid w:val="335FF445"/>
    <w:rsid w:val="336A7EC6"/>
    <w:rsid w:val="336BAF6A"/>
    <w:rsid w:val="336C8AE4"/>
    <w:rsid w:val="336D5E86"/>
    <w:rsid w:val="336DA9E6"/>
    <w:rsid w:val="337677B1"/>
    <w:rsid w:val="339C06D4"/>
    <w:rsid w:val="339D3B63"/>
    <w:rsid w:val="33BE6231"/>
    <w:rsid w:val="33C07850"/>
    <w:rsid w:val="33C8AFE4"/>
    <w:rsid w:val="33CA182B"/>
    <w:rsid w:val="33E4CE63"/>
    <w:rsid w:val="33E791FF"/>
    <w:rsid w:val="33EA98D2"/>
    <w:rsid w:val="33F1BC8E"/>
    <w:rsid w:val="33FB1DE7"/>
    <w:rsid w:val="3404173E"/>
    <w:rsid w:val="3407803A"/>
    <w:rsid w:val="34099809"/>
    <w:rsid w:val="340E0FCE"/>
    <w:rsid w:val="341660E7"/>
    <w:rsid w:val="341E3A0B"/>
    <w:rsid w:val="3424B74A"/>
    <w:rsid w:val="342E7A03"/>
    <w:rsid w:val="3433BDDE"/>
    <w:rsid w:val="343A4B52"/>
    <w:rsid w:val="34455B6A"/>
    <w:rsid w:val="3449049E"/>
    <w:rsid w:val="344C3A66"/>
    <w:rsid w:val="344E67A5"/>
    <w:rsid w:val="34526D05"/>
    <w:rsid w:val="345D5188"/>
    <w:rsid w:val="345E0898"/>
    <w:rsid w:val="345F3813"/>
    <w:rsid w:val="346101FF"/>
    <w:rsid w:val="3461A7CF"/>
    <w:rsid w:val="3461C25F"/>
    <w:rsid w:val="3462AD25"/>
    <w:rsid w:val="346620EA"/>
    <w:rsid w:val="346BCA92"/>
    <w:rsid w:val="3470ECA7"/>
    <w:rsid w:val="347C47C6"/>
    <w:rsid w:val="3491BEEB"/>
    <w:rsid w:val="3493B288"/>
    <w:rsid w:val="34A7D686"/>
    <w:rsid w:val="34AA09CE"/>
    <w:rsid w:val="34ABBCAB"/>
    <w:rsid w:val="34B03E98"/>
    <w:rsid w:val="34B083B1"/>
    <w:rsid w:val="34B46325"/>
    <w:rsid w:val="34B48645"/>
    <w:rsid w:val="34BA802D"/>
    <w:rsid w:val="34BE5CE7"/>
    <w:rsid w:val="34BEB687"/>
    <w:rsid w:val="34C2B3ED"/>
    <w:rsid w:val="34CC20C1"/>
    <w:rsid w:val="34CD5107"/>
    <w:rsid w:val="34D25E2F"/>
    <w:rsid w:val="34D56703"/>
    <w:rsid w:val="34D7B355"/>
    <w:rsid w:val="34D986C1"/>
    <w:rsid w:val="34DEC364"/>
    <w:rsid w:val="34E69B8E"/>
    <w:rsid w:val="34EBA738"/>
    <w:rsid w:val="34F7F05A"/>
    <w:rsid w:val="34F8768E"/>
    <w:rsid w:val="34F87C96"/>
    <w:rsid w:val="34FB6C48"/>
    <w:rsid w:val="3500A991"/>
    <w:rsid w:val="35010396"/>
    <w:rsid w:val="350609C6"/>
    <w:rsid w:val="35069B17"/>
    <w:rsid w:val="350A9A9B"/>
    <w:rsid w:val="350D46A0"/>
    <w:rsid w:val="35153FE6"/>
    <w:rsid w:val="351D18F8"/>
    <w:rsid w:val="351E57DD"/>
    <w:rsid w:val="352682D9"/>
    <w:rsid w:val="35269FA6"/>
    <w:rsid w:val="352E5182"/>
    <w:rsid w:val="35329EAC"/>
    <w:rsid w:val="353A18FF"/>
    <w:rsid w:val="3546393A"/>
    <w:rsid w:val="35485D01"/>
    <w:rsid w:val="35494CB7"/>
    <w:rsid w:val="354ACC1F"/>
    <w:rsid w:val="354AE2CE"/>
    <w:rsid w:val="355746FF"/>
    <w:rsid w:val="355B4EB6"/>
    <w:rsid w:val="355DAB1C"/>
    <w:rsid w:val="35618F08"/>
    <w:rsid w:val="3563B4FE"/>
    <w:rsid w:val="35657E7D"/>
    <w:rsid w:val="35733CB9"/>
    <w:rsid w:val="3573F641"/>
    <w:rsid w:val="35836DC5"/>
    <w:rsid w:val="358B08E0"/>
    <w:rsid w:val="358E93D1"/>
    <w:rsid w:val="35919D70"/>
    <w:rsid w:val="359C4FE3"/>
    <w:rsid w:val="359E44AC"/>
    <w:rsid w:val="35A08815"/>
    <w:rsid w:val="35A26639"/>
    <w:rsid w:val="35A5F3F8"/>
    <w:rsid w:val="35A964A7"/>
    <w:rsid w:val="35AA6683"/>
    <w:rsid w:val="35B076A7"/>
    <w:rsid w:val="35B22FD9"/>
    <w:rsid w:val="35B75638"/>
    <w:rsid w:val="35B86460"/>
    <w:rsid w:val="35BC0E49"/>
    <w:rsid w:val="35CB282B"/>
    <w:rsid w:val="35CE8995"/>
    <w:rsid w:val="35D41B0B"/>
    <w:rsid w:val="35D4A960"/>
    <w:rsid w:val="35E6FA6F"/>
    <w:rsid w:val="35EC6226"/>
    <w:rsid w:val="35F54E07"/>
    <w:rsid w:val="35F6EA2A"/>
    <w:rsid w:val="35F98F67"/>
    <w:rsid w:val="35FAD2B3"/>
    <w:rsid w:val="35FEE806"/>
    <w:rsid w:val="36099972"/>
    <w:rsid w:val="360E7418"/>
    <w:rsid w:val="3610231F"/>
    <w:rsid w:val="361661EF"/>
    <w:rsid w:val="36216861"/>
    <w:rsid w:val="36295A68"/>
    <w:rsid w:val="362B0F62"/>
    <w:rsid w:val="3631443B"/>
    <w:rsid w:val="36345EB2"/>
    <w:rsid w:val="363E318C"/>
    <w:rsid w:val="3644821B"/>
    <w:rsid w:val="364E12E2"/>
    <w:rsid w:val="3650F02C"/>
    <w:rsid w:val="36559CEB"/>
    <w:rsid w:val="365AD78C"/>
    <w:rsid w:val="365E4473"/>
    <w:rsid w:val="36610CDB"/>
    <w:rsid w:val="36675C80"/>
    <w:rsid w:val="36768257"/>
    <w:rsid w:val="368F42F9"/>
    <w:rsid w:val="3694F220"/>
    <w:rsid w:val="3699DB14"/>
    <w:rsid w:val="36A17E02"/>
    <w:rsid w:val="36BA5FB8"/>
    <w:rsid w:val="36BC6535"/>
    <w:rsid w:val="36BEA6C3"/>
    <w:rsid w:val="36C2B65C"/>
    <w:rsid w:val="36C3CA30"/>
    <w:rsid w:val="36C42877"/>
    <w:rsid w:val="36C57C20"/>
    <w:rsid w:val="36CC3520"/>
    <w:rsid w:val="36D4C417"/>
    <w:rsid w:val="36D5691E"/>
    <w:rsid w:val="36D62CCF"/>
    <w:rsid w:val="36D69A21"/>
    <w:rsid w:val="36D83C70"/>
    <w:rsid w:val="36D8C04A"/>
    <w:rsid w:val="36E0E17F"/>
    <w:rsid w:val="36E463E3"/>
    <w:rsid w:val="36EE09B5"/>
    <w:rsid w:val="36F2238B"/>
    <w:rsid w:val="36FBDED5"/>
    <w:rsid w:val="36FD8A69"/>
    <w:rsid w:val="36FDB849"/>
    <w:rsid w:val="36FEF3E9"/>
    <w:rsid w:val="3703FCFA"/>
    <w:rsid w:val="370936E3"/>
    <w:rsid w:val="370B2CDD"/>
    <w:rsid w:val="370D786B"/>
    <w:rsid w:val="370FFCE0"/>
    <w:rsid w:val="37118368"/>
    <w:rsid w:val="3711A2DD"/>
    <w:rsid w:val="3712E73F"/>
    <w:rsid w:val="37199E20"/>
    <w:rsid w:val="3720428A"/>
    <w:rsid w:val="372476A8"/>
    <w:rsid w:val="3728237D"/>
    <w:rsid w:val="372A0687"/>
    <w:rsid w:val="372A0C9E"/>
    <w:rsid w:val="37313218"/>
    <w:rsid w:val="37405C7E"/>
    <w:rsid w:val="37419129"/>
    <w:rsid w:val="374859C2"/>
    <w:rsid w:val="374FC8A8"/>
    <w:rsid w:val="3751E100"/>
    <w:rsid w:val="3753A141"/>
    <w:rsid w:val="3753B6C7"/>
    <w:rsid w:val="375627EF"/>
    <w:rsid w:val="375EFCFF"/>
    <w:rsid w:val="375FB4C7"/>
    <w:rsid w:val="376416D1"/>
    <w:rsid w:val="3764DCB5"/>
    <w:rsid w:val="376ADAC2"/>
    <w:rsid w:val="376FC571"/>
    <w:rsid w:val="3771041B"/>
    <w:rsid w:val="3772A3ED"/>
    <w:rsid w:val="377304E8"/>
    <w:rsid w:val="3778C41E"/>
    <w:rsid w:val="377BFB2F"/>
    <w:rsid w:val="3781E4A0"/>
    <w:rsid w:val="37862A77"/>
    <w:rsid w:val="378C04D3"/>
    <w:rsid w:val="378DFED5"/>
    <w:rsid w:val="378E0BC8"/>
    <w:rsid w:val="379029B2"/>
    <w:rsid w:val="3791F42A"/>
    <w:rsid w:val="37A08127"/>
    <w:rsid w:val="37A085B0"/>
    <w:rsid w:val="37A40B4E"/>
    <w:rsid w:val="37A829F8"/>
    <w:rsid w:val="37A8AA2B"/>
    <w:rsid w:val="37AA4698"/>
    <w:rsid w:val="37AC3E9C"/>
    <w:rsid w:val="37AE4CB1"/>
    <w:rsid w:val="37AE99E5"/>
    <w:rsid w:val="37AFDFE1"/>
    <w:rsid w:val="37B1EC01"/>
    <w:rsid w:val="37B1EFEB"/>
    <w:rsid w:val="37B27E69"/>
    <w:rsid w:val="37B6AC83"/>
    <w:rsid w:val="37B7AD9F"/>
    <w:rsid w:val="37C94566"/>
    <w:rsid w:val="37DC108B"/>
    <w:rsid w:val="37DCA865"/>
    <w:rsid w:val="37DF3AB1"/>
    <w:rsid w:val="37E464FA"/>
    <w:rsid w:val="37E4E8E9"/>
    <w:rsid w:val="37E7ACEB"/>
    <w:rsid w:val="37E9CD1D"/>
    <w:rsid w:val="37EBE50A"/>
    <w:rsid w:val="37EF1299"/>
    <w:rsid w:val="37EFC794"/>
    <w:rsid w:val="37F15C75"/>
    <w:rsid w:val="37F50976"/>
    <w:rsid w:val="380598E4"/>
    <w:rsid w:val="38096403"/>
    <w:rsid w:val="3809D272"/>
    <w:rsid w:val="380A2797"/>
    <w:rsid w:val="381384F6"/>
    <w:rsid w:val="38141798"/>
    <w:rsid w:val="381E026D"/>
    <w:rsid w:val="382057B5"/>
    <w:rsid w:val="383195F1"/>
    <w:rsid w:val="383309E5"/>
    <w:rsid w:val="3834969F"/>
    <w:rsid w:val="38432AC5"/>
    <w:rsid w:val="3843F336"/>
    <w:rsid w:val="384A43CC"/>
    <w:rsid w:val="384BC9E3"/>
    <w:rsid w:val="384BF236"/>
    <w:rsid w:val="38529887"/>
    <w:rsid w:val="38586EC1"/>
    <w:rsid w:val="385A44EF"/>
    <w:rsid w:val="385C53F4"/>
    <w:rsid w:val="38635475"/>
    <w:rsid w:val="386DDB07"/>
    <w:rsid w:val="386E0404"/>
    <w:rsid w:val="38731E76"/>
    <w:rsid w:val="3879CF03"/>
    <w:rsid w:val="3883E3CA"/>
    <w:rsid w:val="3886EC02"/>
    <w:rsid w:val="3889E143"/>
    <w:rsid w:val="388D7C18"/>
    <w:rsid w:val="3893B124"/>
    <w:rsid w:val="3896AD73"/>
    <w:rsid w:val="389A3341"/>
    <w:rsid w:val="389E3363"/>
    <w:rsid w:val="389F9168"/>
    <w:rsid w:val="38A2D089"/>
    <w:rsid w:val="38A38C1D"/>
    <w:rsid w:val="38B52157"/>
    <w:rsid w:val="38BC9923"/>
    <w:rsid w:val="38C7D12D"/>
    <w:rsid w:val="38C9042F"/>
    <w:rsid w:val="38D5F23F"/>
    <w:rsid w:val="38D7CC01"/>
    <w:rsid w:val="38D86E82"/>
    <w:rsid w:val="38EBAA2A"/>
    <w:rsid w:val="38F437F5"/>
    <w:rsid w:val="38F5AC1D"/>
    <w:rsid w:val="38F6E58C"/>
    <w:rsid w:val="38F9D04C"/>
    <w:rsid w:val="391143B4"/>
    <w:rsid w:val="3913D8DB"/>
    <w:rsid w:val="391F197F"/>
    <w:rsid w:val="391F419B"/>
    <w:rsid w:val="3922CD25"/>
    <w:rsid w:val="392CDEA7"/>
    <w:rsid w:val="3930B02E"/>
    <w:rsid w:val="3933B45E"/>
    <w:rsid w:val="3946F8CB"/>
    <w:rsid w:val="39522019"/>
    <w:rsid w:val="3958F0CF"/>
    <w:rsid w:val="39593C1D"/>
    <w:rsid w:val="395B3ACF"/>
    <w:rsid w:val="395BB94F"/>
    <w:rsid w:val="395E31A0"/>
    <w:rsid w:val="395FB5AF"/>
    <w:rsid w:val="39696FA2"/>
    <w:rsid w:val="396A66CD"/>
    <w:rsid w:val="39721B54"/>
    <w:rsid w:val="39755F0F"/>
    <w:rsid w:val="397D1AF1"/>
    <w:rsid w:val="39847292"/>
    <w:rsid w:val="39863E04"/>
    <w:rsid w:val="39889252"/>
    <w:rsid w:val="398977E6"/>
    <w:rsid w:val="39911CE4"/>
    <w:rsid w:val="39921369"/>
    <w:rsid w:val="39927126"/>
    <w:rsid w:val="3998016B"/>
    <w:rsid w:val="39999E55"/>
    <w:rsid w:val="399CCAA4"/>
    <w:rsid w:val="39A2F352"/>
    <w:rsid w:val="39A384BE"/>
    <w:rsid w:val="39A7A05E"/>
    <w:rsid w:val="39B1CFD7"/>
    <w:rsid w:val="39B266A6"/>
    <w:rsid w:val="39BB46DC"/>
    <w:rsid w:val="39BF9108"/>
    <w:rsid w:val="39C3B204"/>
    <w:rsid w:val="39C53EB3"/>
    <w:rsid w:val="39C8EC56"/>
    <w:rsid w:val="39D01162"/>
    <w:rsid w:val="39D79E1B"/>
    <w:rsid w:val="39E0701B"/>
    <w:rsid w:val="39F41BD8"/>
    <w:rsid w:val="39F4D09F"/>
    <w:rsid w:val="39F54C40"/>
    <w:rsid w:val="3A01FF1E"/>
    <w:rsid w:val="3A034656"/>
    <w:rsid w:val="3A053DBE"/>
    <w:rsid w:val="3A08C74E"/>
    <w:rsid w:val="3A192BF7"/>
    <w:rsid w:val="3A25738E"/>
    <w:rsid w:val="3A26B832"/>
    <w:rsid w:val="3A2987C0"/>
    <w:rsid w:val="3A3042A9"/>
    <w:rsid w:val="3A314B70"/>
    <w:rsid w:val="3A32B118"/>
    <w:rsid w:val="3A372D85"/>
    <w:rsid w:val="3A3947F2"/>
    <w:rsid w:val="3A397FEC"/>
    <w:rsid w:val="3A3CFE50"/>
    <w:rsid w:val="3A46BBA9"/>
    <w:rsid w:val="3A479624"/>
    <w:rsid w:val="3A482D74"/>
    <w:rsid w:val="3A4E87EB"/>
    <w:rsid w:val="3A4F2379"/>
    <w:rsid w:val="3A51E741"/>
    <w:rsid w:val="3A5AAC0A"/>
    <w:rsid w:val="3A5AB5B0"/>
    <w:rsid w:val="3A5BA623"/>
    <w:rsid w:val="3A64834E"/>
    <w:rsid w:val="3A714CFF"/>
    <w:rsid w:val="3A8919C3"/>
    <w:rsid w:val="3A89D2B2"/>
    <w:rsid w:val="3A8B4133"/>
    <w:rsid w:val="3A8D4217"/>
    <w:rsid w:val="3A939E65"/>
    <w:rsid w:val="3A988749"/>
    <w:rsid w:val="3A9C5192"/>
    <w:rsid w:val="3AAD7D8D"/>
    <w:rsid w:val="3AB363B9"/>
    <w:rsid w:val="3AB7A89B"/>
    <w:rsid w:val="3AB95443"/>
    <w:rsid w:val="3ABF1164"/>
    <w:rsid w:val="3ABFB154"/>
    <w:rsid w:val="3AC41655"/>
    <w:rsid w:val="3AC9BF5B"/>
    <w:rsid w:val="3AD0FB34"/>
    <w:rsid w:val="3AD6124C"/>
    <w:rsid w:val="3AE23766"/>
    <w:rsid w:val="3AE395C2"/>
    <w:rsid w:val="3AF8D96E"/>
    <w:rsid w:val="3B0470EB"/>
    <w:rsid w:val="3B057DA6"/>
    <w:rsid w:val="3B088C90"/>
    <w:rsid w:val="3B08944D"/>
    <w:rsid w:val="3B12B314"/>
    <w:rsid w:val="3B1F88C1"/>
    <w:rsid w:val="3B26144F"/>
    <w:rsid w:val="3B2B8D52"/>
    <w:rsid w:val="3B2F7C55"/>
    <w:rsid w:val="3B33DB31"/>
    <w:rsid w:val="3B3411BD"/>
    <w:rsid w:val="3B38DC7F"/>
    <w:rsid w:val="3B407671"/>
    <w:rsid w:val="3B467726"/>
    <w:rsid w:val="3B47BB66"/>
    <w:rsid w:val="3B48B0FE"/>
    <w:rsid w:val="3B57A2A4"/>
    <w:rsid w:val="3B5C0B46"/>
    <w:rsid w:val="3B5CA20D"/>
    <w:rsid w:val="3B5E3486"/>
    <w:rsid w:val="3B5E365B"/>
    <w:rsid w:val="3B5F6660"/>
    <w:rsid w:val="3B632B16"/>
    <w:rsid w:val="3B6413CF"/>
    <w:rsid w:val="3B6D709A"/>
    <w:rsid w:val="3B7CAB09"/>
    <w:rsid w:val="3B7CFA3E"/>
    <w:rsid w:val="3B7DCEBC"/>
    <w:rsid w:val="3B81BED8"/>
    <w:rsid w:val="3B88E3A5"/>
    <w:rsid w:val="3B925A22"/>
    <w:rsid w:val="3B9535C9"/>
    <w:rsid w:val="3B9A25FB"/>
    <w:rsid w:val="3B9DA98D"/>
    <w:rsid w:val="3BACE9E6"/>
    <w:rsid w:val="3BAE65B3"/>
    <w:rsid w:val="3BB3A4AF"/>
    <w:rsid w:val="3BB70CBE"/>
    <w:rsid w:val="3BB8729C"/>
    <w:rsid w:val="3BB9602A"/>
    <w:rsid w:val="3BBB7DB7"/>
    <w:rsid w:val="3BBE90C5"/>
    <w:rsid w:val="3BBFD34B"/>
    <w:rsid w:val="3BC17DAE"/>
    <w:rsid w:val="3BD91921"/>
    <w:rsid w:val="3BE626A4"/>
    <w:rsid w:val="3BFE824F"/>
    <w:rsid w:val="3C0150A3"/>
    <w:rsid w:val="3C05D939"/>
    <w:rsid w:val="3C07A893"/>
    <w:rsid w:val="3C08D071"/>
    <w:rsid w:val="3C0E0848"/>
    <w:rsid w:val="3C12F85A"/>
    <w:rsid w:val="3C15BE1B"/>
    <w:rsid w:val="3C15D23C"/>
    <w:rsid w:val="3C2229D4"/>
    <w:rsid w:val="3C2D51B8"/>
    <w:rsid w:val="3C2D9F77"/>
    <w:rsid w:val="3C358374"/>
    <w:rsid w:val="3C384CD6"/>
    <w:rsid w:val="3C393BE8"/>
    <w:rsid w:val="3C394604"/>
    <w:rsid w:val="3C3C44F1"/>
    <w:rsid w:val="3C3FEEF5"/>
    <w:rsid w:val="3C490082"/>
    <w:rsid w:val="3C4C56A8"/>
    <w:rsid w:val="3C515FB5"/>
    <w:rsid w:val="3C56907F"/>
    <w:rsid w:val="3C59ECE0"/>
    <w:rsid w:val="3C5C0DB6"/>
    <w:rsid w:val="3C5C556B"/>
    <w:rsid w:val="3C5CDDB4"/>
    <w:rsid w:val="3C5D4221"/>
    <w:rsid w:val="3C600EA3"/>
    <w:rsid w:val="3C6085A0"/>
    <w:rsid w:val="3C60DA00"/>
    <w:rsid w:val="3C624DC8"/>
    <w:rsid w:val="3C62F465"/>
    <w:rsid w:val="3C703AA9"/>
    <w:rsid w:val="3C72A10C"/>
    <w:rsid w:val="3C744189"/>
    <w:rsid w:val="3C7610B2"/>
    <w:rsid w:val="3C76C16C"/>
    <w:rsid w:val="3C7B000F"/>
    <w:rsid w:val="3C7E4A57"/>
    <w:rsid w:val="3C7E9450"/>
    <w:rsid w:val="3C835574"/>
    <w:rsid w:val="3C85DD46"/>
    <w:rsid w:val="3C980D1F"/>
    <w:rsid w:val="3CA36439"/>
    <w:rsid w:val="3CA6F263"/>
    <w:rsid w:val="3CAE6D47"/>
    <w:rsid w:val="3CAFBAB8"/>
    <w:rsid w:val="3CB71783"/>
    <w:rsid w:val="3CBC461A"/>
    <w:rsid w:val="3CBE895E"/>
    <w:rsid w:val="3CCA054B"/>
    <w:rsid w:val="3CCCC8E6"/>
    <w:rsid w:val="3CD06900"/>
    <w:rsid w:val="3CD135F0"/>
    <w:rsid w:val="3CD23234"/>
    <w:rsid w:val="3CDAE784"/>
    <w:rsid w:val="3CDBCD39"/>
    <w:rsid w:val="3CDE17F6"/>
    <w:rsid w:val="3CE09843"/>
    <w:rsid w:val="3CE8EBBA"/>
    <w:rsid w:val="3CEE56AF"/>
    <w:rsid w:val="3CEFBD27"/>
    <w:rsid w:val="3CF1A715"/>
    <w:rsid w:val="3CF935B7"/>
    <w:rsid w:val="3D0A211C"/>
    <w:rsid w:val="3D1368F8"/>
    <w:rsid w:val="3D182007"/>
    <w:rsid w:val="3D191365"/>
    <w:rsid w:val="3D25EB3D"/>
    <w:rsid w:val="3D2A5E3F"/>
    <w:rsid w:val="3D2CB900"/>
    <w:rsid w:val="3D30E953"/>
    <w:rsid w:val="3D33ED5C"/>
    <w:rsid w:val="3D375E54"/>
    <w:rsid w:val="3D3919F9"/>
    <w:rsid w:val="3D398F55"/>
    <w:rsid w:val="3D3A3EE0"/>
    <w:rsid w:val="3D3F6330"/>
    <w:rsid w:val="3D408C1C"/>
    <w:rsid w:val="3D422ED2"/>
    <w:rsid w:val="3D576480"/>
    <w:rsid w:val="3D606EE4"/>
    <w:rsid w:val="3D66804D"/>
    <w:rsid w:val="3D6ABBCC"/>
    <w:rsid w:val="3D703E4A"/>
    <w:rsid w:val="3D723A9A"/>
    <w:rsid w:val="3D753DBD"/>
    <w:rsid w:val="3D7B7B06"/>
    <w:rsid w:val="3D8DF964"/>
    <w:rsid w:val="3D8F830F"/>
    <w:rsid w:val="3D91E05E"/>
    <w:rsid w:val="3D9A6EF9"/>
    <w:rsid w:val="3DA216C5"/>
    <w:rsid w:val="3DA56BEC"/>
    <w:rsid w:val="3DA5E805"/>
    <w:rsid w:val="3DA96962"/>
    <w:rsid w:val="3DAD6722"/>
    <w:rsid w:val="3DAD7CEF"/>
    <w:rsid w:val="3DB128C1"/>
    <w:rsid w:val="3DB2FE81"/>
    <w:rsid w:val="3DB5AEF9"/>
    <w:rsid w:val="3DBE8410"/>
    <w:rsid w:val="3DBEBF88"/>
    <w:rsid w:val="3DBF2EDD"/>
    <w:rsid w:val="3DC06B05"/>
    <w:rsid w:val="3DC33200"/>
    <w:rsid w:val="3DD403EA"/>
    <w:rsid w:val="3DE1E822"/>
    <w:rsid w:val="3DEA424C"/>
    <w:rsid w:val="3DECD0E0"/>
    <w:rsid w:val="3DFA6295"/>
    <w:rsid w:val="3DFE34FE"/>
    <w:rsid w:val="3E077328"/>
    <w:rsid w:val="3E0E4113"/>
    <w:rsid w:val="3E1BD799"/>
    <w:rsid w:val="3E2BC685"/>
    <w:rsid w:val="3E2BEDC9"/>
    <w:rsid w:val="3E34D15D"/>
    <w:rsid w:val="3E350AAE"/>
    <w:rsid w:val="3E3A9D27"/>
    <w:rsid w:val="3E3F0E14"/>
    <w:rsid w:val="3E40BE9A"/>
    <w:rsid w:val="3E40D883"/>
    <w:rsid w:val="3E46D48D"/>
    <w:rsid w:val="3E47FB36"/>
    <w:rsid w:val="3E4991A9"/>
    <w:rsid w:val="3E4AC36A"/>
    <w:rsid w:val="3E512D4F"/>
    <w:rsid w:val="3E52DBC4"/>
    <w:rsid w:val="3E55626D"/>
    <w:rsid w:val="3E573DBA"/>
    <w:rsid w:val="3E581A18"/>
    <w:rsid w:val="3E591E5E"/>
    <w:rsid w:val="3E5C117F"/>
    <w:rsid w:val="3E7377A2"/>
    <w:rsid w:val="3E74AD97"/>
    <w:rsid w:val="3E7E71D4"/>
    <w:rsid w:val="3E7EB694"/>
    <w:rsid w:val="3E80C0C9"/>
    <w:rsid w:val="3E81A6A8"/>
    <w:rsid w:val="3E823980"/>
    <w:rsid w:val="3E868BF0"/>
    <w:rsid w:val="3E8724CE"/>
    <w:rsid w:val="3E87D4B9"/>
    <w:rsid w:val="3E886648"/>
    <w:rsid w:val="3E8EB784"/>
    <w:rsid w:val="3E8F4208"/>
    <w:rsid w:val="3E91F06B"/>
    <w:rsid w:val="3E957022"/>
    <w:rsid w:val="3E9766CC"/>
    <w:rsid w:val="3E987D62"/>
    <w:rsid w:val="3E99BECA"/>
    <w:rsid w:val="3EAAA035"/>
    <w:rsid w:val="3EAC2CB1"/>
    <w:rsid w:val="3EB0DF38"/>
    <w:rsid w:val="3EB9F899"/>
    <w:rsid w:val="3ECA6E30"/>
    <w:rsid w:val="3ECC4E26"/>
    <w:rsid w:val="3EDCECCA"/>
    <w:rsid w:val="3EDDE8A2"/>
    <w:rsid w:val="3EDF8DD1"/>
    <w:rsid w:val="3EE72A7D"/>
    <w:rsid w:val="3EE7462A"/>
    <w:rsid w:val="3EE77EF2"/>
    <w:rsid w:val="3EF4C534"/>
    <w:rsid w:val="3F093B5E"/>
    <w:rsid w:val="3F0E2961"/>
    <w:rsid w:val="3F0E6513"/>
    <w:rsid w:val="3F1037A6"/>
    <w:rsid w:val="3F1281EE"/>
    <w:rsid w:val="3F1CA00E"/>
    <w:rsid w:val="3F1D99E6"/>
    <w:rsid w:val="3F1EFF86"/>
    <w:rsid w:val="3F1F1248"/>
    <w:rsid w:val="3F229FA7"/>
    <w:rsid w:val="3F22A74B"/>
    <w:rsid w:val="3F2487D3"/>
    <w:rsid w:val="3F24DBBF"/>
    <w:rsid w:val="3F2A47EF"/>
    <w:rsid w:val="3F2CFC3C"/>
    <w:rsid w:val="3F35F298"/>
    <w:rsid w:val="3F36A320"/>
    <w:rsid w:val="3F385AFD"/>
    <w:rsid w:val="3F3C494B"/>
    <w:rsid w:val="3F40B0EF"/>
    <w:rsid w:val="3F416BDE"/>
    <w:rsid w:val="3F4386DC"/>
    <w:rsid w:val="3F43C192"/>
    <w:rsid w:val="3F48A499"/>
    <w:rsid w:val="3F4970E8"/>
    <w:rsid w:val="3F51CE90"/>
    <w:rsid w:val="3F54E85F"/>
    <w:rsid w:val="3F59C2C7"/>
    <w:rsid w:val="3F5B6781"/>
    <w:rsid w:val="3F64658A"/>
    <w:rsid w:val="3F756201"/>
    <w:rsid w:val="3F77654B"/>
    <w:rsid w:val="3F7BBDFE"/>
    <w:rsid w:val="3F815F4A"/>
    <w:rsid w:val="3F82903D"/>
    <w:rsid w:val="3F82DB06"/>
    <w:rsid w:val="3F83C9B8"/>
    <w:rsid w:val="3F8FED4A"/>
    <w:rsid w:val="3F906471"/>
    <w:rsid w:val="3F921318"/>
    <w:rsid w:val="3F94FF34"/>
    <w:rsid w:val="3F9D8C8F"/>
    <w:rsid w:val="3F9F559B"/>
    <w:rsid w:val="3FA1F69F"/>
    <w:rsid w:val="3FAAC51E"/>
    <w:rsid w:val="3FAB49C7"/>
    <w:rsid w:val="3FB02032"/>
    <w:rsid w:val="3FB3A1BB"/>
    <w:rsid w:val="3FB68DCB"/>
    <w:rsid w:val="3FBF9C8F"/>
    <w:rsid w:val="3FC0D7B9"/>
    <w:rsid w:val="3FC1DB11"/>
    <w:rsid w:val="3FD3B21C"/>
    <w:rsid w:val="3FDFBB8B"/>
    <w:rsid w:val="3FE98797"/>
    <w:rsid w:val="3FEAB5D4"/>
    <w:rsid w:val="3FEC3659"/>
    <w:rsid w:val="3FF3D8C0"/>
    <w:rsid w:val="3FFC8379"/>
    <w:rsid w:val="3FFCB4EF"/>
    <w:rsid w:val="40095653"/>
    <w:rsid w:val="400BDB13"/>
    <w:rsid w:val="400F064A"/>
    <w:rsid w:val="401819C7"/>
    <w:rsid w:val="401940BF"/>
    <w:rsid w:val="4019DE70"/>
    <w:rsid w:val="401A7F15"/>
    <w:rsid w:val="401DB389"/>
    <w:rsid w:val="402445C3"/>
    <w:rsid w:val="4026C9A9"/>
    <w:rsid w:val="40274CEE"/>
    <w:rsid w:val="402BA971"/>
    <w:rsid w:val="40311EA8"/>
    <w:rsid w:val="4037A346"/>
    <w:rsid w:val="403B6895"/>
    <w:rsid w:val="403CFA1B"/>
    <w:rsid w:val="4046B0A1"/>
    <w:rsid w:val="404A248C"/>
    <w:rsid w:val="404B1A76"/>
    <w:rsid w:val="404EC378"/>
    <w:rsid w:val="4052091C"/>
    <w:rsid w:val="4058ECF4"/>
    <w:rsid w:val="405AC7AE"/>
    <w:rsid w:val="405E5AB5"/>
    <w:rsid w:val="40671786"/>
    <w:rsid w:val="4068618F"/>
    <w:rsid w:val="406A0902"/>
    <w:rsid w:val="406AFE86"/>
    <w:rsid w:val="406F7169"/>
    <w:rsid w:val="40702791"/>
    <w:rsid w:val="407590A6"/>
    <w:rsid w:val="4093ED5C"/>
    <w:rsid w:val="409E2A52"/>
    <w:rsid w:val="409FF915"/>
    <w:rsid w:val="40A99BF9"/>
    <w:rsid w:val="40B37C1A"/>
    <w:rsid w:val="40B722FB"/>
    <w:rsid w:val="40B937FD"/>
    <w:rsid w:val="40B9A179"/>
    <w:rsid w:val="40C13FFE"/>
    <w:rsid w:val="40C879F3"/>
    <w:rsid w:val="40C91122"/>
    <w:rsid w:val="40C961D9"/>
    <w:rsid w:val="40D78E16"/>
    <w:rsid w:val="40DAD4CC"/>
    <w:rsid w:val="40E02D61"/>
    <w:rsid w:val="40E519B5"/>
    <w:rsid w:val="40E623C1"/>
    <w:rsid w:val="40E7501B"/>
    <w:rsid w:val="40F5D846"/>
    <w:rsid w:val="40F9FC28"/>
    <w:rsid w:val="40FD5ED5"/>
    <w:rsid w:val="41076D7C"/>
    <w:rsid w:val="4107B42D"/>
    <w:rsid w:val="41093FDF"/>
    <w:rsid w:val="4111CD86"/>
    <w:rsid w:val="41140977"/>
    <w:rsid w:val="4114CBA8"/>
    <w:rsid w:val="411E37AD"/>
    <w:rsid w:val="4123BEDF"/>
    <w:rsid w:val="4127A97E"/>
    <w:rsid w:val="4127F487"/>
    <w:rsid w:val="412C3D5E"/>
    <w:rsid w:val="41342212"/>
    <w:rsid w:val="41345A6F"/>
    <w:rsid w:val="41359DA0"/>
    <w:rsid w:val="4138104C"/>
    <w:rsid w:val="41406373"/>
    <w:rsid w:val="414629E5"/>
    <w:rsid w:val="414FF2A2"/>
    <w:rsid w:val="4163AF91"/>
    <w:rsid w:val="41682C68"/>
    <w:rsid w:val="4170F215"/>
    <w:rsid w:val="41723756"/>
    <w:rsid w:val="417EA8C3"/>
    <w:rsid w:val="417FDDDF"/>
    <w:rsid w:val="4181E32B"/>
    <w:rsid w:val="418B2FC6"/>
    <w:rsid w:val="418C6FB4"/>
    <w:rsid w:val="418ECDC1"/>
    <w:rsid w:val="418F5FAC"/>
    <w:rsid w:val="418FDCAD"/>
    <w:rsid w:val="41A62721"/>
    <w:rsid w:val="41A678CA"/>
    <w:rsid w:val="41A6D3A9"/>
    <w:rsid w:val="41B03410"/>
    <w:rsid w:val="41B09089"/>
    <w:rsid w:val="41B1F089"/>
    <w:rsid w:val="41BAB195"/>
    <w:rsid w:val="41C25DB2"/>
    <w:rsid w:val="41C27BD4"/>
    <w:rsid w:val="41C5EC63"/>
    <w:rsid w:val="41CD173F"/>
    <w:rsid w:val="41CE9910"/>
    <w:rsid w:val="41D29839"/>
    <w:rsid w:val="41D4B4C9"/>
    <w:rsid w:val="41D605A6"/>
    <w:rsid w:val="41D70EA8"/>
    <w:rsid w:val="41DE7E64"/>
    <w:rsid w:val="41E0CF70"/>
    <w:rsid w:val="41E4288A"/>
    <w:rsid w:val="41EB685D"/>
    <w:rsid w:val="41EF1308"/>
    <w:rsid w:val="41F642F1"/>
    <w:rsid w:val="420246FE"/>
    <w:rsid w:val="42025C16"/>
    <w:rsid w:val="4207D312"/>
    <w:rsid w:val="42094A0E"/>
    <w:rsid w:val="42109ABD"/>
    <w:rsid w:val="4212191A"/>
    <w:rsid w:val="42164053"/>
    <w:rsid w:val="421C15C9"/>
    <w:rsid w:val="4221A534"/>
    <w:rsid w:val="42262068"/>
    <w:rsid w:val="4226A0A4"/>
    <w:rsid w:val="4228348F"/>
    <w:rsid w:val="42288DFB"/>
    <w:rsid w:val="422A9D4C"/>
    <w:rsid w:val="422EB9E3"/>
    <w:rsid w:val="42350557"/>
    <w:rsid w:val="423AA01C"/>
    <w:rsid w:val="423B5F53"/>
    <w:rsid w:val="42491264"/>
    <w:rsid w:val="424DEF7A"/>
    <w:rsid w:val="424E945F"/>
    <w:rsid w:val="4252EDDC"/>
    <w:rsid w:val="42572749"/>
    <w:rsid w:val="425B4D88"/>
    <w:rsid w:val="4264548A"/>
    <w:rsid w:val="426BFC44"/>
    <w:rsid w:val="426DC5EE"/>
    <w:rsid w:val="42707888"/>
    <w:rsid w:val="4270DAB9"/>
    <w:rsid w:val="427EAB9B"/>
    <w:rsid w:val="427EAEAB"/>
    <w:rsid w:val="42831CCF"/>
    <w:rsid w:val="4287C962"/>
    <w:rsid w:val="428FDD38"/>
    <w:rsid w:val="42942E47"/>
    <w:rsid w:val="42954623"/>
    <w:rsid w:val="42A3ECAF"/>
    <w:rsid w:val="42A444D0"/>
    <w:rsid w:val="42A6D769"/>
    <w:rsid w:val="42A9C99B"/>
    <w:rsid w:val="42AFF417"/>
    <w:rsid w:val="42B13AD9"/>
    <w:rsid w:val="42B90D51"/>
    <w:rsid w:val="42D2BEA1"/>
    <w:rsid w:val="42D38092"/>
    <w:rsid w:val="42D4E300"/>
    <w:rsid w:val="42D510FB"/>
    <w:rsid w:val="42D6D203"/>
    <w:rsid w:val="42D8CB6D"/>
    <w:rsid w:val="42D905D2"/>
    <w:rsid w:val="42DF4FE3"/>
    <w:rsid w:val="42F45823"/>
    <w:rsid w:val="42F9649F"/>
    <w:rsid w:val="42FEF55D"/>
    <w:rsid w:val="4301788D"/>
    <w:rsid w:val="43086295"/>
    <w:rsid w:val="4308CC12"/>
    <w:rsid w:val="43190592"/>
    <w:rsid w:val="431E63FE"/>
    <w:rsid w:val="4327FAE4"/>
    <w:rsid w:val="432A9EAA"/>
    <w:rsid w:val="43312BBB"/>
    <w:rsid w:val="433FF22A"/>
    <w:rsid w:val="4340F347"/>
    <w:rsid w:val="4344D6AD"/>
    <w:rsid w:val="43490374"/>
    <w:rsid w:val="435875D6"/>
    <w:rsid w:val="4358BCA4"/>
    <w:rsid w:val="435D08DB"/>
    <w:rsid w:val="4361CB10"/>
    <w:rsid w:val="4364209C"/>
    <w:rsid w:val="4364D915"/>
    <w:rsid w:val="4371449B"/>
    <w:rsid w:val="43755612"/>
    <w:rsid w:val="43815FDA"/>
    <w:rsid w:val="43823DEA"/>
    <w:rsid w:val="438543C8"/>
    <w:rsid w:val="43878E83"/>
    <w:rsid w:val="438A4D7D"/>
    <w:rsid w:val="438CD845"/>
    <w:rsid w:val="439D289B"/>
    <w:rsid w:val="439D6806"/>
    <w:rsid w:val="43A04D67"/>
    <w:rsid w:val="43A2698D"/>
    <w:rsid w:val="43A6272D"/>
    <w:rsid w:val="43AE45F3"/>
    <w:rsid w:val="43B77B7E"/>
    <w:rsid w:val="43B82D37"/>
    <w:rsid w:val="43BF2CED"/>
    <w:rsid w:val="43C11F40"/>
    <w:rsid w:val="43C60878"/>
    <w:rsid w:val="43C772CB"/>
    <w:rsid w:val="43C8BEB1"/>
    <w:rsid w:val="43D6B525"/>
    <w:rsid w:val="43D78E3B"/>
    <w:rsid w:val="43DE9D58"/>
    <w:rsid w:val="43E464F7"/>
    <w:rsid w:val="43F159BC"/>
    <w:rsid w:val="43F38CAF"/>
    <w:rsid w:val="4401F2C4"/>
    <w:rsid w:val="440B7D91"/>
    <w:rsid w:val="4412B451"/>
    <w:rsid w:val="4413F91D"/>
    <w:rsid w:val="441EA8F5"/>
    <w:rsid w:val="441FE678"/>
    <w:rsid w:val="44264E0F"/>
    <w:rsid w:val="44271363"/>
    <w:rsid w:val="4427B9A7"/>
    <w:rsid w:val="442DCF0F"/>
    <w:rsid w:val="443004F4"/>
    <w:rsid w:val="4430ACFE"/>
    <w:rsid w:val="4431B10F"/>
    <w:rsid w:val="444B877B"/>
    <w:rsid w:val="444C616D"/>
    <w:rsid w:val="444E135B"/>
    <w:rsid w:val="4451C9AA"/>
    <w:rsid w:val="445D1296"/>
    <w:rsid w:val="445D8965"/>
    <w:rsid w:val="4465FF57"/>
    <w:rsid w:val="44669330"/>
    <w:rsid w:val="446F30BD"/>
    <w:rsid w:val="4475EB72"/>
    <w:rsid w:val="4477540B"/>
    <w:rsid w:val="4478D50D"/>
    <w:rsid w:val="447C4300"/>
    <w:rsid w:val="44868DE9"/>
    <w:rsid w:val="448831B1"/>
    <w:rsid w:val="4488EDA2"/>
    <w:rsid w:val="4489AE8C"/>
    <w:rsid w:val="448B3C27"/>
    <w:rsid w:val="4495676B"/>
    <w:rsid w:val="449CD18A"/>
    <w:rsid w:val="44A28996"/>
    <w:rsid w:val="44A3BB76"/>
    <w:rsid w:val="44A7B202"/>
    <w:rsid w:val="44A8617A"/>
    <w:rsid w:val="44ABA60E"/>
    <w:rsid w:val="44AC7349"/>
    <w:rsid w:val="44B0BB15"/>
    <w:rsid w:val="44B11057"/>
    <w:rsid w:val="44C15240"/>
    <w:rsid w:val="44C50066"/>
    <w:rsid w:val="44CCEC09"/>
    <w:rsid w:val="44CD1E65"/>
    <w:rsid w:val="44D01170"/>
    <w:rsid w:val="44D680C1"/>
    <w:rsid w:val="44DD1CCD"/>
    <w:rsid w:val="44E22FB3"/>
    <w:rsid w:val="44E660C9"/>
    <w:rsid w:val="44EB1747"/>
    <w:rsid w:val="44F6AA73"/>
    <w:rsid w:val="44F971F0"/>
    <w:rsid w:val="450F37C3"/>
    <w:rsid w:val="451A1EFB"/>
    <w:rsid w:val="451DDA47"/>
    <w:rsid w:val="451E8875"/>
    <w:rsid w:val="4522F909"/>
    <w:rsid w:val="4523FFEA"/>
    <w:rsid w:val="45279E9F"/>
    <w:rsid w:val="4534B1A4"/>
    <w:rsid w:val="45357983"/>
    <w:rsid w:val="453CFE65"/>
    <w:rsid w:val="45423BBD"/>
    <w:rsid w:val="45431086"/>
    <w:rsid w:val="4544308F"/>
    <w:rsid w:val="454A8EE7"/>
    <w:rsid w:val="454BC4D9"/>
    <w:rsid w:val="4550DEDE"/>
    <w:rsid w:val="45529DA9"/>
    <w:rsid w:val="4559BA2F"/>
    <w:rsid w:val="4559BD90"/>
    <w:rsid w:val="4559DE7B"/>
    <w:rsid w:val="455F3019"/>
    <w:rsid w:val="4562948A"/>
    <w:rsid w:val="4565E472"/>
    <w:rsid w:val="4569BE4C"/>
    <w:rsid w:val="456DC9D1"/>
    <w:rsid w:val="457FB098"/>
    <w:rsid w:val="45829859"/>
    <w:rsid w:val="45844DFB"/>
    <w:rsid w:val="4586AA07"/>
    <w:rsid w:val="458A9B15"/>
    <w:rsid w:val="4596BA11"/>
    <w:rsid w:val="459EBA1D"/>
    <w:rsid w:val="45A01418"/>
    <w:rsid w:val="45AB3914"/>
    <w:rsid w:val="45B03138"/>
    <w:rsid w:val="45B3DCE7"/>
    <w:rsid w:val="45B7227A"/>
    <w:rsid w:val="45B922C2"/>
    <w:rsid w:val="45B9763B"/>
    <w:rsid w:val="45B9BF48"/>
    <w:rsid w:val="45BD85EF"/>
    <w:rsid w:val="45C05823"/>
    <w:rsid w:val="45D00E05"/>
    <w:rsid w:val="45D35E85"/>
    <w:rsid w:val="45D5FC62"/>
    <w:rsid w:val="45DB775E"/>
    <w:rsid w:val="45E0FC95"/>
    <w:rsid w:val="45E210D7"/>
    <w:rsid w:val="45E39B6E"/>
    <w:rsid w:val="45E7E360"/>
    <w:rsid w:val="45EC30B6"/>
    <w:rsid w:val="45F57A84"/>
    <w:rsid w:val="45F5B6B8"/>
    <w:rsid w:val="45F65A18"/>
    <w:rsid w:val="45FB4758"/>
    <w:rsid w:val="4607711D"/>
    <w:rsid w:val="460F0CB3"/>
    <w:rsid w:val="4611BEE8"/>
    <w:rsid w:val="46152BCC"/>
    <w:rsid w:val="4615E4DB"/>
    <w:rsid w:val="4623C3D4"/>
    <w:rsid w:val="4625C77D"/>
    <w:rsid w:val="46283736"/>
    <w:rsid w:val="462EA2CB"/>
    <w:rsid w:val="463406B6"/>
    <w:rsid w:val="4637672E"/>
    <w:rsid w:val="4638F395"/>
    <w:rsid w:val="46390224"/>
    <w:rsid w:val="463B5A10"/>
    <w:rsid w:val="463F4B30"/>
    <w:rsid w:val="464409C1"/>
    <w:rsid w:val="46466896"/>
    <w:rsid w:val="46472AE7"/>
    <w:rsid w:val="46487AD4"/>
    <w:rsid w:val="464ECBE4"/>
    <w:rsid w:val="464FCA75"/>
    <w:rsid w:val="46514D32"/>
    <w:rsid w:val="4653C1B7"/>
    <w:rsid w:val="465456F3"/>
    <w:rsid w:val="4655D8A8"/>
    <w:rsid w:val="46572ACC"/>
    <w:rsid w:val="46591FAC"/>
    <w:rsid w:val="465BA286"/>
    <w:rsid w:val="46688E7B"/>
    <w:rsid w:val="4672EF79"/>
    <w:rsid w:val="46777379"/>
    <w:rsid w:val="467C0021"/>
    <w:rsid w:val="467FB6F0"/>
    <w:rsid w:val="4681662D"/>
    <w:rsid w:val="4681AD33"/>
    <w:rsid w:val="46836CE8"/>
    <w:rsid w:val="468BBE52"/>
    <w:rsid w:val="468C0DE6"/>
    <w:rsid w:val="469011D3"/>
    <w:rsid w:val="4693888B"/>
    <w:rsid w:val="4693E89C"/>
    <w:rsid w:val="46A2B39A"/>
    <w:rsid w:val="46B29393"/>
    <w:rsid w:val="46B6466F"/>
    <w:rsid w:val="46BC9E0E"/>
    <w:rsid w:val="46C4732C"/>
    <w:rsid w:val="46C49883"/>
    <w:rsid w:val="46C90C86"/>
    <w:rsid w:val="46CC4EA7"/>
    <w:rsid w:val="46CDC5B6"/>
    <w:rsid w:val="46D13331"/>
    <w:rsid w:val="46D158DF"/>
    <w:rsid w:val="46DB732E"/>
    <w:rsid w:val="46DF7C7B"/>
    <w:rsid w:val="46DFAFEB"/>
    <w:rsid w:val="46E10D67"/>
    <w:rsid w:val="46E40830"/>
    <w:rsid w:val="46E62A71"/>
    <w:rsid w:val="46E814FA"/>
    <w:rsid w:val="46F5B11E"/>
    <w:rsid w:val="46F5BE08"/>
    <w:rsid w:val="4702C653"/>
    <w:rsid w:val="470348F7"/>
    <w:rsid w:val="4704BDB0"/>
    <w:rsid w:val="4717EB35"/>
    <w:rsid w:val="4726FBA4"/>
    <w:rsid w:val="47291E7F"/>
    <w:rsid w:val="47319E75"/>
    <w:rsid w:val="474C7158"/>
    <w:rsid w:val="474D956E"/>
    <w:rsid w:val="4750CF3D"/>
    <w:rsid w:val="47510243"/>
    <w:rsid w:val="47544058"/>
    <w:rsid w:val="4760660F"/>
    <w:rsid w:val="476CDAF8"/>
    <w:rsid w:val="47745DD3"/>
    <w:rsid w:val="477FD81D"/>
    <w:rsid w:val="4788BB4E"/>
    <w:rsid w:val="478DB922"/>
    <w:rsid w:val="47964A94"/>
    <w:rsid w:val="4796F50B"/>
    <w:rsid w:val="47985BAF"/>
    <w:rsid w:val="47A2B956"/>
    <w:rsid w:val="47A54CD0"/>
    <w:rsid w:val="47AA3863"/>
    <w:rsid w:val="47AA9B7D"/>
    <w:rsid w:val="47ADE645"/>
    <w:rsid w:val="47B5364A"/>
    <w:rsid w:val="47B65D48"/>
    <w:rsid w:val="47C1306F"/>
    <w:rsid w:val="47C3743A"/>
    <w:rsid w:val="47C6C69F"/>
    <w:rsid w:val="47C84564"/>
    <w:rsid w:val="47CD23BA"/>
    <w:rsid w:val="47CEE1BD"/>
    <w:rsid w:val="47D531C9"/>
    <w:rsid w:val="47DC267E"/>
    <w:rsid w:val="47E9E9DE"/>
    <w:rsid w:val="47EBDED9"/>
    <w:rsid w:val="47EE3B71"/>
    <w:rsid w:val="47F56672"/>
    <w:rsid w:val="47F7452C"/>
    <w:rsid w:val="47FA5DBA"/>
    <w:rsid w:val="48022DE4"/>
    <w:rsid w:val="4807BA2D"/>
    <w:rsid w:val="480870B6"/>
    <w:rsid w:val="480AB49D"/>
    <w:rsid w:val="480E8B7F"/>
    <w:rsid w:val="4811DC28"/>
    <w:rsid w:val="48130E77"/>
    <w:rsid w:val="481C9E7E"/>
    <w:rsid w:val="481CAC43"/>
    <w:rsid w:val="481F3247"/>
    <w:rsid w:val="48238421"/>
    <w:rsid w:val="482C517E"/>
    <w:rsid w:val="482D180F"/>
    <w:rsid w:val="48365542"/>
    <w:rsid w:val="483D0C46"/>
    <w:rsid w:val="48426DED"/>
    <w:rsid w:val="4845CE3B"/>
    <w:rsid w:val="48504C66"/>
    <w:rsid w:val="4854BC54"/>
    <w:rsid w:val="4854C01A"/>
    <w:rsid w:val="4855528E"/>
    <w:rsid w:val="48571F9D"/>
    <w:rsid w:val="48585F68"/>
    <w:rsid w:val="48611B7F"/>
    <w:rsid w:val="4864D7BE"/>
    <w:rsid w:val="486AF2D8"/>
    <w:rsid w:val="486B2384"/>
    <w:rsid w:val="4871C586"/>
    <w:rsid w:val="48734768"/>
    <w:rsid w:val="4875FD1B"/>
    <w:rsid w:val="4877DB5A"/>
    <w:rsid w:val="4878C05F"/>
    <w:rsid w:val="487BD9D1"/>
    <w:rsid w:val="487C5AFB"/>
    <w:rsid w:val="487FB8FA"/>
    <w:rsid w:val="48950C4A"/>
    <w:rsid w:val="4896893D"/>
    <w:rsid w:val="4898323E"/>
    <w:rsid w:val="4899E212"/>
    <w:rsid w:val="489A97D6"/>
    <w:rsid w:val="489F2489"/>
    <w:rsid w:val="48AF7DB2"/>
    <w:rsid w:val="48B450EF"/>
    <w:rsid w:val="48BB7C95"/>
    <w:rsid w:val="48BD5B56"/>
    <w:rsid w:val="48C1E3DD"/>
    <w:rsid w:val="48C2CDFB"/>
    <w:rsid w:val="48CE4958"/>
    <w:rsid w:val="48D15C41"/>
    <w:rsid w:val="48D1FC04"/>
    <w:rsid w:val="48DE88D6"/>
    <w:rsid w:val="48E1213D"/>
    <w:rsid w:val="48E174E3"/>
    <w:rsid w:val="48E911A7"/>
    <w:rsid w:val="48F1E694"/>
    <w:rsid w:val="48F22DC4"/>
    <w:rsid w:val="48F691D8"/>
    <w:rsid w:val="48FBBA5E"/>
    <w:rsid w:val="48FCDA83"/>
    <w:rsid w:val="491618CE"/>
    <w:rsid w:val="4916D10F"/>
    <w:rsid w:val="491CEAF3"/>
    <w:rsid w:val="491D8B14"/>
    <w:rsid w:val="49219F20"/>
    <w:rsid w:val="49245366"/>
    <w:rsid w:val="492BAE15"/>
    <w:rsid w:val="492BD9B3"/>
    <w:rsid w:val="492D80AE"/>
    <w:rsid w:val="4949B1D1"/>
    <w:rsid w:val="494E2B35"/>
    <w:rsid w:val="4954E8E6"/>
    <w:rsid w:val="496DC594"/>
    <w:rsid w:val="4970D9CF"/>
    <w:rsid w:val="497161DB"/>
    <w:rsid w:val="497431F8"/>
    <w:rsid w:val="4978936F"/>
    <w:rsid w:val="49813BD2"/>
    <w:rsid w:val="49854078"/>
    <w:rsid w:val="498730F5"/>
    <w:rsid w:val="49880A1D"/>
    <w:rsid w:val="49890AB2"/>
    <w:rsid w:val="498C571E"/>
    <w:rsid w:val="49918A47"/>
    <w:rsid w:val="49951B94"/>
    <w:rsid w:val="49957761"/>
    <w:rsid w:val="4995EBDB"/>
    <w:rsid w:val="49A38E8E"/>
    <w:rsid w:val="49A6BF5B"/>
    <w:rsid w:val="49B09FF1"/>
    <w:rsid w:val="49BD64E3"/>
    <w:rsid w:val="49C51A62"/>
    <w:rsid w:val="49C9D444"/>
    <w:rsid w:val="49CF037C"/>
    <w:rsid w:val="49D44927"/>
    <w:rsid w:val="49D6E801"/>
    <w:rsid w:val="49E2D49A"/>
    <w:rsid w:val="49E36EF6"/>
    <w:rsid w:val="49E7BD97"/>
    <w:rsid w:val="49EA8B5F"/>
    <w:rsid w:val="49EC1FCB"/>
    <w:rsid w:val="49EE9088"/>
    <w:rsid w:val="49F2CC0A"/>
    <w:rsid w:val="49FBFBE8"/>
    <w:rsid w:val="4A026F1B"/>
    <w:rsid w:val="4A0A4EC6"/>
    <w:rsid w:val="4A0A8A7A"/>
    <w:rsid w:val="4A0F5DB0"/>
    <w:rsid w:val="4A0FF1A2"/>
    <w:rsid w:val="4A120403"/>
    <w:rsid w:val="4A20D65A"/>
    <w:rsid w:val="4A275C39"/>
    <w:rsid w:val="4A2A1F12"/>
    <w:rsid w:val="4A2A2F55"/>
    <w:rsid w:val="4A2D00BE"/>
    <w:rsid w:val="4A30086B"/>
    <w:rsid w:val="4A330CBA"/>
    <w:rsid w:val="4A419228"/>
    <w:rsid w:val="4A469E8C"/>
    <w:rsid w:val="4A4A8309"/>
    <w:rsid w:val="4A6915A7"/>
    <w:rsid w:val="4A786F9B"/>
    <w:rsid w:val="4A83EA27"/>
    <w:rsid w:val="4A857B02"/>
    <w:rsid w:val="4A86CFE6"/>
    <w:rsid w:val="4A8838BF"/>
    <w:rsid w:val="4A8B42B7"/>
    <w:rsid w:val="4A8EC310"/>
    <w:rsid w:val="4A91741A"/>
    <w:rsid w:val="4A927EFB"/>
    <w:rsid w:val="4A958CE2"/>
    <w:rsid w:val="4AB0B7EA"/>
    <w:rsid w:val="4AB4C362"/>
    <w:rsid w:val="4AB5C8A3"/>
    <w:rsid w:val="4ACB9B9B"/>
    <w:rsid w:val="4ACC3590"/>
    <w:rsid w:val="4ACE0E70"/>
    <w:rsid w:val="4ACFFFFD"/>
    <w:rsid w:val="4AD1C4DB"/>
    <w:rsid w:val="4AD50553"/>
    <w:rsid w:val="4ADBB25B"/>
    <w:rsid w:val="4ADDEEA8"/>
    <w:rsid w:val="4ADE3D46"/>
    <w:rsid w:val="4AE0F91E"/>
    <w:rsid w:val="4AE269F9"/>
    <w:rsid w:val="4AE4D680"/>
    <w:rsid w:val="4AEAF3F2"/>
    <w:rsid w:val="4AEBEF91"/>
    <w:rsid w:val="4AF29344"/>
    <w:rsid w:val="4AFB26AD"/>
    <w:rsid w:val="4B056981"/>
    <w:rsid w:val="4B05F261"/>
    <w:rsid w:val="4B066964"/>
    <w:rsid w:val="4B07ECA2"/>
    <w:rsid w:val="4B09D235"/>
    <w:rsid w:val="4B0D2A9C"/>
    <w:rsid w:val="4B10BE6D"/>
    <w:rsid w:val="4B1296A7"/>
    <w:rsid w:val="4B14BDE9"/>
    <w:rsid w:val="4B20907C"/>
    <w:rsid w:val="4B26810D"/>
    <w:rsid w:val="4B28967D"/>
    <w:rsid w:val="4B2C7DD6"/>
    <w:rsid w:val="4B2DD3C9"/>
    <w:rsid w:val="4B2E3051"/>
    <w:rsid w:val="4B301D1A"/>
    <w:rsid w:val="4B4A14F3"/>
    <w:rsid w:val="4B4A23A3"/>
    <w:rsid w:val="4B4D22BA"/>
    <w:rsid w:val="4B531894"/>
    <w:rsid w:val="4B569E41"/>
    <w:rsid w:val="4B56ADAE"/>
    <w:rsid w:val="4B6088EE"/>
    <w:rsid w:val="4B6759A8"/>
    <w:rsid w:val="4B68986F"/>
    <w:rsid w:val="4B6EB598"/>
    <w:rsid w:val="4B767F1F"/>
    <w:rsid w:val="4B788D43"/>
    <w:rsid w:val="4B788DAF"/>
    <w:rsid w:val="4B790E5A"/>
    <w:rsid w:val="4B82FB85"/>
    <w:rsid w:val="4B8386E4"/>
    <w:rsid w:val="4B84A4D1"/>
    <w:rsid w:val="4B8533CE"/>
    <w:rsid w:val="4B862629"/>
    <w:rsid w:val="4B887A44"/>
    <w:rsid w:val="4B8C167B"/>
    <w:rsid w:val="4B8E8CC5"/>
    <w:rsid w:val="4B903F11"/>
    <w:rsid w:val="4B9040C0"/>
    <w:rsid w:val="4BA3C438"/>
    <w:rsid w:val="4BA9E983"/>
    <w:rsid w:val="4BAA5A58"/>
    <w:rsid w:val="4BAD3889"/>
    <w:rsid w:val="4BADDC77"/>
    <w:rsid w:val="4BB59910"/>
    <w:rsid w:val="4BB7BA44"/>
    <w:rsid w:val="4BC561D9"/>
    <w:rsid w:val="4BC5B418"/>
    <w:rsid w:val="4BCC90ED"/>
    <w:rsid w:val="4BCCC9DD"/>
    <w:rsid w:val="4BD1A30B"/>
    <w:rsid w:val="4BD1D12E"/>
    <w:rsid w:val="4BD1FBF7"/>
    <w:rsid w:val="4BE00E74"/>
    <w:rsid w:val="4BE03EE5"/>
    <w:rsid w:val="4BE0F458"/>
    <w:rsid w:val="4BEDB88A"/>
    <w:rsid w:val="4BEF6226"/>
    <w:rsid w:val="4BF42B41"/>
    <w:rsid w:val="4BF61080"/>
    <w:rsid w:val="4BF918F3"/>
    <w:rsid w:val="4BFA28A1"/>
    <w:rsid w:val="4BFC4A7D"/>
    <w:rsid w:val="4BFD505E"/>
    <w:rsid w:val="4C07021B"/>
    <w:rsid w:val="4C0A16F5"/>
    <w:rsid w:val="4C0AC80D"/>
    <w:rsid w:val="4C106711"/>
    <w:rsid w:val="4C286F1F"/>
    <w:rsid w:val="4C3932D1"/>
    <w:rsid w:val="4C3AEFD7"/>
    <w:rsid w:val="4C3E14D6"/>
    <w:rsid w:val="4C3E21F4"/>
    <w:rsid w:val="4C3FAD41"/>
    <w:rsid w:val="4C485C91"/>
    <w:rsid w:val="4C5092E1"/>
    <w:rsid w:val="4C664EA1"/>
    <w:rsid w:val="4C670876"/>
    <w:rsid w:val="4C6C4621"/>
    <w:rsid w:val="4C6D12FC"/>
    <w:rsid w:val="4C726F8F"/>
    <w:rsid w:val="4C7D3560"/>
    <w:rsid w:val="4C82D4D5"/>
    <w:rsid w:val="4C89AB68"/>
    <w:rsid w:val="4C8B7D0D"/>
    <w:rsid w:val="4C8C1EA9"/>
    <w:rsid w:val="4C8D2159"/>
    <w:rsid w:val="4C98A96C"/>
    <w:rsid w:val="4C98EF57"/>
    <w:rsid w:val="4C9D5DDC"/>
    <w:rsid w:val="4C9D6714"/>
    <w:rsid w:val="4CA03B75"/>
    <w:rsid w:val="4CA2746F"/>
    <w:rsid w:val="4CA3E8C2"/>
    <w:rsid w:val="4CA4B4DB"/>
    <w:rsid w:val="4CA51A60"/>
    <w:rsid w:val="4CA6860D"/>
    <w:rsid w:val="4CA703A4"/>
    <w:rsid w:val="4CAEAD6C"/>
    <w:rsid w:val="4CAF6FFA"/>
    <w:rsid w:val="4CB13DE6"/>
    <w:rsid w:val="4CB70B9C"/>
    <w:rsid w:val="4CB879B3"/>
    <w:rsid w:val="4CB99ECE"/>
    <w:rsid w:val="4CC17F5B"/>
    <w:rsid w:val="4CC3E1AB"/>
    <w:rsid w:val="4CC4009A"/>
    <w:rsid w:val="4CC92EDF"/>
    <w:rsid w:val="4CCE3579"/>
    <w:rsid w:val="4CD92536"/>
    <w:rsid w:val="4CDA8877"/>
    <w:rsid w:val="4CE19EED"/>
    <w:rsid w:val="4CE3B142"/>
    <w:rsid w:val="4CE688CB"/>
    <w:rsid w:val="4CE6C87F"/>
    <w:rsid w:val="4CEBD0F2"/>
    <w:rsid w:val="4CEC1BC0"/>
    <w:rsid w:val="4CEEEB9C"/>
    <w:rsid w:val="4CF255B4"/>
    <w:rsid w:val="4CF8CBDA"/>
    <w:rsid w:val="4CF9AE7D"/>
    <w:rsid w:val="4CFA47DB"/>
    <w:rsid w:val="4CFC353F"/>
    <w:rsid w:val="4D003C9C"/>
    <w:rsid w:val="4D03EE47"/>
    <w:rsid w:val="4D072F72"/>
    <w:rsid w:val="4D0BA89D"/>
    <w:rsid w:val="4D17D548"/>
    <w:rsid w:val="4D2367A0"/>
    <w:rsid w:val="4D26B79C"/>
    <w:rsid w:val="4D2C5E88"/>
    <w:rsid w:val="4D31C084"/>
    <w:rsid w:val="4D322397"/>
    <w:rsid w:val="4D3A91E7"/>
    <w:rsid w:val="4D3B5330"/>
    <w:rsid w:val="4D4C5BAA"/>
    <w:rsid w:val="4D55897C"/>
    <w:rsid w:val="4D576E8F"/>
    <w:rsid w:val="4D5960B2"/>
    <w:rsid w:val="4D5E3EB2"/>
    <w:rsid w:val="4D632000"/>
    <w:rsid w:val="4D66D5B1"/>
    <w:rsid w:val="4D67563C"/>
    <w:rsid w:val="4D6EA814"/>
    <w:rsid w:val="4D6F08EB"/>
    <w:rsid w:val="4D71B9B5"/>
    <w:rsid w:val="4D73C937"/>
    <w:rsid w:val="4D755127"/>
    <w:rsid w:val="4D7A92DD"/>
    <w:rsid w:val="4D81BDF5"/>
    <w:rsid w:val="4D83AB05"/>
    <w:rsid w:val="4D852601"/>
    <w:rsid w:val="4D9D17D7"/>
    <w:rsid w:val="4D9F62F9"/>
    <w:rsid w:val="4DA0CA8A"/>
    <w:rsid w:val="4DA3EF20"/>
    <w:rsid w:val="4DA44012"/>
    <w:rsid w:val="4DA7CFCD"/>
    <w:rsid w:val="4DB40E5C"/>
    <w:rsid w:val="4DBD0292"/>
    <w:rsid w:val="4DC37CF3"/>
    <w:rsid w:val="4DC7094D"/>
    <w:rsid w:val="4DC80117"/>
    <w:rsid w:val="4DC90213"/>
    <w:rsid w:val="4DD0DF4D"/>
    <w:rsid w:val="4DD21EE0"/>
    <w:rsid w:val="4DD6FC4B"/>
    <w:rsid w:val="4DDF6C4F"/>
    <w:rsid w:val="4DEA32F5"/>
    <w:rsid w:val="4DF237FD"/>
    <w:rsid w:val="4DFB4004"/>
    <w:rsid w:val="4DFD99C0"/>
    <w:rsid w:val="4E15480B"/>
    <w:rsid w:val="4E18875C"/>
    <w:rsid w:val="4E1B4240"/>
    <w:rsid w:val="4E2E7B44"/>
    <w:rsid w:val="4E2FE1D2"/>
    <w:rsid w:val="4E330B58"/>
    <w:rsid w:val="4E364725"/>
    <w:rsid w:val="4E44DE09"/>
    <w:rsid w:val="4E474201"/>
    <w:rsid w:val="4E4EA7FD"/>
    <w:rsid w:val="4E519364"/>
    <w:rsid w:val="4E53D2CD"/>
    <w:rsid w:val="4E620210"/>
    <w:rsid w:val="4E629FEB"/>
    <w:rsid w:val="4E68ACA0"/>
    <w:rsid w:val="4E692860"/>
    <w:rsid w:val="4E69A4EE"/>
    <w:rsid w:val="4E6A0CA8"/>
    <w:rsid w:val="4E6A4DBC"/>
    <w:rsid w:val="4E70E465"/>
    <w:rsid w:val="4E82C2C8"/>
    <w:rsid w:val="4E841870"/>
    <w:rsid w:val="4E844004"/>
    <w:rsid w:val="4E88A0F4"/>
    <w:rsid w:val="4E8C2DA8"/>
    <w:rsid w:val="4E9C4870"/>
    <w:rsid w:val="4E9C8836"/>
    <w:rsid w:val="4EAA0360"/>
    <w:rsid w:val="4EB15A82"/>
    <w:rsid w:val="4EB17777"/>
    <w:rsid w:val="4EB672EF"/>
    <w:rsid w:val="4EBAC895"/>
    <w:rsid w:val="4EBCE9D3"/>
    <w:rsid w:val="4EBF0258"/>
    <w:rsid w:val="4EC5201C"/>
    <w:rsid w:val="4ECD6E7D"/>
    <w:rsid w:val="4ECF7568"/>
    <w:rsid w:val="4ECF8118"/>
    <w:rsid w:val="4ECFDB72"/>
    <w:rsid w:val="4ED9B6E6"/>
    <w:rsid w:val="4EDAFFF6"/>
    <w:rsid w:val="4EE7AB7F"/>
    <w:rsid w:val="4EE82C68"/>
    <w:rsid w:val="4EF34A51"/>
    <w:rsid w:val="4EF9B5AB"/>
    <w:rsid w:val="4EFAE408"/>
    <w:rsid w:val="4F0273AD"/>
    <w:rsid w:val="4F04DC98"/>
    <w:rsid w:val="4F09C8B3"/>
    <w:rsid w:val="4F11CCAD"/>
    <w:rsid w:val="4F17AC6D"/>
    <w:rsid w:val="4F1BE2C5"/>
    <w:rsid w:val="4F1C7ED7"/>
    <w:rsid w:val="4F21D5C3"/>
    <w:rsid w:val="4F2604FC"/>
    <w:rsid w:val="4F29D8DA"/>
    <w:rsid w:val="4F3B928B"/>
    <w:rsid w:val="4F3BC8CB"/>
    <w:rsid w:val="4F3EC29B"/>
    <w:rsid w:val="4F3EDC12"/>
    <w:rsid w:val="4F406A5F"/>
    <w:rsid w:val="4F4D69E7"/>
    <w:rsid w:val="4F5199C0"/>
    <w:rsid w:val="4F5A528A"/>
    <w:rsid w:val="4F655ADB"/>
    <w:rsid w:val="4F665A86"/>
    <w:rsid w:val="4F665EC0"/>
    <w:rsid w:val="4F66E384"/>
    <w:rsid w:val="4F6C6E2A"/>
    <w:rsid w:val="4F6F68E2"/>
    <w:rsid w:val="4F7208F2"/>
    <w:rsid w:val="4F8268E5"/>
    <w:rsid w:val="4F857651"/>
    <w:rsid w:val="4F902B3D"/>
    <w:rsid w:val="4F93CCE6"/>
    <w:rsid w:val="4F9A801B"/>
    <w:rsid w:val="4F9D8491"/>
    <w:rsid w:val="4F9F9FD2"/>
    <w:rsid w:val="4FA323D9"/>
    <w:rsid w:val="4FB0C29A"/>
    <w:rsid w:val="4FB1ED48"/>
    <w:rsid w:val="4FBD63BE"/>
    <w:rsid w:val="4FBE74A0"/>
    <w:rsid w:val="4FBE846A"/>
    <w:rsid w:val="4FBF8DC7"/>
    <w:rsid w:val="4FC5FDD5"/>
    <w:rsid w:val="4FCDCF3F"/>
    <w:rsid w:val="4FCE0069"/>
    <w:rsid w:val="4FD0911F"/>
    <w:rsid w:val="4FDE60E7"/>
    <w:rsid w:val="4FE71221"/>
    <w:rsid w:val="4FE73176"/>
    <w:rsid w:val="4FE755FE"/>
    <w:rsid w:val="4FEA7382"/>
    <w:rsid w:val="4FF16AA8"/>
    <w:rsid w:val="4FF4161E"/>
    <w:rsid w:val="5000E776"/>
    <w:rsid w:val="50050DAB"/>
    <w:rsid w:val="500DC377"/>
    <w:rsid w:val="50124622"/>
    <w:rsid w:val="5012CCD0"/>
    <w:rsid w:val="5019A4AA"/>
    <w:rsid w:val="50285DB3"/>
    <w:rsid w:val="502BE920"/>
    <w:rsid w:val="502E01BB"/>
    <w:rsid w:val="50313764"/>
    <w:rsid w:val="5039942B"/>
    <w:rsid w:val="503BDB45"/>
    <w:rsid w:val="50426165"/>
    <w:rsid w:val="504567CE"/>
    <w:rsid w:val="5052E225"/>
    <w:rsid w:val="505598CC"/>
    <w:rsid w:val="505B0A7B"/>
    <w:rsid w:val="505B0BF5"/>
    <w:rsid w:val="505DCE03"/>
    <w:rsid w:val="505EBDC6"/>
    <w:rsid w:val="50631977"/>
    <w:rsid w:val="5067EB1B"/>
    <w:rsid w:val="506A8058"/>
    <w:rsid w:val="506BF06B"/>
    <w:rsid w:val="506E6446"/>
    <w:rsid w:val="506F13AC"/>
    <w:rsid w:val="5073FB97"/>
    <w:rsid w:val="50799317"/>
    <w:rsid w:val="507E4146"/>
    <w:rsid w:val="50810A02"/>
    <w:rsid w:val="5082CCA1"/>
    <w:rsid w:val="50853159"/>
    <w:rsid w:val="5085D4B2"/>
    <w:rsid w:val="5088C9BE"/>
    <w:rsid w:val="50924600"/>
    <w:rsid w:val="50925556"/>
    <w:rsid w:val="50945A52"/>
    <w:rsid w:val="5097A53C"/>
    <w:rsid w:val="509D7935"/>
    <w:rsid w:val="509F0A0C"/>
    <w:rsid w:val="50A11808"/>
    <w:rsid w:val="50A11A1F"/>
    <w:rsid w:val="50B02EC6"/>
    <w:rsid w:val="50B49991"/>
    <w:rsid w:val="50B79D6D"/>
    <w:rsid w:val="50BFFD73"/>
    <w:rsid w:val="50DC1958"/>
    <w:rsid w:val="50E88DC8"/>
    <w:rsid w:val="50F7DA61"/>
    <w:rsid w:val="50FE1B0D"/>
    <w:rsid w:val="510004B2"/>
    <w:rsid w:val="5100A4E3"/>
    <w:rsid w:val="510958C8"/>
    <w:rsid w:val="510B5F7E"/>
    <w:rsid w:val="510D7656"/>
    <w:rsid w:val="510DBC9D"/>
    <w:rsid w:val="51199C43"/>
    <w:rsid w:val="5119E856"/>
    <w:rsid w:val="51249D94"/>
    <w:rsid w:val="5126DD0A"/>
    <w:rsid w:val="5127D59C"/>
    <w:rsid w:val="5129F53F"/>
    <w:rsid w:val="512CC8EC"/>
    <w:rsid w:val="512E0C26"/>
    <w:rsid w:val="51314454"/>
    <w:rsid w:val="51341370"/>
    <w:rsid w:val="51413813"/>
    <w:rsid w:val="51440FAC"/>
    <w:rsid w:val="51474486"/>
    <w:rsid w:val="515029CA"/>
    <w:rsid w:val="5154855C"/>
    <w:rsid w:val="517224B2"/>
    <w:rsid w:val="51730297"/>
    <w:rsid w:val="5175A876"/>
    <w:rsid w:val="518339FE"/>
    <w:rsid w:val="5186E343"/>
    <w:rsid w:val="51921704"/>
    <w:rsid w:val="519B870B"/>
    <w:rsid w:val="519DBBCB"/>
    <w:rsid w:val="51A166B8"/>
    <w:rsid w:val="51A56CF1"/>
    <w:rsid w:val="51A62CFC"/>
    <w:rsid w:val="51AAC72D"/>
    <w:rsid w:val="51AB5999"/>
    <w:rsid w:val="51AC0B07"/>
    <w:rsid w:val="51B1159A"/>
    <w:rsid w:val="51C53271"/>
    <w:rsid w:val="51C8246B"/>
    <w:rsid w:val="51CE46A8"/>
    <w:rsid w:val="51D19D48"/>
    <w:rsid w:val="51D6AE9B"/>
    <w:rsid w:val="51DB22FC"/>
    <w:rsid w:val="51ECC4E5"/>
    <w:rsid w:val="51FCF0C1"/>
    <w:rsid w:val="51FE250A"/>
    <w:rsid w:val="51FFE49B"/>
    <w:rsid w:val="5200ACF0"/>
    <w:rsid w:val="520B4DAD"/>
    <w:rsid w:val="520C0141"/>
    <w:rsid w:val="520F8855"/>
    <w:rsid w:val="5213E603"/>
    <w:rsid w:val="521A724F"/>
    <w:rsid w:val="521BF05D"/>
    <w:rsid w:val="5224229E"/>
    <w:rsid w:val="52258F62"/>
    <w:rsid w:val="52274FB1"/>
    <w:rsid w:val="5234C3F5"/>
    <w:rsid w:val="523AF834"/>
    <w:rsid w:val="52439EB2"/>
    <w:rsid w:val="524BAFB7"/>
    <w:rsid w:val="524BCB4D"/>
    <w:rsid w:val="524F4551"/>
    <w:rsid w:val="524FC3F9"/>
    <w:rsid w:val="52512203"/>
    <w:rsid w:val="525E5291"/>
    <w:rsid w:val="525FCA48"/>
    <w:rsid w:val="52603ADD"/>
    <w:rsid w:val="5260A7C9"/>
    <w:rsid w:val="52658024"/>
    <w:rsid w:val="526BD19F"/>
    <w:rsid w:val="526FFDB7"/>
    <w:rsid w:val="5274ABA7"/>
    <w:rsid w:val="52752A04"/>
    <w:rsid w:val="5277F767"/>
    <w:rsid w:val="527E246C"/>
    <w:rsid w:val="527FFD63"/>
    <w:rsid w:val="52851AF3"/>
    <w:rsid w:val="528A4BEC"/>
    <w:rsid w:val="528D2672"/>
    <w:rsid w:val="529139A7"/>
    <w:rsid w:val="52951D30"/>
    <w:rsid w:val="529DDD1D"/>
    <w:rsid w:val="529E975B"/>
    <w:rsid w:val="52A436BB"/>
    <w:rsid w:val="52A84FE1"/>
    <w:rsid w:val="52A96B60"/>
    <w:rsid w:val="52AA2ECE"/>
    <w:rsid w:val="52BD03D6"/>
    <w:rsid w:val="52BD2272"/>
    <w:rsid w:val="52C6B8DC"/>
    <w:rsid w:val="52CEBB61"/>
    <w:rsid w:val="52CFFC00"/>
    <w:rsid w:val="52D83950"/>
    <w:rsid w:val="52D881F3"/>
    <w:rsid w:val="52E4B8FE"/>
    <w:rsid w:val="52E54BA3"/>
    <w:rsid w:val="52E799CF"/>
    <w:rsid w:val="52E7D830"/>
    <w:rsid w:val="52EB0F87"/>
    <w:rsid w:val="52F99D25"/>
    <w:rsid w:val="52FB585C"/>
    <w:rsid w:val="52FFD53A"/>
    <w:rsid w:val="53096D3B"/>
    <w:rsid w:val="53098CDE"/>
    <w:rsid w:val="5309D2DC"/>
    <w:rsid w:val="53104573"/>
    <w:rsid w:val="531513DF"/>
    <w:rsid w:val="531BAD68"/>
    <w:rsid w:val="531FA335"/>
    <w:rsid w:val="5324571E"/>
    <w:rsid w:val="53262D2F"/>
    <w:rsid w:val="532D53F2"/>
    <w:rsid w:val="532EBBF5"/>
    <w:rsid w:val="532F76AD"/>
    <w:rsid w:val="533046F3"/>
    <w:rsid w:val="53328A0C"/>
    <w:rsid w:val="5336F232"/>
    <w:rsid w:val="533C5804"/>
    <w:rsid w:val="534374D9"/>
    <w:rsid w:val="534B3F35"/>
    <w:rsid w:val="535AB657"/>
    <w:rsid w:val="535F2FDC"/>
    <w:rsid w:val="5360C5C7"/>
    <w:rsid w:val="5365C5DB"/>
    <w:rsid w:val="536FFC66"/>
    <w:rsid w:val="5374F538"/>
    <w:rsid w:val="5376B887"/>
    <w:rsid w:val="537B76BB"/>
    <w:rsid w:val="53833D09"/>
    <w:rsid w:val="5391C9CE"/>
    <w:rsid w:val="5395488A"/>
    <w:rsid w:val="539C814A"/>
    <w:rsid w:val="539E68AC"/>
    <w:rsid w:val="53A0866C"/>
    <w:rsid w:val="53A3BB97"/>
    <w:rsid w:val="53AE09E7"/>
    <w:rsid w:val="53BC81D2"/>
    <w:rsid w:val="53C25F80"/>
    <w:rsid w:val="53C54FBA"/>
    <w:rsid w:val="53C7CB01"/>
    <w:rsid w:val="53E1101D"/>
    <w:rsid w:val="53E434E1"/>
    <w:rsid w:val="53ED811C"/>
    <w:rsid w:val="53EE216A"/>
    <w:rsid w:val="53FC0541"/>
    <w:rsid w:val="54034594"/>
    <w:rsid w:val="54050993"/>
    <w:rsid w:val="540E3044"/>
    <w:rsid w:val="5410796F"/>
    <w:rsid w:val="5410B793"/>
    <w:rsid w:val="5410EC84"/>
    <w:rsid w:val="541BF16B"/>
    <w:rsid w:val="54266229"/>
    <w:rsid w:val="5428E12D"/>
    <w:rsid w:val="542DE9D4"/>
    <w:rsid w:val="542FB831"/>
    <w:rsid w:val="5436CF57"/>
    <w:rsid w:val="543775D3"/>
    <w:rsid w:val="54377FE6"/>
    <w:rsid w:val="5437A7CB"/>
    <w:rsid w:val="5438613A"/>
    <w:rsid w:val="544911CD"/>
    <w:rsid w:val="544F07C6"/>
    <w:rsid w:val="54511EC6"/>
    <w:rsid w:val="54540668"/>
    <w:rsid w:val="54563FDB"/>
    <w:rsid w:val="5456E0E7"/>
    <w:rsid w:val="545F4FAF"/>
    <w:rsid w:val="5466053C"/>
    <w:rsid w:val="54777237"/>
    <w:rsid w:val="547EE1D9"/>
    <w:rsid w:val="548154CD"/>
    <w:rsid w:val="5482235D"/>
    <w:rsid w:val="5484E022"/>
    <w:rsid w:val="548981EA"/>
    <w:rsid w:val="5489B6E3"/>
    <w:rsid w:val="5493460A"/>
    <w:rsid w:val="54979E61"/>
    <w:rsid w:val="54982A39"/>
    <w:rsid w:val="5498A7CC"/>
    <w:rsid w:val="54A3160C"/>
    <w:rsid w:val="54A42A41"/>
    <w:rsid w:val="54A548EC"/>
    <w:rsid w:val="54B1B44E"/>
    <w:rsid w:val="54C12E9C"/>
    <w:rsid w:val="54C75530"/>
    <w:rsid w:val="54CCD6D4"/>
    <w:rsid w:val="54CFEFDC"/>
    <w:rsid w:val="54D472C0"/>
    <w:rsid w:val="54D64B60"/>
    <w:rsid w:val="54DC2DB2"/>
    <w:rsid w:val="54E09249"/>
    <w:rsid w:val="54E16FAD"/>
    <w:rsid w:val="54EBA5B8"/>
    <w:rsid w:val="54ECDA7D"/>
    <w:rsid w:val="54FF59E7"/>
    <w:rsid w:val="5502906C"/>
    <w:rsid w:val="550386D2"/>
    <w:rsid w:val="55063DE9"/>
    <w:rsid w:val="55076259"/>
    <w:rsid w:val="550C1F7F"/>
    <w:rsid w:val="550CD811"/>
    <w:rsid w:val="550D455B"/>
    <w:rsid w:val="55214126"/>
    <w:rsid w:val="5529FB2D"/>
    <w:rsid w:val="552B20D0"/>
    <w:rsid w:val="552E919F"/>
    <w:rsid w:val="55306F3E"/>
    <w:rsid w:val="5531C8A8"/>
    <w:rsid w:val="55356093"/>
    <w:rsid w:val="5541E7C2"/>
    <w:rsid w:val="5545B6F6"/>
    <w:rsid w:val="554BDD3D"/>
    <w:rsid w:val="554E71CA"/>
    <w:rsid w:val="555F2948"/>
    <w:rsid w:val="55653E5E"/>
    <w:rsid w:val="556FF22F"/>
    <w:rsid w:val="557856D9"/>
    <w:rsid w:val="557CD039"/>
    <w:rsid w:val="557E1D1A"/>
    <w:rsid w:val="55817118"/>
    <w:rsid w:val="558189FB"/>
    <w:rsid w:val="5582D9BE"/>
    <w:rsid w:val="55A6FD3C"/>
    <w:rsid w:val="55A7B784"/>
    <w:rsid w:val="55B03566"/>
    <w:rsid w:val="55B6E764"/>
    <w:rsid w:val="55BDF532"/>
    <w:rsid w:val="55C3E8B5"/>
    <w:rsid w:val="55CA0CB5"/>
    <w:rsid w:val="55CF7086"/>
    <w:rsid w:val="55D230EB"/>
    <w:rsid w:val="55D5F1FD"/>
    <w:rsid w:val="55D6E377"/>
    <w:rsid w:val="55DB36C9"/>
    <w:rsid w:val="55E3896B"/>
    <w:rsid w:val="55ED033C"/>
    <w:rsid w:val="55F5BB3B"/>
    <w:rsid w:val="55FB32B4"/>
    <w:rsid w:val="55FC4291"/>
    <w:rsid w:val="55FD13E8"/>
    <w:rsid w:val="55FD8488"/>
    <w:rsid w:val="55FEA4B6"/>
    <w:rsid w:val="5600B152"/>
    <w:rsid w:val="5608FCC3"/>
    <w:rsid w:val="5609A52A"/>
    <w:rsid w:val="560D2848"/>
    <w:rsid w:val="561565DE"/>
    <w:rsid w:val="562367D9"/>
    <w:rsid w:val="56339777"/>
    <w:rsid w:val="563636BD"/>
    <w:rsid w:val="564649DC"/>
    <w:rsid w:val="565237AC"/>
    <w:rsid w:val="5655098D"/>
    <w:rsid w:val="56656FFD"/>
    <w:rsid w:val="566804DC"/>
    <w:rsid w:val="566B94A1"/>
    <w:rsid w:val="566CB53A"/>
    <w:rsid w:val="566D68A9"/>
    <w:rsid w:val="5674C9B3"/>
    <w:rsid w:val="567CFADE"/>
    <w:rsid w:val="5682F4BB"/>
    <w:rsid w:val="5683B268"/>
    <w:rsid w:val="56851C29"/>
    <w:rsid w:val="5689EE47"/>
    <w:rsid w:val="5693961F"/>
    <w:rsid w:val="56A50451"/>
    <w:rsid w:val="56A5CFCF"/>
    <w:rsid w:val="56AAAD43"/>
    <w:rsid w:val="56ACB9DD"/>
    <w:rsid w:val="56AFD7C3"/>
    <w:rsid w:val="56B768A7"/>
    <w:rsid w:val="56B869EE"/>
    <w:rsid w:val="56C0728E"/>
    <w:rsid w:val="56D01777"/>
    <w:rsid w:val="56D264FD"/>
    <w:rsid w:val="56D91EEC"/>
    <w:rsid w:val="56DC65DE"/>
    <w:rsid w:val="56E1311D"/>
    <w:rsid w:val="56E7E84E"/>
    <w:rsid w:val="56EC8148"/>
    <w:rsid w:val="56FACBE0"/>
    <w:rsid w:val="56FBB92C"/>
    <w:rsid w:val="5700D7D3"/>
    <w:rsid w:val="5701DE6F"/>
    <w:rsid w:val="5704F485"/>
    <w:rsid w:val="57115126"/>
    <w:rsid w:val="57115A23"/>
    <w:rsid w:val="5711D0A0"/>
    <w:rsid w:val="57173C51"/>
    <w:rsid w:val="571D0DCA"/>
    <w:rsid w:val="571F94A5"/>
    <w:rsid w:val="572E5189"/>
    <w:rsid w:val="5734B398"/>
    <w:rsid w:val="5734D535"/>
    <w:rsid w:val="5734FA58"/>
    <w:rsid w:val="573D91D8"/>
    <w:rsid w:val="573E7030"/>
    <w:rsid w:val="573E8C11"/>
    <w:rsid w:val="57589B06"/>
    <w:rsid w:val="57597238"/>
    <w:rsid w:val="575BDCC2"/>
    <w:rsid w:val="576EF83F"/>
    <w:rsid w:val="57819747"/>
    <w:rsid w:val="5784ADF7"/>
    <w:rsid w:val="578581B4"/>
    <w:rsid w:val="57951509"/>
    <w:rsid w:val="579C3998"/>
    <w:rsid w:val="57A157C2"/>
    <w:rsid w:val="57A58C45"/>
    <w:rsid w:val="57AB4088"/>
    <w:rsid w:val="57B5FD49"/>
    <w:rsid w:val="57B96608"/>
    <w:rsid w:val="57D0BDEE"/>
    <w:rsid w:val="57DD8ED7"/>
    <w:rsid w:val="57E509AA"/>
    <w:rsid w:val="57EEF8C4"/>
    <w:rsid w:val="57F07776"/>
    <w:rsid w:val="5801C652"/>
    <w:rsid w:val="580E0A5D"/>
    <w:rsid w:val="58116657"/>
    <w:rsid w:val="58123029"/>
    <w:rsid w:val="5819CE9E"/>
    <w:rsid w:val="581AED3D"/>
    <w:rsid w:val="58206AC4"/>
    <w:rsid w:val="58241644"/>
    <w:rsid w:val="582D9A9B"/>
    <w:rsid w:val="582DE48D"/>
    <w:rsid w:val="582EFF34"/>
    <w:rsid w:val="5831273A"/>
    <w:rsid w:val="583381CB"/>
    <w:rsid w:val="5835A871"/>
    <w:rsid w:val="583696BB"/>
    <w:rsid w:val="5837D558"/>
    <w:rsid w:val="5838D093"/>
    <w:rsid w:val="583D148E"/>
    <w:rsid w:val="583EEDB3"/>
    <w:rsid w:val="58425CED"/>
    <w:rsid w:val="5842CC0F"/>
    <w:rsid w:val="58430BA4"/>
    <w:rsid w:val="584BD857"/>
    <w:rsid w:val="584F4F54"/>
    <w:rsid w:val="584FB2AA"/>
    <w:rsid w:val="5852B268"/>
    <w:rsid w:val="58584B00"/>
    <w:rsid w:val="586198C9"/>
    <w:rsid w:val="5861E012"/>
    <w:rsid w:val="586AA175"/>
    <w:rsid w:val="586BB4C5"/>
    <w:rsid w:val="586DA851"/>
    <w:rsid w:val="587202E9"/>
    <w:rsid w:val="58742EC6"/>
    <w:rsid w:val="58778428"/>
    <w:rsid w:val="587D5B11"/>
    <w:rsid w:val="587F7EB3"/>
    <w:rsid w:val="5885DAAE"/>
    <w:rsid w:val="589847F2"/>
    <w:rsid w:val="589BCA3C"/>
    <w:rsid w:val="589E4937"/>
    <w:rsid w:val="589E5D3D"/>
    <w:rsid w:val="58A03B81"/>
    <w:rsid w:val="58A0F6BB"/>
    <w:rsid w:val="58ABA07F"/>
    <w:rsid w:val="58B11A3F"/>
    <w:rsid w:val="58B48749"/>
    <w:rsid w:val="58BA5C0A"/>
    <w:rsid w:val="58BCECBB"/>
    <w:rsid w:val="58BF0F10"/>
    <w:rsid w:val="58C31C2E"/>
    <w:rsid w:val="58C31EBD"/>
    <w:rsid w:val="58C541A0"/>
    <w:rsid w:val="58C6077D"/>
    <w:rsid w:val="58C6B815"/>
    <w:rsid w:val="58D04533"/>
    <w:rsid w:val="58D51E00"/>
    <w:rsid w:val="58D603D9"/>
    <w:rsid w:val="58DB4D39"/>
    <w:rsid w:val="58DC6F9A"/>
    <w:rsid w:val="58E3350A"/>
    <w:rsid w:val="58E8E23C"/>
    <w:rsid w:val="58EB8C3B"/>
    <w:rsid w:val="58EE6EE2"/>
    <w:rsid w:val="58F516C5"/>
    <w:rsid w:val="58F7F714"/>
    <w:rsid w:val="58F95BA0"/>
    <w:rsid w:val="590241FA"/>
    <w:rsid w:val="591A21F1"/>
    <w:rsid w:val="591E0933"/>
    <w:rsid w:val="59354599"/>
    <w:rsid w:val="593CD3D1"/>
    <w:rsid w:val="59421BFB"/>
    <w:rsid w:val="59492F80"/>
    <w:rsid w:val="594D1D79"/>
    <w:rsid w:val="594DB971"/>
    <w:rsid w:val="594E52EE"/>
    <w:rsid w:val="595270C2"/>
    <w:rsid w:val="5954ECC2"/>
    <w:rsid w:val="595ADA52"/>
    <w:rsid w:val="5964517B"/>
    <w:rsid w:val="597A5C9F"/>
    <w:rsid w:val="597D920D"/>
    <w:rsid w:val="597FB4FC"/>
    <w:rsid w:val="59803FAC"/>
    <w:rsid w:val="598C0CD8"/>
    <w:rsid w:val="598C8CA6"/>
    <w:rsid w:val="599425F3"/>
    <w:rsid w:val="5995BE2E"/>
    <w:rsid w:val="59A3FDF0"/>
    <w:rsid w:val="59ACF779"/>
    <w:rsid w:val="59AED3B1"/>
    <w:rsid w:val="59B3BF01"/>
    <w:rsid w:val="59BCD237"/>
    <w:rsid w:val="59BE7D2A"/>
    <w:rsid w:val="59C16599"/>
    <w:rsid w:val="59C8A069"/>
    <w:rsid w:val="59D61E6A"/>
    <w:rsid w:val="59D67E0F"/>
    <w:rsid w:val="59D70E31"/>
    <w:rsid w:val="59DAF84F"/>
    <w:rsid w:val="59DECCF1"/>
    <w:rsid w:val="59E04B99"/>
    <w:rsid w:val="59E1A66C"/>
    <w:rsid w:val="59E621F1"/>
    <w:rsid w:val="59F32DF5"/>
    <w:rsid w:val="59F42380"/>
    <w:rsid w:val="59F7F763"/>
    <w:rsid w:val="59FF81CA"/>
    <w:rsid w:val="59FF85A3"/>
    <w:rsid w:val="5A00BB40"/>
    <w:rsid w:val="5A01F7BD"/>
    <w:rsid w:val="5A05DF4F"/>
    <w:rsid w:val="5A10A1D3"/>
    <w:rsid w:val="5A12129D"/>
    <w:rsid w:val="5A146A37"/>
    <w:rsid w:val="5A1FD6F2"/>
    <w:rsid w:val="5A235FD7"/>
    <w:rsid w:val="5A2391E6"/>
    <w:rsid w:val="5A23ECD9"/>
    <w:rsid w:val="5A255FE3"/>
    <w:rsid w:val="5A261154"/>
    <w:rsid w:val="5A26ACFA"/>
    <w:rsid w:val="5A2A2F10"/>
    <w:rsid w:val="5A2A3221"/>
    <w:rsid w:val="5A35356B"/>
    <w:rsid w:val="5A37B93D"/>
    <w:rsid w:val="5A3AE0AA"/>
    <w:rsid w:val="5A4701E2"/>
    <w:rsid w:val="5A4EFD43"/>
    <w:rsid w:val="5A53B74A"/>
    <w:rsid w:val="5A54D34D"/>
    <w:rsid w:val="5A54E028"/>
    <w:rsid w:val="5A603163"/>
    <w:rsid w:val="5A6204F0"/>
    <w:rsid w:val="5A66718E"/>
    <w:rsid w:val="5A6CDBA2"/>
    <w:rsid w:val="5A72B3B2"/>
    <w:rsid w:val="5A785997"/>
    <w:rsid w:val="5A795E9F"/>
    <w:rsid w:val="5A7BFFDA"/>
    <w:rsid w:val="5A7CEA4D"/>
    <w:rsid w:val="5A80B3F5"/>
    <w:rsid w:val="5A81EB31"/>
    <w:rsid w:val="5A82ACB6"/>
    <w:rsid w:val="5A832CCE"/>
    <w:rsid w:val="5A86AA6F"/>
    <w:rsid w:val="5A86BA78"/>
    <w:rsid w:val="5A902AC0"/>
    <w:rsid w:val="5A905F24"/>
    <w:rsid w:val="5A926493"/>
    <w:rsid w:val="5A935F82"/>
    <w:rsid w:val="5A9719B0"/>
    <w:rsid w:val="5A97A9D5"/>
    <w:rsid w:val="5A9D14FD"/>
    <w:rsid w:val="5AA08C0A"/>
    <w:rsid w:val="5AA18802"/>
    <w:rsid w:val="5AA37AB8"/>
    <w:rsid w:val="5AA82841"/>
    <w:rsid w:val="5AAC66E7"/>
    <w:rsid w:val="5AAFB722"/>
    <w:rsid w:val="5AC3659C"/>
    <w:rsid w:val="5AC49C36"/>
    <w:rsid w:val="5AD2F1AF"/>
    <w:rsid w:val="5AD3714B"/>
    <w:rsid w:val="5AD6FC24"/>
    <w:rsid w:val="5ADA512E"/>
    <w:rsid w:val="5AE10072"/>
    <w:rsid w:val="5AEE1184"/>
    <w:rsid w:val="5AEF64D5"/>
    <w:rsid w:val="5AEF847C"/>
    <w:rsid w:val="5AFAAFF8"/>
    <w:rsid w:val="5B072D96"/>
    <w:rsid w:val="5B07EF9B"/>
    <w:rsid w:val="5B19D8BA"/>
    <w:rsid w:val="5B1D5A50"/>
    <w:rsid w:val="5B1F83F0"/>
    <w:rsid w:val="5B225E40"/>
    <w:rsid w:val="5B23683F"/>
    <w:rsid w:val="5B26CC30"/>
    <w:rsid w:val="5B29846D"/>
    <w:rsid w:val="5B2AC40B"/>
    <w:rsid w:val="5B2B95E4"/>
    <w:rsid w:val="5B2CAD1A"/>
    <w:rsid w:val="5B2E64CF"/>
    <w:rsid w:val="5B310500"/>
    <w:rsid w:val="5B385C53"/>
    <w:rsid w:val="5B3A70ED"/>
    <w:rsid w:val="5B3DF52C"/>
    <w:rsid w:val="5B3E0202"/>
    <w:rsid w:val="5B3E3474"/>
    <w:rsid w:val="5B3F5F33"/>
    <w:rsid w:val="5B42FA9B"/>
    <w:rsid w:val="5B463A2A"/>
    <w:rsid w:val="5B4D1393"/>
    <w:rsid w:val="5B50F321"/>
    <w:rsid w:val="5B523286"/>
    <w:rsid w:val="5B530D4E"/>
    <w:rsid w:val="5B604498"/>
    <w:rsid w:val="5B67ACCB"/>
    <w:rsid w:val="5B6E797F"/>
    <w:rsid w:val="5B7AC510"/>
    <w:rsid w:val="5B7CA13E"/>
    <w:rsid w:val="5B7DDF3A"/>
    <w:rsid w:val="5B83A229"/>
    <w:rsid w:val="5B9095AD"/>
    <w:rsid w:val="5B96BB01"/>
    <w:rsid w:val="5B9A3A52"/>
    <w:rsid w:val="5B9FB2F1"/>
    <w:rsid w:val="5BA17A2C"/>
    <w:rsid w:val="5BA77394"/>
    <w:rsid w:val="5BB0C6A8"/>
    <w:rsid w:val="5BB11778"/>
    <w:rsid w:val="5BC1AE75"/>
    <w:rsid w:val="5BCB8269"/>
    <w:rsid w:val="5BCD328F"/>
    <w:rsid w:val="5BCE17CD"/>
    <w:rsid w:val="5BD53ADD"/>
    <w:rsid w:val="5BD5DF7B"/>
    <w:rsid w:val="5BE097E0"/>
    <w:rsid w:val="5BE6110B"/>
    <w:rsid w:val="5BE85F19"/>
    <w:rsid w:val="5BEE31F0"/>
    <w:rsid w:val="5BEFE403"/>
    <w:rsid w:val="5BF24A15"/>
    <w:rsid w:val="5BFF21CA"/>
    <w:rsid w:val="5C04DD93"/>
    <w:rsid w:val="5C061D98"/>
    <w:rsid w:val="5C09F9DF"/>
    <w:rsid w:val="5C0A5B32"/>
    <w:rsid w:val="5C0C48DD"/>
    <w:rsid w:val="5C0FAA53"/>
    <w:rsid w:val="5C1AB0CD"/>
    <w:rsid w:val="5C1BB2BF"/>
    <w:rsid w:val="5C224FDC"/>
    <w:rsid w:val="5C289FEC"/>
    <w:rsid w:val="5C3589F7"/>
    <w:rsid w:val="5C3BEEE1"/>
    <w:rsid w:val="5C411D1D"/>
    <w:rsid w:val="5C439AEE"/>
    <w:rsid w:val="5C44246C"/>
    <w:rsid w:val="5C520C9F"/>
    <w:rsid w:val="5C5A424A"/>
    <w:rsid w:val="5C5B481A"/>
    <w:rsid w:val="5C5E7AE6"/>
    <w:rsid w:val="5C64003E"/>
    <w:rsid w:val="5C660398"/>
    <w:rsid w:val="5C6BA8D3"/>
    <w:rsid w:val="5C70B208"/>
    <w:rsid w:val="5C71054F"/>
    <w:rsid w:val="5C712AB8"/>
    <w:rsid w:val="5C75DBAF"/>
    <w:rsid w:val="5C798CB9"/>
    <w:rsid w:val="5C79FB76"/>
    <w:rsid w:val="5C7C66F7"/>
    <w:rsid w:val="5C7CD7CD"/>
    <w:rsid w:val="5C81D701"/>
    <w:rsid w:val="5C87D74A"/>
    <w:rsid w:val="5C882B8B"/>
    <w:rsid w:val="5C88FE5B"/>
    <w:rsid w:val="5C8B21BC"/>
    <w:rsid w:val="5C8E15E3"/>
    <w:rsid w:val="5C91A0F5"/>
    <w:rsid w:val="5C92626C"/>
    <w:rsid w:val="5C92AE37"/>
    <w:rsid w:val="5C9F7E39"/>
    <w:rsid w:val="5CA348FC"/>
    <w:rsid w:val="5CA389D4"/>
    <w:rsid w:val="5CA7A460"/>
    <w:rsid w:val="5CACA9EA"/>
    <w:rsid w:val="5CB9A852"/>
    <w:rsid w:val="5CC06ADF"/>
    <w:rsid w:val="5CD32BEB"/>
    <w:rsid w:val="5CD49082"/>
    <w:rsid w:val="5CD70D78"/>
    <w:rsid w:val="5CDCFF7D"/>
    <w:rsid w:val="5CE2E0AD"/>
    <w:rsid w:val="5CE4AA6E"/>
    <w:rsid w:val="5CE4D44A"/>
    <w:rsid w:val="5CE892BF"/>
    <w:rsid w:val="5CF8A04A"/>
    <w:rsid w:val="5CF9E7A2"/>
    <w:rsid w:val="5D013B61"/>
    <w:rsid w:val="5D05B863"/>
    <w:rsid w:val="5D062688"/>
    <w:rsid w:val="5D0AAE6A"/>
    <w:rsid w:val="5D144835"/>
    <w:rsid w:val="5D1448B2"/>
    <w:rsid w:val="5D14F161"/>
    <w:rsid w:val="5D16724D"/>
    <w:rsid w:val="5D1B63AA"/>
    <w:rsid w:val="5D2630E7"/>
    <w:rsid w:val="5D28D6C1"/>
    <w:rsid w:val="5D2C56B1"/>
    <w:rsid w:val="5D31AD1A"/>
    <w:rsid w:val="5D32CD43"/>
    <w:rsid w:val="5D382469"/>
    <w:rsid w:val="5D3E1125"/>
    <w:rsid w:val="5D410BC1"/>
    <w:rsid w:val="5D48D9C4"/>
    <w:rsid w:val="5D4921C8"/>
    <w:rsid w:val="5D49AF2E"/>
    <w:rsid w:val="5D4B458A"/>
    <w:rsid w:val="5D4FA2C6"/>
    <w:rsid w:val="5D50543E"/>
    <w:rsid w:val="5D54B44E"/>
    <w:rsid w:val="5D5C28FE"/>
    <w:rsid w:val="5D68280B"/>
    <w:rsid w:val="5D70F4D5"/>
    <w:rsid w:val="5D9C195B"/>
    <w:rsid w:val="5D9D5A39"/>
    <w:rsid w:val="5D9E5CF7"/>
    <w:rsid w:val="5DA81B78"/>
    <w:rsid w:val="5DABA433"/>
    <w:rsid w:val="5DAD7B22"/>
    <w:rsid w:val="5DAD7E2D"/>
    <w:rsid w:val="5DAFC352"/>
    <w:rsid w:val="5DB6A99E"/>
    <w:rsid w:val="5DCBEFE1"/>
    <w:rsid w:val="5DD27ED5"/>
    <w:rsid w:val="5DE46D8F"/>
    <w:rsid w:val="5DE829A0"/>
    <w:rsid w:val="5DE8F00E"/>
    <w:rsid w:val="5DEBE25F"/>
    <w:rsid w:val="5DEC789F"/>
    <w:rsid w:val="5DECC583"/>
    <w:rsid w:val="5E0BF2E7"/>
    <w:rsid w:val="5E0E6203"/>
    <w:rsid w:val="5E0F43D4"/>
    <w:rsid w:val="5E111CE1"/>
    <w:rsid w:val="5E126C49"/>
    <w:rsid w:val="5E132B30"/>
    <w:rsid w:val="5E1A8501"/>
    <w:rsid w:val="5E1C287E"/>
    <w:rsid w:val="5E1D851F"/>
    <w:rsid w:val="5E223BF1"/>
    <w:rsid w:val="5E228863"/>
    <w:rsid w:val="5E27C544"/>
    <w:rsid w:val="5E3B1949"/>
    <w:rsid w:val="5E3E94AD"/>
    <w:rsid w:val="5E443C27"/>
    <w:rsid w:val="5E4A12B5"/>
    <w:rsid w:val="5E539C81"/>
    <w:rsid w:val="5E54D0FF"/>
    <w:rsid w:val="5E55EE9A"/>
    <w:rsid w:val="5E575B32"/>
    <w:rsid w:val="5E5B18C2"/>
    <w:rsid w:val="5E5BF6F8"/>
    <w:rsid w:val="5E5C2CB2"/>
    <w:rsid w:val="5E6513F9"/>
    <w:rsid w:val="5E68F9EB"/>
    <w:rsid w:val="5E6DDCFD"/>
    <w:rsid w:val="5E739A51"/>
    <w:rsid w:val="5E7A8081"/>
    <w:rsid w:val="5E7D8882"/>
    <w:rsid w:val="5E8067BC"/>
    <w:rsid w:val="5E8AF6C5"/>
    <w:rsid w:val="5E8CCF38"/>
    <w:rsid w:val="5E917261"/>
    <w:rsid w:val="5E940446"/>
    <w:rsid w:val="5EA1E209"/>
    <w:rsid w:val="5EA71415"/>
    <w:rsid w:val="5EAAF7BA"/>
    <w:rsid w:val="5EAD087D"/>
    <w:rsid w:val="5EAF2BAD"/>
    <w:rsid w:val="5EBAC09D"/>
    <w:rsid w:val="5EC71938"/>
    <w:rsid w:val="5EC87374"/>
    <w:rsid w:val="5EC99017"/>
    <w:rsid w:val="5ECE49E9"/>
    <w:rsid w:val="5ED3E517"/>
    <w:rsid w:val="5EDA5F81"/>
    <w:rsid w:val="5EDE2B15"/>
    <w:rsid w:val="5EE1AA88"/>
    <w:rsid w:val="5EFCE5D2"/>
    <w:rsid w:val="5F02D465"/>
    <w:rsid w:val="5F0437EE"/>
    <w:rsid w:val="5F0E6D08"/>
    <w:rsid w:val="5F15ABDE"/>
    <w:rsid w:val="5F1AA5D0"/>
    <w:rsid w:val="5F1CB660"/>
    <w:rsid w:val="5F202450"/>
    <w:rsid w:val="5F222D10"/>
    <w:rsid w:val="5F2AE345"/>
    <w:rsid w:val="5F332739"/>
    <w:rsid w:val="5F3C0FFC"/>
    <w:rsid w:val="5F3C658C"/>
    <w:rsid w:val="5F3FE180"/>
    <w:rsid w:val="5F44656C"/>
    <w:rsid w:val="5F46EA66"/>
    <w:rsid w:val="5F4CF402"/>
    <w:rsid w:val="5F55EB0E"/>
    <w:rsid w:val="5F5BAFE9"/>
    <w:rsid w:val="5F5F9744"/>
    <w:rsid w:val="5F610C61"/>
    <w:rsid w:val="5F6394B1"/>
    <w:rsid w:val="5F67ADA7"/>
    <w:rsid w:val="5F6C2416"/>
    <w:rsid w:val="5F7028DF"/>
    <w:rsid w:val="5F705AD6"/>
    <w:rsid w:val="5F74C702"/>
    <w:rsid w:val="5F77F89D"/>
    <w:rsid w:val="5F78CD80"/>
    <w:rsid w:val="5F7E3619"/>
    <w:rsid w:val="5F84A9BE"/>
    <w:rsid w:val="5F8864E8"/>
    <w:rsid w:val="5F92F389"/>
    <w:rsid w:val="5F94DEC3"/>
    <w:rsid w:val="5F98316A"/>
    <w:rsid w:val="5F98887D"/>
    <w:rsid w:val="5F9B1318"/>
    <w:rsid w:val="5F9CA244"/>
    <w:rsid w:val="5F9ED0DE"/>
    <w:rsid w:val="5F9F8610"/>
    <w:rsid w:val="5F9FDFCA"/>
    <w:rsid w:val="5FA03CA3"/>
    <w:rsid w:val="5FA1BD9B"/>
    <w:rsid w:val="5FA6FA12"/>
    <w:rsid w:val="5FA7D767"/>
    <w:rsid w:val="5FB0792A"/>
    <w:rsid w:val="5FB225D1"/>
    <w:rsid w:val="5FB5CD9A"/>
    <w:rsid w:val="5FB7826D"/>
    <w:rsid w:val="5FBA98ED"/>
    <w:rsid w:val="5FCCE769"/>
    <w:rsid w:val="5FDA1DD4"/>
    <w:rsid w:val="5FDCB9EB"/>
    <w:rsid w:val="5FDE0073"/>
    <w:rsid w:val="5FE3F46D"/>
    <w:rsid w:val="5FE9D397"/>
    <w:rsid w:val="5FEAF56C"/>
    <w:rsid w:val="5FEEADF2"/>
    <w:rsid w:val="5FF64E58"/>
    <w:rsid w:val="60009FD1"/>
    <w:rsid w:val="6001F95C"/>
    <w:rsid w:val="6004CBC7"/>
    <w:rsid w:val="6007B49C"/>
    <w:rsid w:val="600A8AE4"/>
    <w:rsid w:val="600B057B"/>
    <w:rsid w:val="60113196"/>
    <w:rsid w:val="6016D7CD"/>
    <w:rsid w:val="60194BEF"/>
    <w:rsid w:val="601B8F32"/>
    <w:rsid w:val="601E42A6"/>
    <w:rsid w:val="602AE749"/>
    <w:rsid w:val="602BECC0"/>
    <w:rsid w:val="6031B587"/>
    <w:rsid w:val="6038A7B8"/>
    <w:rsid w:val="603B31C8"/>
    <w:rsid w:val="603BC4F4"/>
    <w:rsid w:val="60440168"/>
    <w:rsid w:val="60481E3E"/>
    <w:rsid w:val="60482476"/>
    <w:rsid w:val="6053EF0D"/>
    <w:rsid w:val="60554D9F"/>
    <w:rsid w:val="6055E549"/>
    <w:rsid w:val="6056EE4A"/>
    <w:rsid w:val="605DEA32"/>
    <w:rsid w:val="605E37CC"/>
    <w:rsid w:val="60716780"/>
    <w:rsid w:val="6074A042"/>
    <w:rsid w:val="607720C8"/>
    <w:rsid w:val="607A7028"/>
    <w:rsid w:val="6086A325"/>
    <w:rsid w:val="6088F826"/>
    <w:rsid w:val="608E0855"/>
    <w:rsid w:val="60945790"/>
    <w:rsid w:val="6094C038"/>
    <w:rsid w:val="60969B4B"/>
    <w:rsid w:val="60AE81EA"/>
    <w:rsid w:val="60B1F0A3"/>
    <w:rsid w:val="60B3FF53"/>
    <w:rsid w:val="60B849BB"/>
    <w:rsid w:val="60C5C530"/>
    <w:rsid w:val="60CD17B1"/>
    <w:rsid w:val="60CE330E"/>
    <w:rsid w:val="60D0762E"/>
    <w:rsid w:val="60D3F398"/>
    <w:rsid w:val="60D5CB45"/>
    <w:rsid w:val="60D9BE1C"/>
    <w:rsid w:val="60DF2E60"/>
    <w:rsid w:val="60E5C184"/>
    <w:rsid w:val="60F22397"/>
    <w:rsid w:val="60F64886"/>
    <w:rsid w:val="60FBEC27"/>
    <w:rsid w:val="60FC76B9"/>
    <w:rsid w:val="60FDA63C"/>
    <w:rsid w:val="610587B9"/>
    <w:rsid w:val="61066FE7"/>
    <w:rsid w:val="610F2016"/>
    <w:rsid w:val="61109070"/>
    <w:rsid w:val="61125E4B"/>
    <w:rsid w:val="61199671"/>
    <w:rsid w:val="611AF00D"/>
    <w:rsid w:val="6121805B"/>
    <w:rsid w:val="6121C6E0"/>
    <w:rsid w:val="61230213"/>
    <w:rsid w:val="612602FF"/>
    <w:rsid w:val="6129A31C"/>
    <w:rsid w:val="612A0B0F"/>
    <w:rsid w:val="612FC6CD"/>
    <w:rsid w:val="614DF54C"/>
    <w:rsid w:val="615C46B5"/>
    <w:rsid w:val="615E5B00"/>
    <w:rsid w:val="615ED053"/>
    <w:rsid w:val="615FBDC0"/>
    <w:rsid w:val="6161FC7C"/>
    <w:rsid w:val="61627326"/>
    <w:rsid w:val="616CBF4F"/>
    <w:rsid w:val="6176B5C3"/>
    <w:rsid w:val="617E4F28"/>
    <w:rsid w:val="617E9588"/>
    <w:rsid w:val="617F6816"/>
    <w:rsid w:val="61806FAF"/>
    <w:rsid w:val="61886756"/>
    <w:rsid w:val="618C86C1"/>
    <w:rsid w:val="618DE591"/>
    <w:rsid w:val="618F7747"/>
    <w:rsid w:val="61987D58"/>
    <w:rsid w:val="619A064F"/>
    <w:rsid w:val="619DD51C"/>
    <w:rsid w:val="619ED838"/>
    <w:rsid w:val="61ABD75E"/>
    <w:rsid w:val="61BB01A2"/>
    <w:rsid w:val="61BC98A1"/>
    <w:rsid w:val="61C2778F"/>
    <w:rsid w:val="61C38715"/>
    <w:rsid w:val="61CD247B"/>
    <w:rsid w:val="61D53244"/>
    <w:rsid w:val="61DD15D2"/>
    <w:rsid w:val="61DF4ED9"/>
    <w:rsid w:val="61E3B2F0"/>
    <w:rsid w:val="61E76FF5"/>
    <w:rsid w:val="61E7B876"/>
    <w:rsid w:val="61E8F385"/>
    <w:rsid w:val="61F2F2E5"/>
    <w:rsid w:val="61F63223"/>
    <w:rsid w:val="61F715C1"/>
    <w:rsid w:val="62117994"/>
    <w:rsid w:val="621223C6"/>
    <w:rsid w:val="6214D8D7"/>
    <w:rsid w:val="6216F981"/>
    <w:rsid w:val="621AF617"/>
    <w:rsid w:val="621C5C41"/>
    <w:rsid w:val="621C6648"/>
    <w:rsid w:val="6225542D"/>
    <w:rsid w:val="6228A03B"/>
    <w:rsid w:val="622BEDE1"/>
    <w:rsid w:val="6231BC08"/>
    <w:rsid w:val="62339C0A"/>
    <w:rsid w:val="6244AC4E"/>
    <w:rsid w:val="6247741B"/>
    <w:rsid w:val="624D47EC"/>
    <w:rsid w:val="624E4531"/>
    <w:rsid w:val="624F151F"/>
    <w:rsid w:val="6255F09A"/>
    <w:rsid w:val="626316A1"/>
    <w:rsid w:val="62641CD5"/>
    <w:rsid w:val="626442BE"/>
    <w:rsid w:val="626CDB67"/>
    <w:rsid w:val="626D2E69"/>
    <w:rsid w:val="6270B568"/>
    <w:rsid w:val="6280648B"/>
    <w:rsid w:val="62813F06"/>
    <w:rsid w:val="62867B69"/>
    <w:rsid w:val="6297508E"/>
    <w:rsid w:val="62976660"/>
    <w:rsid w:val="62988611"/>
    <w:rsid w:val="629B1E22"/>
    <w:rsid w:val="62AB95DD"/>
    <w:rsid w:val="62CBC426"/>
    <w:rsid w:val="62CC83B3"/>
    <w:rsid w:val="62D3F6CE"/>
    <w:rsid w:val="62D75841"/>
    <w:rsid w:val="62D83016"/>
    <w:rsid w:val="62DE09EE"/>
    <w:rsid w:val="62DEBA6D"/>
    <w:rsid w:val="62E28D4D"/>
    <w:rsid w:val="62E47DDB"/>
    <w:rsid w:val="62E6A599"/>
    <w:rsid w:val="62EC0823"/>
    <w:rsid w:val="62F1C8B6"/>
    <w:rsid w:val="62F2F50A"/>
    <w:rsid w:val="62FDD9CF"/>
    <w:rsid w:val="6301484B"/>
    <w:rsid w:val="63039F01"/>
    <w:rsid w:val="6310E2E4"/>
    <w:rsid w:val="631DF189"/>
    <w:rsid w:val="63257A05"/>
    <w:rsid w:val="6335462B"/>
    <w:rsid w:val="63389798"/>
    <w:rsid w:val="633BCE15"/>
    <w:rsid w:val="634EAC2F"/>
    <w:rsid w:val="635C9AF8"/>
    <w:rsid w:val="6364E9C9"/>
    <w:rsid w:val="63664D05"/>
    <w:rsid w:val="636A31E1"/>
    <w:rsid w:val="6371C21C"/>
    <w:rsid w:val="63750F83"/>
    <w:rsid w:val="63754AC5"/>
    <w:rsid w:val="63773539"/>
    <w:rsid w:val="63781B28"/>
    <w:rsid w:val="637C407A"/>
    <w:rsid w:val="63819E5C"/>
    <w:rsid w:val="63836FC9"/>
    <w:rsid w:val="63873823"/>
    <w:rsid w:val="6387F6AE"/>
    <w:rsid w:val="63894B80"/>
    <w:rsid w:val="638F5691"/>
    <w:rsid w:val="638FB1F0"/>
    <w:rsid w:val="6392ACBA"/>
    <w:rsid w:val="6397561C"/>
    <w:rsid w:val="639EBCE5"/>
    <w:rsid w:val="63AD3430"/>
    <w:rsid w:val="63AE03F2"/>
    <w:rsid w:val="63B49272"/>
    <w:rsid w:val="63B94CD4"/>
    <w:rsid w:val="63B9FDBB"/>
    <w:rsid w:val="63C51ACD"/>
    <w:rsid w:val="63CB6243"/>
    <w:rsid w:val="63D8F55B"/>
    <w:rsid w:val="63D8F623"/>
    <w:rsid w:val="63DCE5C1"/>
    <w:rsid w:val="63DDD130"/>
    <w:rsid w:val="63DF64CC"/>
    <w:rsid w:val="63E0E1E7"/>
    <w:rsid w:val="63E228FA"/>
    <w:rsid w:val="63F3DCCB"/>
    <w:rsid w:val="63FA370F"/>
    <w:rsid w:val="6403861E"/>
    <w:rsid w:val="64080D3D"/>
    <w:rsid w:val="641656F6"/>
    <w:rsid w:val="6416B7A0"/>
    <w:rsid w:val="6422733F"/>
    <w:rsid w:val="642B3DE4"/>
    <w:rsid w:val="642D8C0E"/>
    <w:rsid w:val="6435C267"/>
    <w:rsid w:val="643D72F5"/>
    <w:rsid w:val="6446C370"/>
    <w:rsid w:val="644CEBAA"/>
    <w:rsid w:val="64534F6D"/>
    <w:rsid w:val="6456EB81"/>
    <w:rsid w:val="6457290C"/>
    <w:rsid w:val="645F0BAC"/>
    <w:rsid w:val="64613A67"/>
    <w:rsid w:val="646180B1"/>
    <w:rsid w:val="64658A5F"/>
    <w:rsid w:val="6465C7F1"/>
    <w:rsid w:val="6465D343"/>
    <w:rsid w:val="6468749D"/>
    <w:rsid w:val="64753967"/>
    <w:rsid w:val="6475F72B"/>
    <w:rsid w:val="64765D99"/>
    <w:rsid w:val="647888C7"/>
    <w:rsid w:val="647C1520"/>
    <w:rsid w:val="6486B4FC"/>
    <w:rsid w:val="648F899C"/>
    <w:rsid w:val="64953C0C"/>
    <w:rsid w:val="649DCA1C"/>
    <w:rsid w:val="64A160A1"/>
    <w:rsid w:val="64A3890F"/>
    <w:rsid w:val="64A45B41"/>
    <w:rsid w:val="64AE96BB"/>
    <w:rsid w:val="64B31A6B"/>
    <w:rsid w:val="64B5D1EA"/>
    <w:rsid w:val="64BE8842"/>
    <w:rsid w:val="64C1CA39"/>
    <w:rsid w:val="64C2EE6B"/>
    <w:rsid w:val="64C76269"/>
    <w:rsid w:val="64D16F08"/>
    <w:rsid w:val="64D1A572"/>
    <w:rsid w:val="64DB334C"/>
    <w:rsid w:val="64E50F14"/>
    <w:rsid w:val="64E61989"/>
    <w:rsid w:val="64E82E9D"/>
    <w:rsid w:val="64E84897"/>
    <w:rsid w:val="64EDD35B"/>
    <w:rsid w:val="64F50845"/>
    <w:rsid w:val="64F748C8"/>
    <w:rsid w:val="64FD8AA2"/>
    <w:rsid w:val="65015E45"/>
    <w:rsid w:val="65079075"/>
    <w:rsid w:val="6509D0C7"/>
    <w:rsid w:val="6509FC1C"/>
    <w:rsid w:val="650CC184"/>
    <w:rsid w:val="650E8E6F"/>
    <w:rsid w:val="6519F247"/>
    <w:rsid w:val="651A9ABC"/>
    <w:rsid w:val="651C6252"/>
    <w:rsid w:val="6530B0EF"/>
    <w:rsid w:val="6539E459"/>
    <w:rsid w:val="654023FB"/>
    <w:rsid w:val="6548C72B"/>
    <w:rsid w:val="654DA4C3"/>
    <w:rsid w:val="6553C4A3"/>
    <w:rsid w:val="6553C5E8"/>
    <w:rsid w:val="6554E5DB"/>
    <w:rsid w:val="65582CEA"/>
    <w:rsid w:val="65645BC3"/>
    <w:rsid w:val="6564622B"/>
    <w:rsid w:val="65650459"/>
    <w:rsid w:val="656BA3FE"/>
    <w:rsid w:val="656E1B71"/>
    <w:rsid w:val="6578DF1B"/>
    <w:rsid w:val="657B357A"/>
    <w:rsid w:val="657D6881"/>
    <w:rsid w:val="6586650A"/>
    <w:rsid w:val="658F77CB"/>
    <w:rsid w:val="65A9FC81"/>
    <w:rsid w:val="65AA9F4F"/>
    <w:rsid w:val="65AF8B4C"/>
    <w:rsid w:val="65AFFC1B"/>
    <w:rsid w:val="65B3F1B3"/>
    <w:rsid w:val="65B8F3A8"/>
    <w:rsid w:val="65BB08A7"/>
    <w:rsid w:val="65BD2C85"/>
    <w:rsid w:val="65BE2CFB"/>
    <w:rsid w:val="65C181F1"/>
    <w:rsid w:val="65CD4AE3"/>
    <w:rsid w:val="65D020AC"/>
    <w:rsid w:val="65D13C59"/>
    <w:rsid w:val="65EBB946"/>
    <w:rsid w:val="65ED4667"/>
    <w:rsid w:val="65F0504B"/>
    <w:rsid w:val="65F19C95"/>
    <w:rsid w:val="6600538A"/>
    <w:rsid w:val="660C698A"/>
    <w:rsid w:val="660DAD95"/>
    <w:rsid w:val="660F9295"/>
    <w:rsid w:val="6615C842"/>
    <w:rsid w:val="66216BEA"/>
    <w:rsid w:val="66293373"/>
    <w:rsid w:val="6629E85F"/>
    <w:rsid w:val="663121DA"/>
    <w:rsid w:val="663186B0"/>
    <w:rsid w:val="66397263"/>
    <w:rsid w:val="663AD961"/>
    <w:rsid w:val="663C0CBD"/>
    <w:rsid w:val="66423C20"/>
    <w:rsid w:val="664EE408"/>
    <w:rsid w:val="6650E7C6"/>
    <w:rsid w:val="66539CFC"/>
    <w:rsid w:val="66617D4C"/>
    <w:rsid w:val="666DDF07"/>
    <w:rsid w:val="667CACF1"/>
    <w:rsid w:val="66801314"/>
    <w:rsid w:val="668720D6"/>
    <w:rsid w:val="668C7DD0"/>
    <w:rsid w:val="66945185"/>
    <w:rsid w:val="66A1A74B"/>
    <w:rsid w:val="66BC0E5A"/>
    <w:rsid w:val="66CA134D"/>
    <w:rsid w:val="66CACF57"/>
    <w:rsid w:val="66CBAC83"/>
    <w:rsid w:val="66CC0C30"/>
    <w:rsid w:val="66D30809"/>
    <w:rsid w:val="66D5DBFE"/>
    <w:rsid w:val="66EB21B9"/>
    <w:rsid w:val="66EB8836"/>
    <w:rsid w:val="66F1C616"/>
    <w:rsid w:val="66F5C9B7"/>
    <w:rsid w:val="66FDFEB6"/>
    <w:rsid w:val="6705B1CC"/>
    <w:rsid w:val="670BA0C0"/>
    <w:rsid w:val="67108D1D"/>
    <w:rsid w:val="671A910D"/>
    <w:rsid w:val="671D98A0"/>
    <w:rsid w:val="6721D68C"/>
    <w:rsid w:val="672831B7"/>
    <w:rsid w:val="673675A5"/>
    <w:rsid w:val="673BB9F0"/>
    <w:rsid w:val="673C7261"/>
    <w:rsid w:val="673E34B8"/>
    <w:rsid w:val="673FBA2E"/>
    <w:rsid w:val="6742031F"/>
    <w:rsid w:val="6746C272"/>
    <w:rsid w:val="67474218"/>
    <w:rsid w:val="674743A5"/>
    <w:rsid w:val="674AE33E"/>
    <w:rsid w:val="674C4CBE"/>
    <w:rsid w:val="67573256"/>
    <w:rsid w:val="67577EE3"/>
    <w:rsid w:val="675BEC1A"/>
    <w:rsid w:val="676484B3"/>
    <w:rsid w:val="6764BE4E"/>
    <w:rsid w:val="6764D786"/>
    <w:rsid w:val="676792ED"/>
    <w:rsid w:val="677CF87F"/>
    <w:rsid w:val="677D1CEF"/>
    <w:rsid w:val="677E714A"/>
    <w:rsid w:val="678610BE"/>
    <w:rsid w:val="6788A664"/>
    <w:rsid w:val="678B6379"/>
    <w:rsid w:val="67926DCA"/>
    <w:rsid w:val="6794859E"/>
    <w:rsid w:val="67963F04"/>
    <w:rsid w:val="679BD7A8"/>
    <w:rsid w:val="679BF3AD"/>
    <w:rsid w:val="67A424ED"/>
    <w:rsid w:val="67A68841"/>
    <w:rsid w:val="67A6B208"/>
    <w:rsid w:val="67A733C3"/>
    <w:rsid w:val="67A7FD4A"/>
    <w:rsid w:val="67B1E880"/>
    <w:rsid w:val="67B240D7"/>
    <w:rsid w:val="67BB72AD"/>
    <w:rsid w:val="67D0C204"/>
    <w:rsid w:val="67D42F7D"/>
    <w:rsid w:val="67D894A4"/>
    <w:rsid w:val="67DAC0A3"/>
    <w:rsid w:val="67E49D6D"/>
    <w:rsid w:val="67E5EBF4"/>
    <w:rsid w:val="67E72AA2"/>
    <w:rsid w:val="67E76922"/>
    <w:rsid w:val="67E98D6B"/>
    <w:rsid w:val="67EE6C06"/>
    <w:rsid w:val="67F525DA"/>
    <w:rsid w:val="67F5590B"/>
    <w:rsid w:val="67FB3B19"/>
    <w:rsid w:val="680293EF"/>
    <w:rsid w:val="6803B015"/>
    <w:rsid w:val="68084A78"/>
    <w:rsid w:val="680A9E59"/>
    <w:rsid w:val="680CE963"/>
    <w:rsid w:val="6811E5F9"/>
    <w:rsid w:val="6814BD07"/>
    <w:rsid w:val="681A55A8"/>
    <w:rsid w:val="681B13D7"/>
    <w:rsid w:val="68242F62"/>
    <w:rsid w:val="682C7326"/>
    <w:rsid w:val="682E2AA4"/>
    <w:rsid w:val="682F1D43"/>
    <w:rsid w:val="68330874"/>
    <w:rsid w:val="68382340"/>
    <w:rsid w:val="6838BB77"/>
    <w:rsid w:val="68403433"/>
    <w:rsid w:val="68423FC5"/>
    <w:rsid w:val="6843CC3C"/>
    <w:rsid w:val="6849AB9C"/>
    <w:rsid w:val="684D244D"/>
    <w:rsid w:val="684F6F0A"/>
    <w:rsid w:val="68544F33"/>
    <w:rsid w:val="685485F2"/>
    <w:rsid w:val="685884BD"/>
    <w:rsid w:val="685A48A3"/>
    <w:rsid w:val="685FD3DC"/>
    <w:rsid w:val="68640F42"/>
    <w:rsid w:val="6878D9E8"/>
    <w:rsid w:val="687CEDD6"/>
    <w:rsid w:val="687D219E"/>
    <w:rsid w:val="687D40B4"/>
    <w:rsid w:val="688F83CB"/>
    <w:rsid w:val="689BC7B5"/>
    <w:rsid w:val="689D7FD1"/>
    <w:rsid w:val="68A0C9F9"/>
    <w:rsid w:val="68A839E9"/>
    <w:rsid w:val="68ACF475"/>
    <w:rsid w:val="68ADC61E"/>
    <w:rsid w:val="68B9ACB6"/>
    <w:rsid w:val="68BA04B7"/>
    <w:rsid w:val="68BFCBB0"/>
    <w:rsid w:val="68BFFEEC"/>
    <w:rsid w:val="68C1AF17"/>
    <w:rsid w:val="68C7A530"/>
    <w:rsid w:val="68CB4E04"/>
    <w:rsid w:val="68D44D7E"/>
    <w:rsid w:val="68E35E49"/>
    <w:rsid w:val="68E65BA4"/>
    <w:rsid w:val="68ED0A1F"/>
    <w:rsid w:val="68F2B9DB"/>
    <w:rsid w:val="68F91DC1"/>
    <w:rsid w:val="690437ED"/>
    <w:rsid w:val="6904599E"/>
    <w:rsid w:val="690A9DC6"/>
    <w:rsid w:val="69106DBC"/>
    <w:rsid w:val="6912A3F2"/>
    <w:rsid w:val="69162272"/>
    <w:rsid w:val="691798C5"/>
    <w:rsid w:val="6917FB24"/>
    <w:rsid w:val="691E7696"/>
    <w:rsid w:val="6920D304"/>
    <w:rsid w:val="69307DBA"/>
    <w:rsid w:val="693618B2"/>
    <w:rsid w:val="69380810"/>
    <w:rsid w:val="693EC8A6"/>
    <w:rsid w:val="6943A8F8"/>
    <w:rsid w:val="69448155"/>
    <w:rsid w:val="694602D7"/>
    <w:rsid w:val="6949AF89"/>
    <w:rsid w:val="6949E56F"/>
    <w:rsid w:val="694E2C57"/>
    <w:rsid w:val="6968C15D"/>
    <w:rsid w:val="696EB663"/>
    <w:rsid w:val="6975364B"/>
    <w:rsid w:val="6976143A"/>
    <w:rsid w:val="69773C7D"/>
    <w:rsid w:val="6979AB0B"/>
    <w:rsid w:val="698A249B"/>
    <w:rsid w:val="69900B36"/>
    <w:rsid w:val="6990596D"/>
    <w:rsid w:val="6998F6F7"/>
    <w:rsid w:val="699A9632"/>
    <w:rsid w:val="69A0E0C3"/>
    <w:rsid w:val="69A4E752"/>
    <w:rsid w:val="69A8CA6E"/>
    <w:rsid w:val="69B40ACC"/>
    <w:rsid w:val="69B5B3FD"/>
    <w:rsid w:val="69C3CCEC"/>
    <w:rsid w:val="69CABC0E"/>
    <w:rsid w:val="69CEC2E5"/>
    <w:rsid w:val="69CFCDA9"/>
    <w:rsid w:val="69D0AE61"/>
    <w:rsid w:val="69D36EED"/>
    <w:rsid w:val="69D962EB"/>
    <w:rsid w:val="69E7B305"/>
    <w:rsid w:val="69ECF085"/>
    <w:rsid w:val="69F185EE"/>
    <w:rsid w:val="6A03E312"/>
    <w:rsid w:val="6A050285"/>
    <w:rsid w:val="6A0D0385"/>
    <w:rsid w:val="6A0FF448"/>
    <w:rsid w:val="6A101E78"/>
    <w:rsid w:val="6A141F45"/>
    <w:rsid w:val="6A14298D"/>
    <w:rsid w:val="6A144860"/>
    <w:rsid w:val="6A155C7E"/>
    <w:rsid w:val="6A16DCE0"/>
    <w:rsid w:val="6A1DD367"/>
    <w:rsid w:val="6A1F7A59"/>
    <w:rsid w:val="6A22EF44"/>
    <w:rsid w:val="6A2621F3"/>
    <w:rsid w:val="6A26E731"/>
    <w:rsid w:val="6A2CE1A3"/>
    <w:rsid w:val="6A2DD7BD"/>
    <w:rsid w:val="6A318775"/>
    <w:rsid w:val="6A32B33A"/>
    <w:rsid w:val="6A32C535"/>
    <w:rsid w:val="6A35D5DF"/>
    <w:rsid w:val="6A3B0F9E"/>
    <w:rsid w:val="6A4276F1"/>
    <w:rsid w:val="6A501F96"/>
    <w:rsid w:val="6A521FA0"/>
    <w:rsid w:val="6A538128"/>
    <w:rsid w:val="6A5881E9"/>
    <w:rsid w:val="6A5C8360"/>
    <w:rsid w:val="6A5FA3FD"/>
    <w:rsid w:val="6A6DAA27"/>
    <w:rsid w:val="6A7393CF"/>
    <w:rsid w:val="6A760CE5"/>
    <w:rsid w:val="6A77A244"/>
    <w:rsid w:val="6A808FA9"/>
    <w:rsid w:val="6A8E1876"/>
    <w:rsid w:val="6A908547"/>
    <w:rsid w:val="6A914671"/>
    <w:rsid w:val="6A9332E5"/>
    <w:rsid w:val="6A938070"/>
    <w:rsid w:val="6A94ACB0"/>
    <w:rsid w:val="6A95059F"/>
    <w:rsid w:val="6A9A6A93"/>
    <w:rsid w:val="6A9EFD78"/>
    <w:rsid w:val="6A9F0022"/>
    <w:rsid w:val="6AA0FBC0"/>
    <w:rsid w:val="6AA2F029"/>
    <w:rsid w:val="6AABCEA8"/>
    <w:rsid w:val="6AB468CF"/>
    <w:rsid w:val="6AB756EC"/>
    <w:rsid w:val="6ABBB479"/>
    <w:rsid w:val="6AD15517"/>
    <w:rsid w:val="6AD7D928"/>
    <w:rsid w:val="6AD94D85"/>
    <w:rsid w:val="6ADC6625"/>
    <w:rsid w:val="6ADD2E84"/>
    <w:rsid w:val="6AE12F53"/>
    <w:rsid w:val="6AE44C3C"/>
    <w:rsid w:val="6AEDFEFF"/>
    <w:rsid w:val="6AEFBF8A"/>
    <w:rsid w:val="6AF0BC40"/>
    <w:rsid w:val="6AF69BF9"/>
    <w:rsid w:val="6AF84070"/>
    <w:rsid w:val="6AFCC1B0"/>
    <w:rsid w:val="6AFE6537"/>
    <w:rsid w:val="6B079FAD"/>
    <w:rsid w:val="6B0872AA"/>
    <w:rsid w:val="6B0A200C"/>
    <w:rsid w:val="6B0A270A"/>
    <w:rsid w:val="6B0B06B7"/>
    <w:rsid w:val="6B21B082"/>
    <w:rsid w:val="6B2786D8"/>
    <w:rsid w:val="6B279749"/>
    <w:rsid w:val="6B2E5E90"/>
    <w:rsid w:val="6B2F0C60"/>
    <w:rsid w:val="6B36C9F0"/>
    <w:rsid w:val="6B3A6EA7"/>
    <w:rsid w:val="6B3E05CA"/>
    <w:rsid w:val="6B40F82C"/>
    <w:rsid w:val="6B4C7ED1"/>
    <w:rsid w:val="6B517A8E"/>
    <w:rsid w:val="6B53A250"/>
    <w:rsid w:val="6B5922CE"/>
    <w:rsid w:val="6B6AA27D"/>
    <w:rsid w:val="6B6CAEC8"/>
    <w:rsid w:val="6B6CBCFC"/>
    <w:rsid w:val="6B74BB58"/>
    <w:rsid w:val="6B7508DB"/>
    <w:rsid w:val="6B75A0B4"/>
    <w:rsid w:val="6B795174"/>
    <w:rsid w:val="6B8B7FF0"/>
    <w:rsid w:val="6B8FAF81"/>
    <w:rsid w:val="6B935E71"/>
    <w:rsid w:val="6B953501"/>
    <w:rsid w:val="6B96C962"/>
    <w:rsid w:val="6BA28470"/>
    <w:rsid w:val="6BA5B498"/>
    <w:rsid w:val="6BB59D32"/>
    <w:rsid w:val="6BBB325F"/>
    <w:rsid w:val="6BBE59D4"/>
    <w:rsid w:val="6BC00673"/>
    <w:rsid w:val="6BC38139"/>
    <w:rsid w:val="6BC9AB9C"/>
    <w:rsid w:val="6BCD5F64"/>
    <w:rsid w:val="6BD2756E"/>
    <w:rsid w:val="6BD3DA9B"/>
    <w:rsid w:val="6BD4A0DC"/>
    <w:rsid w:val="6BDCBDC5"/>
    <w:rsid w:val="6BE44AC1"/>
    <w:rsid w:val="6BEDC4C0"/>
    <w:rsid w:val="6BF78916"/>
    <w:rsid w:val="6C04EB2C"/>
    <w:rsid w:val="6C050D07"/>
    <w:rsid w:val="6C077CBE"/>
    <w:rsid w:val="6C098EF8"/>
    <w:rsid w:val="6C107B72"/>
    <w:rsid w:val="6C1308DD"/>
    <w:rsid w:val="6C16901C"/>
    <w:rsid w:val="6C1A6D55"/>
    <w:rsid w:val="6C1E422D"/>
    <w:rsid w:val="6C20C023"/>
    <w:rsid w:val="6C23FFCD"/>
    <w:rsid w:val="6C2497C9"/>
    <w:rsid w:val="6C2D18C1"/>
    <w:rsid w:val="6C32D480"/>
    <w:rsid w:val="6C3F5312"/>
    <w:rsid w:val="6C420C4D"/>
    <w:rsid w:val="6C43EA76"/>
    <w:rsid w:val="6C4F21F0"/>
    <w:rsid w:val="6C53D320"/>
    <w:rsid w:val="6C5D40CE"/>
    <w:rsid w:val="6C5FE8E0"/>
    <w:rsid w:val="6C64E064"/>
    <w:rsid w:val="6C66C0AA"/>
    <w:rsid w:val="6C68E0A3"/>
    <w:rsid w:val="6C6C6E91"/>
    <w:rsid w:val="6C6DF73F"/>
    <w:rsid w:val="6C72DE49"/>
    <w:rsid w:val="6C7466BF"/>
    <w:rsid w:val="6C7673FC"/>
    <w:rsid w:val="6C76A7C7"/>
    <w:rsid w:val="6C7996E8"/>
    <w:rsid w:val="6C7C6E4B"/>
    <w:rsid w:val="6C7D4AED"/>
    <w:rsid w:val="6C80F4D6"/>
    <w:rsid w:val="6C81F8B0"/>
    <w:rsid w:val="6C876F90"/>
    <w:rsid w:val="6C9162DB"/>
    <w:rsid w:val="6C9A0D58"/>
    <w:rsid w:val="6C9C1D45"/>
    <w:rsid w:val="6C9CC6E5"/>
    <w:rsid w:val="6C9FA1E4"/>
    <w:rsid w:val="6CA313AA"/>
    <w:rsid w:val="6CA37A65"/>
    <w:rsid w:val="6CA628F8"/>
    <w:rsid w:val="6CA6FA8E"/>
    <w:rsid w:val="6CAB524D"/>
    <w:rsid w:val="6CB56C91"/>
    <w:rsid w:val="6CB84468"/>
    <w:rsid w:val="6CC0C73E"/>
    <w:rsid w:val="6CC1C026"/>
    <w:rsid w:val="6CC23970"/>
    <w:rsid w:val="6CC52461"/>
    <w:rsid w:val="6CCBB279"/>
    <w:rsid w:val="6CCE3140"/>
    <w:rsid w:val="6CD728CB"/>
    <w:rsid w:val="6CD8B890"/>
    <w:rsid w:val="6CDA8EDE"/>
    <w:rsid w:val="6CE42591"/>
    <w:rsid w:val="6CE74CD7"/>
    <w:rsid w:val="6CF77EC0"/>
    <w:rsid w:val="6CFACA97"/>
    <w:rsid w:val="6CFB2FC4"/>
    <w:rsid w:val="6CFDA688"/>
    <w:rsid w:val="6D00B596"/>
    <w:rsid w:val="6D0334E9"/>
    <w:rsid w:val="6D05D5E1"/>
    <w:rsid w:val="6D07A586"/>
    <w:rsid w:val="6D08B8E4"/>
    <w:rsid w:val="6D0C2025"/>
    <w:rsid w:val="6D128986"/>
    <w:rsid w:val="6D12B430"/>
    <w:rsid w:val="6D1B6811"/>
    <w:rsid w:val="6D28CA8F"/>
    <w:rsid w:val="6D28E5D5"/>
    <w:rsid w:val="6D295388"/>
    <w:rsid w:val="6D298B2E"/>
    <w:rsid w:val="6D2B8F49"/>
    <w:rsid w:val="6D2D46AD"/>
    <w:rsid w:val="6D3332AD"/>
    <w:rsid w:val="6D33BDA7"/>
    <w:rsid w:val="6D3CAADC"/>
    <w:rsid w:val="6D41282C"/>
    <w:rsid w:val="6D46624F"/>
    <w:rsid w:val="6D4A2193"/>
    <w:rsid w:val="6D4E3576"/>
    <w:rsid w:val="6D4F211F"/>
    <w:rsid w:val="6D571AA6"/>
    <w:rsid w:val="6D573CA4"/>
    <w:rsid w:val="6D5CE923"/>
    <w:rsid w:val="6D61BF59"/>
    <w:rsid w:val="6D6266AC"/>
    <w:rsid w:val="6D65E09C"/>
    <w:rsid w:val="6D7845EF"/>
    <w:rsid w:val="6D78B5B6"/>
    <w:rsid w:val="6D832056"/>
    <w:rsid w:val="6D8B9ACC"/>
    <w:rsid w:val="6D8F6C24"/>
    <w:rsid w:val="6D90FA0A"/>
    <w:rsid w:val="6D95528E"/>
    <w:rsid w:val="6D9B4E6D"/>
    <w:rsid w:val="6DA2A984"/>
    <w:rsid w:val="6DA2BF65"/>
    <w:rsid w:val="6DAB8352"/>
    <w:rsid w:val="6DAE0457"/>
    <w:rsid w:val="6DAF506D"/>
    <w:rsid w:val="6DB6EC61"/>
    <w:rsid w:val="6DBA3623"/>
    <w:rsid w:val="6DBD63B5"/>
    <w:rsid w:val="6DC055E6"/>
    <w:rsid w:val="6DC9C009"/>
    <w:rsid w:val="6DCA608B"/>
    <w:rsid w:val="6DDD136A"/>
    <w:rsid w:val="6DDF2490"/>
    <w:rsid w:val="6DE0A7E0"/>
    <w:rsid w:val="6DE42E1C"/>
    <w:rsid w:val="6DEB7683"/>
    <w:rsid w:val="6DED5823"/>
    <w:rsid w:val="6DF1103F"/>
    <w:rsid w:val="6DF3E38B"/>
    <w:rsid w:val="6DF5EE36"/>
    <w:rsid w:val="6DF6DC8E"/>
    <w:rsid w:val="6DF83AC4"/>
    <w:rsid w:val="6DFDD11A"/>
    <w:rsid w:val="6E014D7B"/>
    <w:rsid w:val="6E06BB51"/>
    <w:rsid w:val="6E06D3E2"/>
    <w:rsid w:val="6E0FAD6B"/>
    <w:rsid w:val="6E1C8B74"/>
    <w:rsid w:val="6E2239DD"/>
    <w:rsid w:val="6E2440BF"/>
    <w:rsid w:val="6E24C8EC"/>
    <w:rsid w:val="6E2531C0"/>
    <w:rsid w:val="6E27B779"/>
    <w:rsid w:val="6E29320E"/>
    <w:rsid w:val="6E29BAD3"/>
    <w:rsid w:val="6E2AFC70"/>
    <w:rsid w:val="6E2C70D5"/>
    <w:rsid w:val="6E2E42B1"/>
    <w:rsid w:val="6E36CBF4"/>
    <w:rsid w:val="6E45858F"/>
    <w:rsid w:val="6E46FF5F"/>
    <w:rsid w:val="6E551EE4"/>
    <w:rsid w:val="6E5599C0"/>
    <w:rsid w:val="6E55F982"/>
    <w:rsid w:val="6E5A17B4"/>
    <w:rsid w:val="6E5B5B28"/>
    <w:rsid w:val="6E612D24"/>
    <w:rsid w:val="6E64D397"/>
    <w:rsid w:val="6E6CBEA9"/>
    <w:rsid w:val="6E6CED08"/>
    <w:rsid w:val="6E735BA2"/>
    <w:rsid w:val="6E77FABB"/>
    <w:rsid w:val="6E7CA8C7"/>
    <w:rsid w:val="6E8836CC"/>
    <w:rsid w:val="6E8ECAF9"/>
    <w:rsid w:val="6E977885"/>
    <w:rsid w:val="6E995F1F"/>
    <w:rsid w:val="6E9BB278"/>
    <w:rsid w:val="6E9E8398"/>
    <w:rsid w:val="6E9F1D90"/>
    <w:rsid w:val="6EA42E73"/>
    <w:rsid w:val="6EA83738"/>
    <w:rsid w:val="6EB2BFBC"/>
    <w:rsid w:val="6EB5B073"/>
    <w:rsid w:val="6EBA3735"/>
    <w:rsid w:val="6EBAC219"/>
    <w:rsid w:val="6EBCC523"/>
    <w:rsid w:val="6EC06507"/>
    <w:rsid w:val="6ED2C821"/>
    <w:rsid w:val="6EDBBD1C"/>
    <w:rsid w:val="6EDC1B6F"/>
    <w:rsid w:val="6EE1AAE2"/>
    <w:rsid w:val="6EE677F9"/>
    <w:rsid w:val="6EE961E7"/>
    <w:rsid w:val="6EF7FFE7"/>
    <w:rsid w:val="6EF95B37"/>
    <w:rsid w:val="6EFA4CCE"/>
    <w:rsid w:val="6F007CC7"/>
    <w:rsid w:val="6F05331B"/>
    <w:rsid w:val="6F0592EC"/>
    <w:rsid w:val="6F0C2E03"/>
    <w:rsid w:val="6F0C42AD"/>
    <w:rsid w:val="6F16CEA8"/>
    <w:rsid w:val="6F16F690"/>
    <w:rsid w:val="6F3097D0"/>
    <w:rsid w:val="6F3B6D49"/>
    <w:rsid w:val="6F3B75EC"/>
    <w:rsid w:val="6F404E8F"/>
    <w:rsid w:val="6F486FE2"/>
    <w:rsid w:val="6F4EE976"/>
    <w:rsid w:val="6F54A6FF"/>
    <w:rsid w:val="6F582265"/>
    <w:rsid w:val="6F5890B1"/>
    <w:rsid w:val="6F58C0EF"/>
    <w:rsid w:val="6F58FF35"/>
    <w:rsid w:val="6F5A13AA"/>
    <w:rsid w:val="6F5A519E"/>
    <w:rsid w:val="6F61DA37"/>
    <w:rsid w:val="6F62388A"/>
    <w:rsid w:val="6F694DCF"/>
    <w:rsid w:val="6F787883"/>
    <w:rsid w:val="6F806383"/>
    <w:rsid w:val="6F845E59"/>
    <w:rsid w:val="6F8566F6"/>
    <w:rsid w:val="6F86662F"/>
    <w:rsid w:val="6F8AF145"/>
    <w:rsid w:val="6F8F0EF0"/>
    <w:rsid w:val="6F917723"/>
    <w:rsid w:val="6F92762E"/>
    <w:rsid w:val="6F98E4F5"/>
    <w:rsid w:val="6FA43456"/>
    <w:rsid w:val="6FAED4DB"/>
    <w:rsid w:val="6FAFAC8F"/>
    <w:rsid w:val="6FBAC6A8"/>
    <w:rsid w:val="6FC0FAF6"/>
    <w:rsid w:val="6FC11210"/>
    <w:rsid w:val="6FC24153"/>
    <w:rsid w:val="6FC6D9B8"/>
    <w:rsid w:val="6FCE5B26"/>
    <w:rsid w:val="6FDD507F"/>
    <w:rsid w:val="6FDD7251"/>
    <w:rsid w:val="6FE7F627"/>
    <w:rsid w:val="6FF527AB"/>
    <w:rsid w:val="6FF6C10F"/>
    <w:rsid w:val="6FFB282F"/>
    <w:rsid w:val="6FFC4023"/>
    <w:rsid w:val="6FFDB0D6"/>
    <w:rsid w:val="6FFF36DE"/>
    <w:rsid w:val="70003323"/>
    <w:rsid w:val="7000A1C9"/>
    <w:rsid w:val="70074377"/>
    <w:rsid w:val="701002B2"/>
    <w:rsid w:val="7012EB26"/>
    <w:rsid w:val="70159858"/>
    <w:rsid w:val="7026C964"/>
    <w:rsid w:val="70282845"/>
    <w:rsid w:val="702F0D8E"/>
    <w:rsid w:val="70319E43"/>
    <w:rsid w:val="7037271E"/>
    <w:rsid w:val="703879DA"/>
    <w:rsid w:val="703B691F"/>
    <w:rsid w:val="7042A043"/>
    <w:rsid w:val="7043378E"/>
    <w:rsid w:val="7046D7C2"/>
    <w:rsid w:val="704DD7C5"/>
    <w:rsid w:val="70503278"/>
    <w:rsid w:val="7055B98A"/>
    <w:rsid w:val="70609787"/>
    <w:rsid w:val="7067A206"/>
    <w:rsid w:val="706BF057"/>
    <w:rsid w:val="7073581F"/>
    <w:rsid w:val="7073CDF2"/>
    <w:rsid w:val="7076FB48"/>
    <w:rsid w:val="707C616C"/>
    <w:rsid w:val="707D53CF"/>
    <w:rsid w:val="7082E442"/>
    <w:rsid w:val="7086393A"/>
    <w:rsid w:val="70912C80"/>
    <w:rsid w:val="70932584"/>
    <w:rsid w:val="70952850"/>
    <w:rsid w:val="709DF665"/>
    <w:rsid w:val="709FB2BC"/>
    <w:rsid w:val="70B05832"/>
    <w:rsid w:val="70B70FF4"/>
    <w:rsid w:val="70B95499"/>
    <w:rsid w:val="70BC0BA9"/>
    <w:rsid w:val="70C2192A"/>
    <w:rsid w:val="70C24B4F"/>
    <w:rsid w:val="70D00118"/>
    <w:rsid w:val="70D42D0F"/>
    <w:rsid w:val="70D8C998"/>
    <w:rsid w:val="70D93D75"/>
    <w:rsid w:val="70DEFB8C"/>
    <w:rsid w:val="70E66552"/>
    <w:rsid w:val="70E6A98A"/>
    <w:rsid w:val="70F4249B"/>
    <w:rsid w:val="70F5752A"/>
    <w:rsid w:val="7102A407"/>
    <w:rsid w:val="7102D71C"/>
    <w:rsid w:val="7116BF84"/>
    <w:rsid w:val="711E8A3D"/>
    <w:rsid w:val="7120A990"/>
    <w:rsid w:val="7124D2C7"/>
    <w:rsid w:val="71259F51"/>
    <w:rsid w:val="7125FE89"/>
    <w:rsid w:val="71270C77"/>
    <w:rsid w:val="7128F673"/>
    <w:rsid w:val="712A6537"/>
    <w:rsid w:val="7137163D"/>
    <w:rsid w:val="7139C33C"/>
    <w:rsid w:val="713CEA9B"/>
    <w:rsid w:val="713D4F28"/>
    <w:rsid w:val="71414C85"/>
    <w:rsid w:val="7143C7F9"/>
    <w:rsid w:val="7147745B"/>
    <w:rsid w:val="71495B2F"/>
    <w:rsid w:val="714DE45B"/>
    <w:rsid w:val="714E8070"/>
    <w:rsid w:val="71567226"/>
    <w:rsid w:val="715A5DC8"/>
    <w:rsid w:val="715B6A56"/>
    <w:rsid w:val="716566CE"/>
    <w:rsid w:val="716611C5"/>
    <w:rsid w:val="716620AD"/>
    <w:rsid w:val="71685E63"/>
    <w:rsid w:val="717070E0"/>
    <w:rsid w:val="7172CE34"/>
    <w:rsid w:val="717CCAEB"/>
    <w:rsid w:val="7180CFEF"/>
    <w:rsid w:val="71836CC2"/>
    <w:rsid w:val="718AB837"/>
    <w:rsid w:val="718B301C"/>
    <w:rsid w:val="718DB7F5"/>
    <w:rsid w:val="7194A0FB"/>
    <w:rsid w:val="71964A1E"/>
    <w:rsid w:val="719CDC5E"/>
    <w:rsid w:val="719DBEE7"/>
    <w:rsid w:val="71A4ED26"/>
    <w:rsid w:val="71A96783"/>
    <w:rsid w:val="71B13BF4"/>
    <w:rsid w:val="71B96A89"/>
    <w:rsid w:val="71B9BCD1"/>
    <w:rsid w:val="71BA3371"/>
    <w:rsid w:val="71BBC291"/>
    <w:rsid w:val="71BC3CE0"/>
    <w:rsid w:val="71BEB722"/>
    <w:rsid w:val="71C0B008"/>
    <w:rsid w:val="71D1C63B"/>
    <w:rsid w:val="71D65DC7"/>
    <w:rsid w:val="71DCDD45"/>
    <w:rsid w:val="71DF8ADA"/>
    <w:rsid w:val="71E07D2D"/>
    <w:rsid w:val="71E1E1B8"/>
    <w:rsid w:val="71F02D09"/>
    <w:rsid w:val="71F26764"/>
    <w:rsid w:val="71FF78F9"/>
    <w:rsid w:val="71FFBBDE"/>
    <w:rsid w:val="7205A7E5"/>
    <w:rsid w:val="720D57F8"/>
    <w:rsid w:val="720F72DC"/>
    <w:rsid w:val="7214D8BC"/>
    <w:rsid w:val="72169472"/>
    <w:rsid w:val="72177A3C"/>
    <w:rsid w:val="721B9DEB"/>
    <w:rsid w:val="7225D638"/>
    <w:rsid w:val="722ACA3F"/>
    <w:rsid w:val="722F3F5A"/>
    <w:rsid w:val="7239A165"/>
    <w:rsid w:val="723E07A6"/>
    <w:rsid w:val="7247236F"/>
    <w:rsid w:val="724D6260"/>
    <w:rsid w:val="7258388A"/>
    <w:rsid w:val="725F5E00"/>
    <w:rsid w:val="7262960A"/>
    <w:rsid w:val="7262B34E"/>
    <w:rsid w:val="7264951D"/>
    <w:rsid w:val="72673FDB"/>
    <w:rsid w:val="72677A75"/>
    <w:rsid w:val="726AFF10"/>
    <w:rsid w:val="726DC61C"/>
    <w:rsid w:val="7273E974"/>
    <w:rsid w:val="727B703D"/>
    <w:rsid w:val="728541ED"/>
    <w:rsid w:val="728B186D"/>
    <w:rsid w:val="728DBC64"/>
    <w:rsid w:val="729364D9"/>
    <w:rsid w:val="7294A4CF"/>
    <w:rsid w:val="729EFB59"/>
    <w:rsid w:val="72A664C3"/>
    <w:rsid w:val="72AB9103"/>
    <w:rsid w:val="72AD458E"/>
    <w:rsid w:val="72B298F5"/>
    <w:rsid w:val="72B609A9"/>
    <w:rsid w:val="72C9BECE"/>
    <w:rsid w:val="72CADD59"/>
    <w:rsid w:val="72CB726E"/>
    <w:rsid w:val="72F51886"/>
    <w:rsid w:val="72F7D711"/>
    <w:rsid w:val="72FB6114"/>
    <w:rsid w:val="73014257"/>
    <w:rsid w:val="73056C5A"/>
    <w:rsid w:val="7305C5A1"/>
    <w:rsid w:val="730913C7"/>
    <w:rsid w:val="730AF3DE"/>
    <w:rsid w:val="730BF254"/>
    <w:rsid w:val="730CBE71"/>
    <w:rsid w:val="731B4A34"/>
    <w:rsid w:val="731BEFA6"/>
    <w:rsid w:val="731C218F"/>
    <w:rsid w:val="732980FE"/>
    <w:rsid w:val="732D1528"/>
    <w:rsid w:val="73341AD1"/>
    <w:rsid w:val="7335D9B0"/>
    <w:rsid w:val="733675A2"/>
    <w:rsid w:val="733B40E1"/>
    <w:rsid w:val="733CE9CF"/>
    <w:rsid w:val="734907BD"/>
    <w:rsid w:val="73493301"/>
    <w:rsid w:val="73534068"/>
    <w:rsid w:val="7360FB15"/>
    <w:rsid w:val="736268B2"/>
    <w:rsid w:val="736534AA"/>
    <w:rsid w:val="7369670A"/>
    <w:rsid w:val="736D9E60"/>
    <w:rsid w:val="73729510"/>
    <w:rsid w:val="7375B588"/>
    <w:rsid w:val="7377625A"/>
    <w:rsid w:val="7381ABA4"/>
    <w:rsid w:val="73895A8A"/>
    <w:rsid w:val="7392A410"/>
    <w:rsid w:val="739D9A29"/>
    <w:rsid w:val="73A9674A"/>
    <w:rsid w:val="73B1B4E9"/>
    <w:rsid w:val="73B3B8B4"/>
    <w:rsid w:val="73B90953"/>
    <w:rsid w:val="73C14B93"/>
    <w:rsid w:val="73CB7D97"/>
    <w:rsid w:val="73DDEB1E"/>
    <w:rsid w:val="73E125FE"/>
    <w:rsid w:val="73EA2854"/>
    <w:rsid w:val="73ECF984"/>
    <w:rsid w:val="73EDFF51"/>
    <w:rsid w:val="73F8E088"/>
    <w:rsid w:val="73F95641"/>
    <w:rsid w:val="73F9B15B"/>
    <w:rsid w:val="73FB0075"/>
    <w:rsid w:val="740B9364"/>
    <w:rsid w:val="740E7081"/>
    <w:rsid w:val="7414A717"/>
    <w:rsid w:val="741995B7"/>
    <w:rsid w:val="741E770A"/>
    <w:rsid w:val="7421850E"/>
    <w:rsid w:val="7425A2AD"/>
    <w:rsid w:val="7425FEA1"/>
    <w:rsid w:val="74283347"/>
    <w:rsid w:val="742BA5BC"/>
    <w:rsid w:val="743931E9"/>
    <w:rsid w:val="743BE55C"/>
    <w:rsid w:val="743C3702"/>
    <w:rsid w:val="743E5543"/>
    <w:rsid w:val="7446EB25"/>
    <w:rsid w:val="7449BABB"/>
    <w:rsid w:val="744E95DF"/>
    <w:rsid w:val="7454EDA0"/>
    <w:rsid w:val="745AA6C5"/>
    <w:rsid w:val="745AEC5B"/>
    <w:rsid w:val="745CFD57"/>
    <w:rsid w:val="745DF582"/>
    <w:rsid w:val="746C1C8A"/>
    <w:rsid w:val="746CF728"/>
    <w:rsid w:val="748C361E"/>
    <w:rsid w:val="749F3751"/>
    <w:rsid w:val="74B3232E"/>
    <w:rsid w:val="74B729BF"/>
    <w:rsid w:val="74B78126"/>
    <w:rsid w:val="74B918F4"/>
    <w:rsid w:val="74BB0366"/>
    <w:rsid w:val="74BF32CA"/>
    <w:rsid w:val="74C176B2"/>
    <w:rsid w:val="74C40274"/>
    <w:rsid w:val="74CB5565"/>
    <w:rsid w:val="74D4C6A7"/>
    <w:rsid w:val="74D9992C"/>
    <w:rsid w:val="74DA1332"/>
    <w:rsid w:val="74DDA859"/>
    <w:rsid w:val="74E274E7"/>
    <w:rsid w:val="74E4BAB9"/>
    <w:rsid w:val="74E8598F"/>
    <w:rsid w:val="74E9B142"/>
    <w:rsid w:val="74EF5BF0"/>
    <w:rsid w:val="74F1D43F"/>
    <w:rsid w:val="74F33BDA"/>
    <w:rsid w:val="74F4A08F"/>
    <w:rsid w:val="75005B62"/>
    <w:rsid w:val="7500E5E7"/>
    <w:rsid w:val="7503F826"/>
    <w:rsid w:val="7505DC17"/>
    <w:rsid w:val="75064A7E"/>
    <w:rsid w:val="750A0B54"/>
    <w:rsid w:val="750AB37A"/>
    <w:rsid w:val="750D914A"/>
    <w:rsid w:val="7510BF60"/>
    <w:rsid w:val="75114100"/>
    <w:rsid w:val="751392EA"/>
    <w:rsid w:val="75193A31"/>
    <w:rsid w:val="7524E700"/>
    <w:rsid w:val="752E8586"/>
    <w:rsid w:val="7532B00B"/>
    <w:rsid w:val="75427E94"/>
    <w:rsid w:val="7552F2D7"/>
    <w:rsid w:val="755898D9"/>
    <w:rsid w:val="75595B92"/>
    <w:rsid w:val="756339C9"/>
    <w:rsid w:val="7565A4D7"/>
    <w:rsid w:val="7565C776"/>
    <w:rsid w:val="75668C12"/>
    <w:rsid w:val="75673548"/>
    <w:rsid w:val="7568C7E6"/>
    <w:rsid w:val="7570DA53"/>
    <w:rsid w:val="757C0827"/>
    <w:rsid w:val="7582B000"/>
    <w:rsid w:val="759143ED"/>
    <w:rsid w:val="759BDF47"/>
    <w:rsid w:val="759E7B23"/>
    <w:rsid w:val="75A09EB8"/>
    <w:rsid w:val="75A9C5FD"/>
    <w:rsid w:val="75B283C2"/>
    <w:rsid w:val="75B6293C"/>
    <w:rsid w:val="75C0C8CE"/>
    <w:rsid w:val="75D12812"/>
    <w:rsid w:val="75D641B7"/>
    <w:rsid w:val="75D8EB33"/>
    <w:rsid w:val="75DB2BFE"/>
    <w:rsid w:val="75E3FEB6"/>
    <w:rsid w:val="75E639CD"/>
    <w:rsid w:val="75E80CF2"/>
    <w:rsid w:val="75E81E75"/>
    <w:rsid w:val="75EA6F7B"/>
    <w:rsid w:val="75F237A7"/>
    <w:rsid w:val="75F384C9"/>
    <w:rsid w:val="75F40E69"/>
    <w:rsid w:val="75F53C87"/>
    <w:rsid w:val="75F9D63F"/>
    <w:rsid w:val="7603321B"/>
    <w:rsid w:val="760F882A"/>
    <w:rsid w:val="76118AD4"/>
    <w:rsid w:val="76182F92"/>
    <w:rsid w:val="761B2E3B"/>
    <w:rsid w:val="761F6EB4"/>
    <w:rsid w:val="76213670"/>
    <w:rsid w:val="76228054"/>
    <w:rsid w:val="76239DE7"/>
    <w:rsid w:val="762673DB"/>
    <w:rsid w:val="76346BAB"/>
    <w:rsid w:val="7636934F"/>
    <w:rsid w:val="763B8E32"/>
    <w:rsid w:val="763EAD19"/>
    <w:rsid w:val="76601815"/>
    <w:rsid w:val="7660C381"/>
    <w:rsid w:val="76713476"/>
    <w:rsid w:val="76740002"/>
    <w:rsid w:val="7675EC23"/>
    <w:rsid w:val="7684842A"/>
    <w:rsid w:val="768E1ABC"/>
    <w:rsid w:val="76928B03"/>
    <w:rsid w:val="769B447E"/>
    <w:rsid w:val="76AE0E80"/>
    <w:rsid w:val="76BDC5E6"/>
    <w:rsid w:val="76C03DD4"/>
    <w:rsid w:val="76C73928"/>
    <w:rsid w:val="76D429BC"/>
    <w:rsid w:val="76DA8CE7"/>
    <w:rsid w:val="76DB9BB5"/>
    <w:rsid w:val="76E6A44B"/>
    <w:rsid w:val="76E6E29B"/>
    <w:rsid w:val="76EE03C0"/>
    <w:rsid w:val="76F28E89"/>
    <w:rsid w:val="76F8B705"/>
    <w:rsid w:val="76F946CF"/>
    <w:rsid w:val="76FE0BD8"/>
    <w:rsid w:val="7709FC7E"/>
    <w:rsid w:val="770AF34A"/>
    <w:rsid w:val="77123392"/>
    <w:rsid w:val="771885DD"/>
    <w:rsid w:val="771A6218"/>
    <w:rsid w:val="7723D659"/>
    <w:rsid w:val="7726B9A1"/>
    <w:rsid w:val="772AAEBE"/>
    <w:rsid w:val="772C10BD"/>
    <w:rsid w:val="77374416"/>
    <w:rsid w:val="773B6938"/>
    <w:rsid w:val="773C6D90"/>
    <w:rsid w:val="7745556D"/>
    <w:rsid w:val="774DE12D"/>
    <w:rsid w:val="774E6FFF"/>
    <w:rsid w:val="7751D905"/>
    <w:rsid w:val="775C645C"/>
    <w:rsid w:val="7760FE3D"/>
    <w:rsid w:val="77624138"/>
    <w:rsid w:val="77664E46"/>
    <w:rsid w:val="7769344C"/>
    <w:rsid w:val="776B0DB7"/>
    <w:rsid w:val="776BD065"/>
    <w:rsid w:val="7774566C"/>
    <w:rsid w:val="7779A0A5"/>
    <w:rsid w:val="777EF0EF"/>
    <w:rsid w:val="7783004C"/>
    <w:rsid w:val="77838CAB"/>
    <w:rsid w:val="7785B3B5"/>
    <w:rsid w:val="7791B7A9"/>
    <w:rsid w:val="77A258B1"/>
    <w:rsid w:val="77A8A14F"/>
    <w:rsid w:val="77AD7C05"/>
    <w:rsid w:val="77B6D9E4"/>
    <w:rsid w:val="77C8A8E7"/>
    <w:rsid w:val="77C8DC11"/>
    <w:rsid w:val="77CC9B10"/>
    <w:rsid w:val="77CFB24E"/>
    <w:rsid w:val="77D5A0FE"/>
    <w:rsid w:val="77D6FB37"/>
    <w:rsid w:val="77E0D5B1"/>
    <w:rsid w:val="77E243A9"/>
    <w:rsid w:val="77E9510D"/>
    <w:rsid w:val="77ED373A"/>
    <w:rsid w:val="77F144C8"/>
    <w:rsid w:val="78059352"/>
    <w:rsid w:val="780933BD"/>
    <w:rsid w:val="780A0F7E"/>
    <w:rsid w:val="780A63C4"/>
    <w:rsid w:val="780B716F"/>
    <w:rsid w:val="780F30B2"/>
    <w:rsid w:val="781C2102"/>
    <w:rsid w:val="782BF280"/>
    <w:rsid w:val="783A32B7"/>
    <w:rsid w:val="7841FFFC"/>
    <w:rsid w:val="7842B348"/>
    <w:rsid w:val="78449236"/>
    <w:rsid w:val="784D3F3D"/>
    <w:rsid w:val="785921CD"/>
    <w:rsid w:val="785C94DA"/>
    <w:rsid w:val="7861E0D2"/>
    <w:rsid w:val="7864B106"/>
    <w:rsid w:val="787598DB"/>
    <w:rsid w:val="7886F285"/>
    <w:rsid w:val="788F4AF7"/>
    <w:rsid w:val="7890B4A3"/>
    <w:rsid w:val="7890F732"/>
    <w:rsid w:val="78964303"/>
    <w:rsid w:val="789DBC8C"/>
    <w:rsid w:val="789DD5D9"/>
    <w:rsid w:val="78A08E40"/>
    <w:rsid w:val="78A754EF"/>
    <w:rsid w:val="78A95C05"/>
    <w:rsid w:val="78AB3A05"/>
    <w:rsid w:val="78B15FE7"/>
    <w:rsid w:val="78B49D15"/>
    <w:rsid w:val="78BCE17D"/>
    <w:rsid w:val="78BE9B04"/>
    <w:rsid w:val="78C13192"/>
    <w:rsid w:val="78C72384"/>
    <w:rsid w:val="78C7517C"/>
    <w:rsid w:val="78D20501"/>
    <w:rsid w:val="78D49261"/>
    <w:rsid w:val="78DE05BC"/>
    <w:rsid w:val="78E9A065"/>
    <w:rsid w:val="78EB2CD2"/>
    <w:rsid w:val="78EF7AA2"/>
    <w:rsid w:val="78EFDB99"/>
    <w:rsid w:val="78FC100F"/>
    <w:rsid w:val="7901570A"/>
    <w:rsid w:val="7903D47F"/>
    <w:rsid w:val="7903F707"/>
    <w:rsid w:val="791416F7"/>
    <w:rsid w:val="7916F8BF"/>
    <w:rsid w:val="791770B1"/>
    <w:rsid w:val="79193FE2"/>
    <w:rsid w:val="791BA4F4"/>
    <w:rsid w:val="7922BDC7"/>
    <w:rsid w:val="7922CA69"/>
    <w:rsid w:val="792C53AE"/>
    <w:rsid w:val="7937F02B"/>
    <w:rsid w:val="793F716A"/>
    <w:rsid w:val="793FF3E1"/>
    <w:rsid w:val="79423A71"/>
    <w:rsid w:val="79436B99"/>
    <w:rsid w:val="7944E1A0"/>
    <w:rsid w:val="7946DA84"/>
    <w:rsid w:val="7949290C"/>
    <w:rsid w:val="794FBF8B"/>
    <w:rsid w:val="79526521"/>
    <w:rsid w:val="7952794E"/>
    <w:rsid w:val="79565133"/>
    <w:rsid w:val="79577553"/>
    <w:rsid w:val="7957ED01"/>
    <w:rsid w:val="795BAD03"/>
    <w:rsid w:val="795D7E2D"/>
    <w:rsid w:val="795FF902"/>
    <w:rsid w:val="79665D1E"/>
    <w:rsid w:val="7966B09A"/>
    <w:rsid w:val="796D25B1"/>
    <w:rsid w:val="796DE9D9"/>
    <w:rsid w:val="7974E2BE"/>
    <w:rsid w:val="797D26C3"/>
    <w:rsid w:val="7982D7C2"/>
    <w:rsid w:val="798659BA"/>
    <w:rsid w:val="7989BAA7"/>
    <w:rsid w:val="798AB7E3"/>
    <w:rsid w:val="799A1815"/>
    <w:rsid w:val="799A8F97"/>
    <w:rsid w:val="79A5EF44"/>
    <w:rsid w:val="79AEF1A6"/>
    <w:rsid w:val="79AFCB53"/>
    <w:rsid w:val="79B2ECE3"/>
    <w:rsid w:val="79B9F570"/>
    <w:rsid w:val="79BA490F"/>
    <w:rsid w:val="79C105C3"/>
    <w:rsid w:val="79C18BE7"/>
    <w:rsid w:val="79C73E61"/>
    <w:rsid w:val="79D5016A"/>
    <w:rsid w:val="79D8A6C0"/>
    <w:rsid w:val="79DCC829"/>
    <w:rsid w:val="79DD1B73"/>
    <w:rsid w:val="79DDDC5F"/>
    <w:rsid w:val="79E2177F"/>
    <w:rsid w:val="79E4A16B"/>
    <w:rsid w:val="79EB24FE"/>
    <w:rsid w:val="79FF1811"/>
    <w:rsid w:val="7A0F0C7B"/>
    <w:rsid w:val="7A102020"/>
    <w:rsid w:val="7A196809"/>
    <w:rsid w:val="7A1A1C08"/>
    <w:rsid w:val="7A1E4442"/>
    <w:rsid w:val="7A23C06D"/>
    <w:rsid w:val="7A29CEA9"/>
    <w:rsid w:val="7A341A53"/>
    <w:rsid w:val="7A3524D8"/>
    <w:rsid w:val="7A3AAED1"/>
    <w:rsid w:val="7A3C36D9"/>
    <w:rsid w:val="7A3CB100"/>
    <w:rsid w:val="7A401F96"/>
    <w:rsid w:val="7A42AC42"/>
    <w:rsid w:val="7A47529D"/>
    <w:rsid w:val="7A645A51"/>
    <w:rsid w:val="7A6466D7"/>
    <w:rsid w:val="7A653C64"/>
    <w:rsid w:val="7A6B25D0"/>
    <w:rsid w:val="7A6CF862"/>
    <w:rsid w:val="7A731634"/>
    <w:rsid w:val="7A7E0D1A"/>
    <w:rsid w:val="7A84EE71"/>
    <w:rsid w:val="7A87D866"/>
    <w:rsid w:val="7A8C806A"/>
    <w:rsid w:val="7A8E0242"/>
    <w:rsid w:val="7A92B243"/>
    <w:rsid w:val="7A92F667"/>
    <w:rsid w:val="7AA07497"/>
    <w:rsid w:val="7AA9325F"/>
    <w:rsid w:val="7AAA93DE"/>
    <w:rsid w:val="7AAD1B5E"/>
    <w:rsid w:val="7AB01799"/>
    <w:rsid w:val="7AB21346"/>
    <w:rsid w:val="7AB8FF0F"/>
    <w:rsid w:val="7ABA2545"/>
    <w:rsid w:val="7ABE47E4"/>
    <w:rsid w:val="7AC54403"/>
    <w:rsid w:val="7ADD6CCF"/>
    <w:rsid w:val="7AE894FE"/>
    <w:rsid w:val="7AE96E19"/>
    <w:rsid w:val="7AEBBEB4"/>
    <w:rsid w:val="7AEE8FAC"/>
    <w:rsid w:val="7AF5C165"/>
    <w:rsid w:val="7AF8B9E9"/>
    <w:rsid w:val="7AF8BD7C"/>
    <w:rsid w:val="7AFA84F4"/>
    <w:rsid w:val="7AFDBE52"/>
    <w:rsid w:val="7B06F087"/>
    <w:rsid w:val="7B0ABE71"/>
    <w:rsid w:val="7B0C180F"/>
    <w:rsid w:val="7B0E46F0"/>
    <w:rsid w:val="7B1273E1"/>
    <w:rsid w:val="7B16EEBA"/>
    <w:rsid w:val="7B1EC7F0"/>
    <w:rsid w:val="7B1EE44C"/>
    <w:rsid w:val="7B2087BD"/>
    <w:rsid w:val="7B2B76F6"/>
    <w:rsid w:val="7B30129E"/>
    <w:rsid w:val="7B39167E"/>
    <w:rsid w:val="7B3AEA1D"/>
    <w:rsid w:val="7B3CD925"/>
    <w:rsid w:val="7B3D8D18"/>
    <w:rsid w:val="7B42E961"/>
    <w:rsid w:val="7B45FA4A"/>
    <w:rsid w:val="7B45FB41"/>
    <w:rsid w:val="7B53E51A"/>
    <w:rsid w:val="7B54A981"/>
    <w:rsid w:val="7B55749E"/>
    <w:rsid w:val="7B5E6EE6"/>
    <w:rsid w:val="7B60254C"/>
    <w:rsid w:val="7B619F81"/>
    <w:rsid w:val="7B635050"/>
    <w:rsid w:val="7B6A982A"/>
    <w:rsid w:val="7B6C1107"/>
    <w:rsid w:val="7B723512"/>
    <w:rsid w:val="7B72E876"/>
    <w:rsid w:val="7B80FD38"/>
    <w:rsid w:val="7B81D54F"/>
    <w:rsid w:val="7B83EE5E"/>
    <w:rsid w:val="7B85811A"/>
    <w:rsid w:val="7B94977E"/>
    <w:rsid w:val="7B983584"/>
    <w:rsid w:val="7B9BB94E"/>
    <w:rsid w:val="7BB1F387"/>
    <w:rsid w:val="7BB94DDE"/>
    <w:rsid w:val="7BBDA1B6"/>
    <w:rsid w:val="7BBE8390"/>
    <w:rsid w:val="7BC9F0C3"/>
    <w:rsid w:val="7BCD8FD6"/>
    <w:rsid w:val="7BD01D58"/>
    <w:rsid w:val="7BD6D279"/>
    <w:rsid w:val="7BDDDDC9"/>
    <w:rsid w:val="7BDF15E1"/>
    <w:rsid w:val="7BE055F7"/>
    <w:rsid w:val="7BE6A1DF"/>
    <w:rsid w:val="7BEA859D"/>
    <w:rsid w:val="7BEBABF7"/>
    <w:rsid w:val="7BEF3524"/>
    <w:rsid w:val="7BF46215"/>
    <w:rsid w:val="7BF9572D"/>
    <w:rsid w:val="7BF9D6BE"/>
    <w:rsid w:val="7BFAF985"/>
    <w:rsid w:val="7BFF3B81"/>
    <w:rsid w:val="7C068B37"/>
    <w:rsid w:val="7C085B5B"/>
    <w:rsid w:val="7C0DF903"/>
    <w:rsid w:val="7C0FF16B"/>
    <w:rsid w:val="7C130071"/>
    <w:rsid w:val="7C134250"/>
    <w:rsid w:val="7C2071E4"/>
    <w:rsid w:val="7C23E970"/>
    <w:rsid w:val="7C246FFE"/>
    <w:rsid w:val="7C29D887"/>
    <w:rsid w:val="7C2DBB33"/>
    <w:rsid w:val="7C32013B"/>
    <w:rsid w:val="7C3483C5"/>
    <w:rsid w:val="7C3B8687"/>
    <w:rsid w:val="7C40CE43"/>
    <w:rsid w:val="7C41B538"/>
    <w:rsid w:val="7C42DE2D"/>
    <w:rsid w:val="7C44F2AF"/>
    <w:rsid w:val="7C49396F"/>
    <w:rsid w:val="7C51FE20"/>
    <w:rsid w:val="7C580BFC"/>
    <w:rsid w:val="7C59BE6C"/>
    <w:rsid w:val="7C5AB163"/>
    <w:rsid w:val="7C63F2E1"/>
    <w:rsid w:val="7C66A834"/>
    <w:rsid w:val="7C69EA82"/>
    <w:rsid w:val="7C6F8FAC"/>
    <w:rsid w:val="7C6FAFF2"/>
    <w:rsid w:val="7C73B201"/>
    <w:rsid w:val="7C73C44C"/>
    <w:rsid w:val="7C743D07"/>
    <w:rsid w:val="7C7C88FE"/>
    <w:rsid w:val="7C7FA1A4"/>
    <w:rsid w:val="7C865DA7"/>
    <w:rsid w:val="7C8867F4"/>
    <w:rsid w:val="7C9082CA"/>
    <w:rsid w:val="7C96407F"/>
    <w:rsid w:val="7C9683A6"/>
    <w:rsid w:val="7C99809C"/>
    <w:rsid w:val="7C9B14EE"/>
    <w:rsid w:val="7C9B1748"/>
    <w:rsid w:val="7C9FB879"/>
    <w:rsid w:val="7CA60D72"/>
    <w:rsid w:val="7CAFF4AD"/>
    <w:rsid w:val="7CB3AADB"/>
    <w:rsid w:val="7CBCD0C4"/>
    <w:rsid w:val="7CBEF87B"/>
    <w:rsid w:val="7CC1987F"/>
    <w:rsid w:val="7CC6A4B5"/>
    <w:rsid w:val="7CCBA2DE"/>
    <w:rsid w:val="7CD17DFF"/>
    <w:rsid w:val="7CD2B1EC"/>
    <w:rsid w:val="7CD64BEB"/>
    <w:rsid w:val="7CE09023"/>
    <w:rsid w:val="7CE1BE00"/>
    <w:rsid w:val="7CEAA1C1"/>
    <w:rsid w:val="7CEAA543"/>
    <w:rsid w:val="7CF5F207"/>
    <w:rsid w:val="7D0AE346"/>
    <w:rsid w:val="7D0DADD3"/>
    <w:rsid w:val="7D1590C7"/>
    <w:rsid w:val="7D184323"/>
    <w:rsid w:val="7D1C7FAA"/>
    <w:rsid w:val="7D239388"/>
    <w:rsid w:val="7D3EA855"/>
    <w:rsid w:val="7D521A88"/>
    <w:rsid w:val="7D551E10"/>
    <w:rsid w:val="7D5E0E1A"/>
    <w:rsid w:val="7D62417B"/>
    <w:rsid w:val="7D65C0C8"/>
    <w:rsid w:val="7D69D4FA"/>
    <w:rsid w:val="7D6A5A9C"/>
    <w:rsid w:val="7D6AA976"/>
    <w:rsid w:val="7D6B0B7A"/>
    <w:rsid w:val="7D73D38A"/>
    <w:rsid w:val="7D746ECE"/>
    <w:rsid w:val="7D77C4CC"/>
    <w:rsid w:val="7D77CA0C"/>
    <w:rsid w:val="7D7A33C0"/>
    <w:rsid w:val="7D7BA51D"/>
    <w:rsid w:val="7D7D753A"/>
    <w:rsid w:val="7D897281"/>
    <w:rsid w:val="7D93E1DF"/>
    <w:rsid w:val="7D94DB6F"/>
    <w:rsid w:val="7D993B3B"/>
    <w:rsid w:val="7D9DDE0D"/>
    <w:rsid w:val="7DA14A9C"/>
    <w:rsid w:val="7DA2D1A6"/>
    <w:rsid w:val="7DA65395"/>
    <w:rsid w:val="7DAAF085"/>
    <w:rsid w:val="7DAB1884"/>
    <w:rsid w:val="7DACDFCE"/>
    <w:rsid w:val="7DBEFC6E"/>
    <w:rsid w:val="7DC13018"/>
    <w:rsid w:val="7DC1DEA7"/>
    <w:rsid w:val="7DC39A18"/>
    <w:rsid w:val="7DDB3437"/>
    <w:rsid w:val="7DE3F433"/>
    <w:rsid w:val="7DE960D2"/>
    <w:rsid w:val="7DEAB660"/>
    <w:rsid w:val="7DEEA0FB"/>
    <w:rsid w:val="7DF42495"/>
    <w:rsid w:val="7DF69FF2"/>
    <w:rsid w:val="7E028A87"/>
    <w:rsid w:val="7E05919A"/>
    <w:rsid w:val="7E103C24"/>
    <w:rsid w:val="7E120BC5"/>
    <w:rsid w:val="7E16B5AB"/>
    <w:rsid w:val="7E17F3D0"/>
    <w:rsid w:val="7E1BAE04"/>
    <w:rsid w:val="7E1E41E3"/>
    <w:rsid w:val="7E2D2032"/>
    <w:rsid w:val="7E2D99D0"/>
    <w:rsid w:val="7E3BAAE4"/>
    <w:rsid w:val="7E3D743F"/>
    <w:rsid w:val="7E469556"/>
    <w:rsid w:val="7E523709"/>
    <w:rsid w:val="7E55A822"/>
    <w:rsid w:val="7E5DB95A"/>
    <w:rsid w:val="7E635151"/>
    <w:rsid w:val="7E65A376"/>
    <w:rsid w:val="7E6CBF84"/>
    <w:rsid w:val="7E7C1F16"/>
    <w:rsid w:val="7E8CEABB"/>
    <w:rsid w:val="7E90FEA0"/>
    <w:rsid w:val="7E934575"/>
    <w:rsid w:val="7E9BCBA6"/>
    <w:rsid w:val="7EA5A948"/>
    <w:rsid w:val="7EA6D479"/>
    <w:rsid w:val="7EAA02A8"/>
    <w:rsid w:val="7EB783BB"/>
    <w:rsid w:val="7EBFF4CF"/>
    <w:rsid w:val="7ECA86A1"/>
    <w:rsid w:val="7ECB5A50"/>
    <w:rsid w:val="7ECB8F4F"/>
    <w:rsid w:val="7ECD36F8"/>
    <w:rsid w:val="7ECED756"/>
    <w:rsid w:val="7ED7AA2B"/>
    <w:rsid w:val="7EE0A0CC"/>
    <w:rsid w:val="7EE13DC8"/>
    <w:rsid w:val="7EE55EBD"/>
    <w:rsid w:val="7EE78F99"/>
    <w:rsid w:val="7EE7E418"/>
    <w:rsid w:val="7EEB6F6E"/>
    <w:rsid w:val="7EF7A483"/>
    <w:rsid w:val="7EFB2EE5"/>
    <w:rsid w:val="7EFC9B4D"/>
    <w:rsid w:val="7F01176F"/>
    <w:rsid w:val="7F0412D0"/>
    <w:rsid w:val="7F0D97CC"/>
    <w:rsid w:val="7F0E95C2"/>
    <w:rsid w:val="7F11BAEC"/>
    <w:rsid w:val="7F149023"/>
    <w:rsid w:val="7F16F581"/>
    <w:rsid w:val="7F1C832B"/>
    <w:rsid w:val="7F1F7356"/>
    <w:rsid w:val="7F281718"/>
    <w:rsid w:val="7F2C08C0"/>
    <w:rsid w:val="7F2C6676"/>
    <w:rsid w:val="7F31CE26"/>
    <w:rsid w:val="7F328063"/>
    <w:rsid w:val="7F3710E1"/>
    <w:rsid w:val="7F3F4C25"/>
    <w:rsid w:val="7F4D57F4"/>
    <w:rsid w:val="7F556A5D"/>
    <w:rsid w:val="7F5955E3"/>
    <w:rsid w:val="7F5C3130"/>
    <w:rsid w:val="7F618865"/>
    <w:rsid w:val="7F7A986B"/>
    <w:rsid w:val="7F88A96F"/>
    <w:rsid w:val="7F8F0A41"/>
    <w:rsid w:val="7F8F1160"/>
    <w:rsid w:val="7F94841E"/>
    <w:rsid w:val="7F978C3E"/>
    <w:rsid w:val="7F9A4D7C"/>
    <w:rsid w:val="7F9E51D2"/>
    <w:rsid w:val="7FA92921"/>
    <w:rsid w:val="7FB3DAF1"/>
    <w:rsid w:val="7FC2ACB7"/>
    <w:rsid w:val="7FC2EE58"/>
    <w:rsid w:val="7FC7759C"/>
    <w:rsid w:val="7FCAA183"/>
    <w:rsid w:val="7FCDA6C2"/>
    <w:rsid w:val="7FD39733"/>
    <w:rsid w:val="7FD5054D"/>
    <w:rsid w:val="7FD5D129"/>
    <w:rsid w:val="7FD8B0BE"/>
    <w:rsid w:val="7FDBAE7C"/>
    <w:rsid w:val="7FDCDE68"/>
    <w:rsid w:val="7FE0357F"/>
    <w:rsid w:val="7FE94091"/>
    <w:rsid w:val="7FF29F93"/>
    <w:rsid w:val="7FF46398"/>
    <w:rsid w:val="7FFD1129"/>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style="mso-position-horizontal:center;mso-position-horizontal-relative:margin;mso-position-vertical:center;mso-position-vertical-relative:margin" fill="f" fillcolor="#a6a6a6" stroke="f">
      <v:fill color="#a6a6a6" on="f"/>
      <v:stroke on="f"/>
      <v:shadow color="#868686"/>
      <v:textbox inset="5.85pt,.7pt,5.85pt,.7pt"/>
    </o:shapedefaults>
    <o:shapelayout v:ext="edit">
      <o:idmap v:ext="edit" data="2"/>
    </o:shapelayout>
  </w:shapeDefaults>
  <w:decimalSymbol w:val="."/>
  <w:listSeparator w:val=","/>
  <w14:docId w14:val="38C51594"/>
  <w15:docId w15:val="{4F87D404-A3B4-4C62-AEE4-EF2F04E6B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351FA"/>
    <w:pPr>
      <w:jc w:val="both"/>
    </w:pPr>
    <w:rPr>
      <w:rFonts w:ascii="Arial" w:eastAsia="Times New Roman" w:hAnsi="Arial"/>
      <w:sz w:val="22"/>
      <w:lang w:eastAsia="de-DE"/>
    </w:rPr>
  </w:style>
  <w:style w:type="paragraph" w:styleId="Heading1">
    <w:name w:val="heading 1"/>
    <w:basedOn w:val="Normal"/>
    <w:next w:val="Normal"/>
    <w:link w:val="Heading1Char"/>
    <w:qFormat/>
    <w:rsid w:val="006351FA"/>
    <w:pPr>
      <w:keepNext/>
      <w:keepLines/>
      <w:numPr>
        <w:numId w:val="12"/>
      </w:numPr>
      <w:spacing w:before="480"/>
      <w:outlineLvl w:val="0"/>
    </w:pPr>
    <w:rPr>
      <w:rFonts w:asciiTheme="majorHAnsi" w:eastAsiaTheme="majorEastAsia" w:hAnsiTheme="majorHAnsi" w:cstheme="majorBidi"/>
      <w:b/>
      <w:bCs/>
      <w:color w:val="365F91" w:themeColor="accent1" w:themeShade="BF"/>
      <w:sz w:val="28"/>
      <w:szCs w:val="28"/>
      <w:lang w:val="en-US" w:eastAsia="en-US"/>
    </w:rPr>
  </w:style>
  <w:style w:type="paragraph" w:styleId="Heading2">
    <w:name w:val="heading 2"/>
    <w:basedOn w:val="Normal"/>
    <w:next w:val="Normal"/>
    <w:link w:val="Heading2Char"/>
    <w:unhideWhenUsed/>
    <w:qFormat/>
    <w:rsid w:val="006351FA"/>
    <w:pPr>
      <w:keepNext/>
      <w:keepLines/>
      <w:numPr>
        <w:ilvl w:val="1"/>
        <w:numId w:val="12"/>
      </w:numPr>
      <w:spacing w:before="200"/>
      <w:outlineLvl w:val="1"/>
    </w:pPr>
    <w:rPr>
      <w:rFonts w:asciiTheme="majorHAnsi" w:eastAsiaTheme="majorEastAsia" w:hAnsiTheme="majorHAnsi" w:cstheme="majorBidi"/>
      <w:b/>
      <w:bCs/>
      <w:color w:val="4F81BD" w:themeColor="accent1"/>
      <w:sz w:val="26"/>
      <w:szCs w:val="26"/>
      <w:lang w:val="en-US" w:eastAsia="en-US"/>
    </w:rPr>
  </w:style>
  <w:style w:type="paragraph" w:styleId="Heading3">
    <w:name w:val="heading 3"/>
    <w:basedOn w:val="Normal"/>
    <w:next w:val="Normal"/>
    <w:link w:val="Heading3Char"/>
    <w:unhideWhenUsed/>
    <w:qFormat/>
    <w:rsid w:val="006351FA"/>
    <w:pPr>
      <w:keepNext/>
      <w:keepLines/>
      <w:numPr>
        <w:ilvl w:val="2"/>
        <w:numId w:val="12"/>
      </w:numPr>
      <w:spacing w:before="200"/>
      <w:outlineLvl w:val="2"/>
    </w:pPr>
    <w:rPr>
      <w:rFonts w:asciiTheme="majorHAnsi" w:eastAsiaTheme="majorEastAsia" w:hAnsiTheme="majorHAnsi" w:cstheme="majorBidi"/>
      <w:b/>
      <w:bCs/>
      <w:color w:val="4F81BD" w:themeColor="accent1"/>
      <w:sz w:val="24"/>
      <w:szCs w:val="24"/>
      <w:lang w:val="en-US" w:eastAsia="en-US"/>
    </w:rPr>
  </w:style>
  <w:style w:type="paragraph" w:styleId="Heading4">
    <w:name w:val="heading 4"/>
    <w:basedOn w:val="Normal"/>
    <w:next w:val="Normal"/>
    <w:link w:val="Heading4Char"/>
    <w:unhideWhenUsed/>
    <w:qFormat/>
    <w:rsid w:val="006351FA"/>
    <w:pPr>
      <w:keepNext/>
      <w:keepLines/>
      <w:numPr>
        <w:ilvl w:val="3"/>
        <w:numId w:val="12"/>
      </w:numPr>
      <w:spacing w:before="200"/>
      <w:outlineLvl w:val="3"/>
    </w:pPr>
    <w:rPr>
      <w:rFonts w:asciiTheme="majorHAnsi" w:eastAsiaTheme="majorEastAsia" w:hAnsiTheme="majorHAnsi" w:cstheme="majorBidi"/>
      <w:b/>
      <w:bCs/>
      <w:i/>
      <w:iCs/>
      <w:color w:val="4F81BD" w:themeColor="accent1"/>
      <w:sz w:val="24"/>
      <w:szCs w:val="24"/>
      <w:lang w:val="en-US" w:eastAsia="en-US"/>
    </w:rPr>
  </w:style>
  <w:style w:type="paragraph" w:styleId="Heading5">
    <w:name w:val="heading 5"/>
    <w:basedOn w:val="Normal"/>
    <w:next w:val="Normal"/>
    <w:link w:val="Heading5Char"/>
    <w:unhideWhenUsed/>
    <w:qFormat/>
    <w:rsid w:val="006351FA"/>
    <w:pPr>
      <w:keepNext/>
      <w:keepLines/>
      <w:numPr>
        <w:ilvl w:val="4"/>
        <w:numId w:val="12"/>
      </w:numPr>
      <w:spacing w:before="200"/>
      <w:outlineLvl w:val="4"/>
    </w:pPr>
    <w:rPr>
      <w:rFonts w:asciiTheme="majorHAnsi" w:eastAsiaTheme="majorEastAsia" w:hAnsiTheme="majorHAnsi" w:cstheme="majorBidi"/>
      <w:color w:val="243F60" w:themeColor="accent1" w:themeShade="7F"/>
      <w:sz w:val="24"/>
      <w:szCs w:val="24"/>
      <w:lang w:val="en-US" w:eastAsia="en-US"/>
    </w:rPr>
  </w:style>
  <w:style w:type="paragraph" w:styleId="Heading6">
    <w:name w:val="heading 6"/>
    <w:basedOn w:val="Normal"/>
    <w:next w:val="Normal"/>
    <w:link w:val="Heading6Char"/>
    <w:unhideWhenUsed/>
    <w:qFormat/>
    <w:rsid w:val="006351FA"/>
    <w:pPr>
      <w:keepNext/>
      <w:keepLines/>
      <w:numPr>
        <w:ilvl w:val="5"/>
        <w:numId w:val="12"/>
      </w:numPr>
      <w:spacing w:before="200"/>
      <w:outlineLvl w:val="5"/>
    </w:pPr>
    <w:rPr>
      <w:rFonts w:asciiTheme="majorHAnsi" w:eastAsiaTheme="majorEastAsia" w:hAnsiTheme="majorHAnsi" w:cstheme="majorBidi"/>
      <w:i/>
      <w:iCs/>
      <w:color w:val="243F60" w:themeColor="accent1" w:themeShade="7F"/>
      <w:sz w:val="24"/>
      <w:szCs w:val="24"/>
      <w:lang w:val="en-US" w:eastAsia="en-US"/>
    </w:rPr>
  </w:style>
  <w:style w:type="paragraph" w:styleId="Heading7">
    <w:name w:val="heading 7"/>
    <w:basedOn w:val="Normal"/>
    <w:next w:val="Normal"/>
    <w:link w:val="Heading7Char"/>
    <w:unhideWhenUsed/>
    <w:qFormat/>
    <w:rsid w:val="006351FA"/>
    <w:pPr>
      <w:keepNext/>
      <w:keepLines/>
      <w:numPr>
        <w:ilvl w:val="6"/>
        <w:numId w:val="12"/>
      </w:numPr>
      <w:spacing w:before="200"/>
      <w:outlineLvl w:val="6"/>
    </w:pPr>
    <w:rPr>
      <w:rFonts w:asciiTheme="majorHAnsi" w:eastAsiaTheme="majorEastAsia" w:hAnsiTheme="majorHAnsi" w:cstheme="majorBidi"/>
      <w:i/>
      <w:iCs/>
      <w:color w:val="404040" w:themeColor="text1" w:themeTint="BF"/>
      <w:sz w:val="24"/>
      <w:szCs w:val="24"/>
      <w:lang w:val="en-US" w:eastAsia="en-US"/>
    </w:rPr>
  </w:style>
  <w:style w:type="paragraph" w:styleId="Heading8">
    <w:name w:val="heading 8"/>
    <w:basedOn w:val="Normal"/>
    <w:next w:val="Normal"/>
    <w:link w:val="Heading8Char"/>
    <w:unhideWhenUsed/>
    <w:qFormat/>
    <w:rsid w:val="006351FA"/>
    <w:pPr>
      <w:keepNext/>
      <w:keepLines/>
      <w:numPr>
        <w:ilvl w:val="7"/>
        <w:numId w:val="12"/>
      </w:numPr>
      <w:spacing w:before="200"/>
      <w:outlineLvl w:val="7"/>
    </w:pPr>
    <w:rPr>
      <w:rFonts w:asciiTheme="majorHAnsi" w:eastAsiaTheme="majorEastAsia" w:hAnsiTheme="majorHAnsi" w:cstheme="majorBidi"/>
      <w:color w:val="404040" w:themeColor="text1" w:themeTint="BF"/>
      <w:sz w:val="20"/>
      <w:lang w:val="en-US" w:eastAsia="en-US"/>
    </w:rPr>
  </w:style>
  <w:style w:type="paragraph" w:styleId="Heading9">
    <w:name w:val="heading 9"/>
    <w:basedOn w:val="Normal"/>
    <w:next w:val="Normal"/>
    <w:link w:val="Heading9Char"/>
    <w:unhideWhenUsed/>
    <w:qFormat/>
    <w:rsid w:val="006351FA"/>
    <w:pPr>
      <w:keepNext/>
      <w:keepLines/>
      <w:numPr>
        <w:ilvl w:val="8"/>
        <w:numId w:val="12"/>
      </w:numPr>
      <w:spacing w:before="200"/>
      <w:outlineLvl w:val="8"/>
    </w:pPr>
    <w:rPr>
      <w:rFonts w:asciiTheme="majorHAnsi" w:eastAsiaTheme="majorEastAsia" w:hAnsiTheme="majorHAnsi" w:cstheme="majorBidi"/>
      <w:i/>
      <w:iCs/>
      <w:color w:val="404040" w:themeColor="text1" w:themeTint="BF"/>
      <w:sz w:val="20"/>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6351FA"/>
    <w:pPr>
      <w:tabs>
        <w:tab w:val="center" w:pos="4320"/>
        <w:tab w:val="right" w:pos="8640"/>
      </w:tabs>
    </w:pPr>
  </w:style>
  <w:style w:type="paragraph" w:styleId="Footer">
    <w:name w:val="footer"/>
    <w:basedOn w:val="Normal"/>
    <w:link w:val="FooterChar"/>
    <w:rsid w:val="006351FA"/>
    <w:pPr>
      <w:tabs>
        <w:tab w:val="center" w:pos="4320"/>
        <w:tab w:val="right" w:pos="8640"/>
      </w:tabs>
    </w:pPr>
  </w:style>
  <w:style w:type="paragraph" w:styleId="TOC3">
    <w:name w:val="toc 3"/>
    <w:basedOn w:val="TOC1"/>
    <w:link w:val="TOC3Char"/>
    <w:uiPriority w:val="39"/>
    <w:rsid w:val="006351FA"/>
    <w:pPr>
      <w:ind w:left="2268" w:hanging="992"/>
    </w:pPr>
    <w:rPr>
      <w:b w:val="0"/>
      <w:caps w:val="0"/>
    </w:rPr>
  </w:style>
  <w:style w:type="paragraph" w:styleId="TOC2">
    <w:name w:val="toc 2"/>
    <w:basedOn w:val="TOC1"/>
    <w:link w:val="TOC2Char"/>
    <w:uiPriority w:val="39"/>
    <w:rsid w:val="006351FA"/>
    <w:pPr>
      <w:ind w:left="1276" w:hanging="709"/>
    </w:pPr>
    <w:rPr>
      <w:b w:val="0"/>
      <w:caps w:val="0"/>
    </w:rPr>
  </w:style>
  <w:style w:type="paragraph" w:styleId="TOC1">
    <w:name w:val="toc 1"/>
    <w:basedOn w:val="Normal"/>
    <w:link w:val="TOC1Char"/>
    <w:uiPriority w:val="39"/>
    <w:rsid w:val="006351FA"/>
    <w:pPr>
      <w:tabs>
        <w:tab w:val="left" w:leader="dot" w:pos="8222"/>
        <w:tab w:val="right" w:pos="9356"/>
      </w:tabs>
      <w:spacing w:before="180"/>
      <w:ind w:left="567" w:right="1418" w:hanging="567"/>
      <w:jc w:val="left"/>
    </w:pPr>
    <w:rPr>
      <w:rFonts w:cs="Arial"/>
      <w:b/>
      <w:caps/>
      <w:sz w:val="21"/>
      <w:szCs w:val="21"/>
    </w:rPr>
  </w:style>
  <w:style w:type="paragraph" w:styleId="FootnoteText">
    <w:name w:val="footnote text"/>
    <w:basedOn w:val="Normal"/>
    <w:link w:val="FootnoteTextChar"/>
    <w:rsid w:val="006351FA"/>
    <w:pPr>
      <w:keepLines/>
      <w:numPr>
        <w:numId w:val="17"/>
      </w:numPr>
      <w:spacing w:before="120" w:after="60"/>
    </w:pPr>
    <w:rPr>
      <w:sz w:val="20"/>
    </w:rPr>
  </w:style>
  <w:style w:type="character" w:styleId="Hyperlink">
    <w:name w:val="Hyperlink"/>
    <w:uiPriority w:val="99"/>
    <w:rsid w:val="006351FA"/>
    <w:rPr>
      <w:color w:val="0000FF"/>
      <w:u w:val="single"/>
    </w:rPr>
  </w:style>
  <w:style w:type="paragraph" w:styleId="EndnoteText">
    <w:name w:val="endnote text"/>
    <w:basedOn w:val="Normal"/>
    <w:rsid w:val="006351FA"/>
    <w:rPr>
      <w:rFonts w:eastAsia="MS Mincho"/>
      <w:lang w:eastAsia="en-US"/>
    </w:rPr>
  </w:style>
  <w:style w:type="character" w:customStyle="1" w:styleId="CommentTextChar">
    <w:name w:val="Comment Text Char"/>
    <w:basedOn w:val="DefaultParagraphFont"/>
    <w:link w:val="CommentText1"/>
    <w:rsid w:val="000E302E"/>
    <w:rPr>
      <w:rFonts w:ascii="Arial" w:hAnsi="Arial"/>
      <w:lang w:eastAsia="en-US"/>
    </w:rPr>
  </w:style>
  <w:style w:type="paragraph" w:styleId="Caption">
    <w:name w:val="caption"/>
    <w:basedOn w:val="Normal"/>
    <w:link w:val="CaptionChar"/>
    <w:qFormat/>
    <w:rsid w:val="006351FA"/>
    <w:pPr>
      <w:keepNext/>
      <w:keepLines/>
      <w:tabs>
        <w:tab w:val="left" w:pos="1134"/>
        <w:tab w:val="left" w:pos="1956"/>
        <w:tab w:val="left" w:pos="2126"/>
        <w:tab w:val="left" w:pos="2693"/>
        <w:tab w:val="left" w:pos="3260"/>
      </w:tabs>
      <w:spacing w:before="320" w:after="120"/>
      <w:ind w:left="1956" w:hanging="1247"/>
    </w:pPr>
    <w:rPr>
      <w:b/>
      <w:bCs/>
      <w:sz w:val="20"/>
    </w:rPr>
  </w:style>
  <w:style w:type="paragraph" w:styleId="TOC9">
    <w:name w:val="toc 9"/>
    <w:basedOn w:val="Normal"/>
    <w:next w:val="Normal"/>
    <w:autoRedefine/>
    <w:uiPriority w:val="39"/>
    <w:rsid w:val="006351FA"/>
    <w:pPr>
      <w:ind w:left="1760"/>
    </w:pPr>
  </w:style>
  <w:style w:type="paragraph" w:styleId="IndexHeading">
    <w:name w:val="index heading"/>
    <w:basedOn w:val="Normal"/>
    <w:next w:val="Normal"/>
    <w:rsid w:val="006351FA"/>
    <w:rPr>
      <w:rFonts w:cs="Arial"/>
      <w:b/>
      <w:bCs/>
    </w:rPr>
  </w:style>
  <w:style w:type="paragraph" w:styleId="TableofAuthorities">
    <w:name w:val="table of authorities"/>
    <w:basedOn w:val="Normal"/>
    <w:next w:val="Normal"/>
    <w:rsid w:val="006351FA"/>
    <w:pPr>
      <w:ind w:left="220" w:hanging="220"/>
    </w:pPr>
  </w:style>
  <w:style w:type="paragraph" w:styleId="TableofFigures">
    <w:name w:val="table of figures"/>
    <w:basedOn w:val="Normal"/>
    <w:next w:val="Normal"/>
    <w:rsid w:val="006351FA"/>
  </w:style>
  <w:style w:type="paragraph" w:styleId="TOAHeading">
    <w:name w:val="toa heading"/>
    <w:basedOn w:val="Normal"/>
    <w:next w:val="Normal"/>
    <w:rsid w:val="006351FA"/>
    <w:pPr>
      <w:spacing w:before="120"/>
    </w:pPr>
    <w:rPr>
      <w:rFonts w:cs="Arial"/>
      <w:b/>
      <w:bCs/>
      <w:sz w:val="24"/>
      <w:szCs w:val="24"/>
    </w:rPr>
  </w:style>
  <w:style w:type="paragraph" w:styleId="TOC4">
    <w:name w:val="toc 4"/>
    <w:basedOn w:val="TOC1"/>
    <w:uiPriority w:val="39"/>
    <w:rsid w:val="006351FA"/>
    <w:pPr>
      <w:ind w:left="3544" w:hanging="1276"/>
    </w:pPr>
    <w:rPr>
      <w:b w:val="0"/>
      <w:caps w:val="0"/>
      <w:noProof/>
    </w:rPr>
  </w:style>
  <w:style w:type="paragraph" w:styleId="TOC5">
    <w:name w:val="toc 5"/>
    <w:basedOn w:val="TOC1"/>
    <w:uiPriority w:val="39"/>
    <w:rsid w:val="006351FA"/>
    <w:pPr>
      <w:ind w:left="5103" w:hanging="1559"/>
    </w:pPr>
    <w:rPr>
      <w:b w:val="0"/>
      <w:caps w:val="0"/>
      <w:noProof/>
    </w:rPr>
  </w:style>
  <w:style w:type="paragraph" w:styleId="TOC6">
    <w:name w:val="toc 6"/>
    <w:basedOn w:val="TOC1"/>
    <w:next w:val="Normal"/>
    <w:uiPriority w:val="39"/>
    <w:rsid w:val="006351FA"/>
    <w:pPr>
      <w:ind w:left="1588" w:hanging="1588"/>
    </w:pPr>
    <w:rPr>
      <w:noProof/>
    </w:rPr>
  </w:style>
  <w:style w:type="paragraph" w:styleId="TOC7">
    <w:name w:val="toc 7"/>
    <w:basedOn w:val="Normal"/>
    <w:next w:val="Normal"/>
    <w:autoRedefine/>
    <w:uiPriority w:val="39"/>
    <w:rsid w:val="006351FA"/>
    <w:pPr>
      <w:ind w:left="1320"/>
    </w:pPr>
  </w:style>
  <w:style w:type="paragraph" w:styleId="TOC8">
    <w:name w:val="toc 8"/>
    <w:basedOn w:val="Normal"/>
    <w:next w:val="Normal"/>
    <w:autoRedefine/>
    <w:uiPriority w:val="39"/>
    <w:rsid w:val="006351FA"/>
    <w:pPr>
      <w:ind w:left="1540"/>
    </w:pPr>
  </w:style>
  <w:style w:type="paragraph" w:customStyle="1" w:styleId="SDMTiHead">
    <w:name w:val="SDMTiHead"/>
    <w:basedOn w:val="Header"/>
    <w:rsid w:val="006351FA"/>
    <w:pPr>
      <w:ind w:left="-330" w:firstLine="330"/>
    </w:pPr>
    <w:rPr>
      <w:rFonts w:cs="Arial"/>
      <w:caps/>
      <w:szCs w:val="19"/>
    </w:rPr>
  </w:style>
  <w:style w:type="paragraph" w:customStyle="1" w:styleId="SDMTitle2">
    <w:name w:val="SDMTitle2"/>
    <w:basedOn w:val="Normal"/>
    <w:rsid w:val="006351FA"/>
    <w:pPr>
      <w:spacing w:after="600"/>
      <w:jc w:val="left"/>
    </w:pPr>
    <w:rPr>
      <w:rFonts w:cs="Arial"/>
      <w:sz w:val="48"/>
      <w:szCs w:val="48"/>
    </w:rPr>
  </w:style>
  <w:style w:type="paragraph" w:customStyle="1" w:styleId="SDMTitle1">
    <w:name w:val="SDMTitle1"/>
    <w:basedOn w:val="Normal"/>
    <w:rsid w:val="006351FA"/>
    <w:pPr>
      <w:pBdr>
        <w:bottom w:val="single" w:sz="12" w:space="7" w:color="auto"/>
      </w:pBdr>
      <w:spacing w:before="1800" w:after="200"/>
      <w:jc w:val="left"/>
    </w:pPr>
    <w:rPr>
      <w:rFonts w:cs="Arial"/>
      <w:sz w:val="48"/>
      <w:szCs w:val="48"/>
    </w:rPr>
  </w:style>
  <w:style w:type="paragraph" w:customStyle="1" w:styleId="SDMTiInfo">
    <w:name w:val="SDMTiInfo"/>
    <w:basedOn w:val="Normal"/>
    <w:rsid w:val="006351FA"/>
    <w:pPr>
      <w:spacing w:before="300"/>
    </w:pPr>
    <w:rPr>
      <w:rFonts w:cs="Arial"/>
      <w:szCs w:val="22"/>
    </w:rPr>
  </w:style>
  <w:style w:type="paragraph" w:customStyle="1" w:styleId="SDMHead1">
    <w:name w:val="SDMHead1"/>
    <w:basedOn w:val="Normal"/>
    <w:link w:val="SDMHead1Char"/>
    <w:rsid w:val="006351FA"/>
    <w:pPr>
      <w:keepNext/>
      <w:keepLines/>
      <w:numPr>
        <w:numId w:val="18"/>
      </w:numPr>
      <w:suppressAutoHyphens/>
      <w:spacing w:before="240" w:after="60"/>
      <w:outlineLvl w:val="0"/>
    </w:pPr>
    <w:rPr>
      <w:rFonts w:cs="Arial"/>
      <w:b/>
      <w:sz w:val="32"/>
      <w:szCs w:val="32"/>
    </w:rPr>
  </w:style>
  <w:style w:type="paragraph" w:customStyle="1" w:styleId="SDMHead2">
    <w:name w:val="SDMHead2"/>
    <w:basedOn w:val="Normal"/>
    <w:rsid w:val="006351FA"/>
    <w:pPr>
      <w:keepNext/>
      <w:keepLines/>
      <w:numPr>
        <w:ilvl w:val="1"/>
        <w:numId w:val="18"/>
      </w:numPr>
      <w:suppressAutoHyphens/>
      <w:spacing w:before="240" w:after="60"/>
      <w:outlineLvl w:val="1"/>
    </w:pPr>
    <w:rPr>
      <w:rFonts w:cs="Arial"/>
      <w:b/>
      <w:sz w:val="24"/>
      <w:szCs w:val="24"/>
    </w:rPr>
  </w:style>
  <w:style w:type="paragraph" w:customStyle="1" w:styleId="SDMHead3">
    <w:name w:val="SDMHead3"/>
    <w:basedOn w:val="Normal"/>
    <w:rsid w:val="006351FA"/>
    <w:pPr>
      <w:keepNext/>
      <w:keepLines/>
      <w:numPr>
        <w:ilvl w:val="2"/>
        <w:numId w:val="18"/>
      </w:numPr>
      <w:suppressAutoHyphens/>
      <w:spacing w:before="240" w:after="60"/>
      <w:outlineLvl w:val="2"/>
    </w:pPr>
    <w:rPr>
      <w:rFonts w:cs="Arial"/>
      <w:b/>
      <w:szCs w:val="24"/>
    </w:rPr>
  </w:style>
  <w:style w:type="paragraph" w:customStyle="1" w:styleId="SDMHead4">
    <w:name w:val="SDMHead4"/>
    <w:basedOn w:val="Normal"/>
    <w:rsid w:val="006351FA"/>
    <w:pPr>
      <w:keepNext/>
      <w:keepLines/>
      <w:numPr>
        <w:ilvl w:val="3"/>
        <w:numId w:val="18"/>
      </w:numPr>
      <w:suppressAutoHyphens/>
      <w:spacing w:before="240" w:after="60"/>
      <w:outlineLvl w:val="3"/>
    </w:pPr>
    <w:rPr>
      <w:rFonts w:cs="Arial"/>
      <w:b/>
      <w:szCs w:val="24"/>
    </w:rPr>
  </w:style>
  <w:style w:type="paragraph" w:customStyle="1" w:styleId="SDMHead5">
    <w:name w:val="SDMHead5"/>
    <w:basedOn w:val="Normal"/>
    <w:rsid w:val="006351FA"/>
    <w:pPr>
      <w:keepNext/>
      <w:keepLines/>
      <w:numPr>
        <w:ilvl w:val="4"/>
        <w:numId w:val="18"/>
      </w:numPr>
      <w:suppressAutoHyphens/>
      <w:spacing w:before="240" w:after="60"/>
      <w:outlineLvl w:val="4"/>
    </w:pPr>
    <w:rPr>
      <w:rFonts w:cs="Arial"/>
      <w:b/>
      <w:szCs w:val="24"/>
    </w:rPr>
  </w:style>
  <w:style w:type="character" w:customStyle="1" w:styleId="SDMHead1Char">
    <w:name w:val="SDMHead1 Char"/>
    <w:link w:val="SDMHead1"/>
    <w:rsid w:val="006351FA"/>
    <w:rPr>
      <w:rFonts w:ascii="Arial" w:eastAsia="Times New Roman" w:hAnsi="Arial" w:cs="Arial"/>
      <w:b/>
      <w:sz w:val="32"/>
      <w:szCs w:val="32"/>
      <w:lang w:eastAsia="de-DE"/>
    </w:rPr>
  </w:style>
  <w:style w:type="paragraph" w:customStyle="1" w:styleId="SDMPara">
    <w:name w:val="SDMPara"/>
    <w:basedOn w:val="Normal"/>
    <w:link w:val="SDMParaChar"/>
    <w:rsid w:val="006351FA"/>
    <w:pPr>
      <w:numPr>
        <w:numId w:val="21"/>
      </w:numPr>
      <w:spacing w:before="180"/>
    </w:pPr>
    <w:rPr>
      <w:rFonts w:cs="Arial"/>
      <w:szCs w:val="22"/>
    </w:rPr>
  </w:style>
  <w:style w:type="paragraph" w:customStyle="1" w:styleId="SDMSubPara1">
    <w:name w:val="SDMSubPara1"/>
    <w:basedOn w:val="Normal"/>
    <w:rsid w:val="006351FA"/>
    <w:pPr>
      <w:numPr>
        <w:ilvl w:val="1"/>
        <w:numId w:val="21"/>
      </w:numPr>
      <w:spacing w:before="180"/>
    </w:pPr>
    <w:rPr>
      <w:rFonts w:cs="Arial"/>
      <w:szCs w:val="22"/>
    </w:rPr>
  </w:style>
  <w:style w:type="paragraph" w:customStyle="1" w:styleId="SDMSubPara2">
    <w:name w:val="SDMSubPara2"/>
    <w:basedOn w:val="Normal"/>
    <w:rsid w:val="006351FA"/>
    <w:pPr>
      <w:numPr>
        <w:ilvl w:val="2"/>
        <w:numId w:val="21"/>
      </w:numPr>
      <w:spacing w:before="180"/>
    </w:pPr>
    <w:rPr>
      <w:rFonts w:cs="Arial"/>
      <w:szCs w:val="22"/>
    </w:rPr>
  </w:style>
  <w:style w:type="character" w:customStyle="1" w:styleId="FootnoteTextChar">
    <w:name w:val="Footnote Text Char"/>
    <w:link w:val="FootnoteText"/>
    <w:rsid w:val="006351FA"/>
    <w:rPr>
      <w:rFonts w:ascii="Arial" w:eastAsia="Times New Roman" w:hAnsi="Arial"/>
      <w:lang w:eastAsia="de-DE"/>
    </w:rPr>
  </w:style>
  <w:style w:type="table" w:customStyle="1" w:styleId="SDMTable">
    <w:name w:val="SDMTable"/>
    <w:basedOn w:val="TableNormal"/>
    <w:rsid w:val="006351FA"/>
    <w:rPr>
      <w:rFonts w:ascii="Arial" w:eastAsia="Times New Roman" w:hAnsi="Arial"/>
    </w:rPr>
    <w:tblPr>
      <w:tblStyleRowBandSize w:val="1"/>
      <w:tblInd w:w="8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trPr>
      <w:cantSplit/>
    </w:trPr>
    <w:tblStylePr w:type="firstRow">
      <w:pPr>
        <w:keepNext/>
        <w:keepLines/>
        <w:wordWrap/>
        <w:jc w:val="center"/>
      </w:pPr>
      <w:rPr>
        <w:b/>
      </w:rPr>
      <w:tblPr/>
      <w:trPr>
        <w:tblHeader/>
      </w:trPr>
      <w:tcPr>
        <w:tcBorders>
          <w:top w:val="single" w:sz="4" w:space="0" w:color="auto"/>
          <w:left w:val="single" w:sz="4" w:space="0" w:color="auto"/>
          <w:bottom w:val="single" w:sz="12" w:space="0" w:color="auto"/>
          <w:right w:val="single" w:sz="4" w:space="0" w:color="auto"/>
          <w:insideH w:val="nil"/>
          <w:insideV w:val="nil"/>
          <w:tl2br w:val="nil"/>
          <w:tr2bl w:val="nil"/>
        </w:tcBorders>
        <w:tcMar>
          <w:top w:w="57" w:type="dxa"/>
          <w:left w:w="0" w:type="nil"/>
          <w:bottom w:w="57" w:type="dxa"/>
          <w:right w:w="0" w:type="nil"/>
        </w:tcMar>
        <w:vAlign w:val="center"/>
      </w:tcPr>
    </w:tblStylePr>
    <w:tblStylePr w:type="lastRow">
      <w:pPr>
        <w:keepNext w:val="0"/>
        <w:wordWrap/>
      </w:pPr>
    </w:tblStylePr>
    <w:tblStylePr w:type="firstCol">
      <w:rPr>
        <w:b/>
      </w:rPr>
    </w:tblStylePr>
  </w:style>
  <w:style w:type="paragraph" w:customStyle="1" w:styleId="SDMFooter">
    <w:name w:val="SDMFooter"/>
    <w:basedOn w:val="Footer"/>
    <w:rsid w:val="006351FA"/>
    <w:pPr>
      <w:jc w:val="center"/>
    </w:pPr>
    <w:rPr>
      <w:rFonts w:cs="Arial"/>
      <w:sz w:val="20"/>
    </w:rPr>
  </w:style>
  <w:style w:type="table" w:customStyle="1" w:styleId="SDMTableDocInfo">
    <w:name w:val="SDMTableDocInfo"/>
    <w:basedOn w:val="TableNormal"/>
    <w:rsid w:val="006351FA"/>
    <w:pPr>
      <w:keepNext/>
      <w:spacing w:before="80" w:after="80"/>
    </w:pPr>
    <w:rPr>
      <w:rFonts w:ascii="Arial" w:eastAsia="Times New Roman" w:hAnsi="Arial"/>
    </w:rPr>
    <w:tblPr/>
    <w:tblStylePr w:type="firstRow">
      <w:rPr>
        <w:rFonts w:ascii="Arial" w:hAnsi="Arial"/>
        <w:i/>
        <w:sz w:val="16"/>
      </w:rPr>
      <w:tblPr/>
      <w:trPr>
        <w:cantSplit w:val="0"/>
        <w:tblHeader/>
      </w:trPr>
      <w:tcPr>
        <w:tcBorders>
          <w:top w:val="single" w:sz="4" w:space="0" w:color="auto"/>
          <w:left w:val="nil"/>
          <w:bottom w:val="single" w:sz="12" w:space="0" w:color="auto"/>
          <w:right w:val="nil"/>
          <w:insideV w:val="nil"/>
        </w:tcBorders>
        <w:tcMar>
          <w:top w:w="80" w:type="dxa"/>
          <w:left w:w="0" w:type="nil"/>
          <w:bottom w:w="80" w:type="dxa"/>
          <w:right w:w="0" w:type="nil"/>
        </w:tcMar>
        <w:vAlign w:val="center"/>
      </w:tcPr>
    </w:tblStylePr>
    <w:tblStylePr w:type="lastRow">
      <w:tblPr/>
      <w:trPr>
        <w:cantSplit w:val="0"/>
      </w:trPr>
      <w:tcPr>
        <w:tcBorders>
          <w:top w:val="single" w:sz="4" w:space="0" w:color="auto"/>
          <w:left w:val="nil"/>
          <w:bottom w:val="single" w:sz="12" w:space="0" w:color="auto"/>
          <w:right w:val="nil"/>
          <w:insideH w:val="nil"/>
          <w:insideV w:val="nil"/>
          <w:tl2br w:val="nil"/>
          <w:tr2bl w:val="nil"/>
        </w:tcBorders>
        <w:vAlign w:val="center"/>
      </w:tcPr>
    </w:tblStylePr>
  </w:style>
  <w:style w:type="paragraph" w:customStyle="1" w:styleId="SDMDocInfoText">
    <w:name w:val="SDMDocInfoText"/>
    <w:basedOn w:val="Normal"/>
    <w:link w:val="SDMDocInfoTextChar"/>
    <w:rsid w:val="006351FA"/>
    <w:pPr>
      <w:keepLines/>
      <w:numPr>
        <w:numId w:val="16"/>
      </w:numPr>
      <w:spacing w:before="80" w:after="80"/>
    </w:pPr>
    <w:rPr>
      <w:rFonts w:cs="Arial"/>
      <w:sz w:val="20"/>
    </w:rPr>
  </w:style>
  <w:style w:type="character" w:customStyle="1" w:styleId="SDMDocInfoTextChar">
    <w:name w:val="SDMDocInfoText Char"/>
    <w:link w:val="SDMDocInfoText"/>
    <w:rsid w:val="006351FA"/>
    <w:rPr>
      <w:rFonts w:ascii="Arial" w:eastAsia="Times New Roman" w:hAnsi="Arial" w:cs="Arial"/>
      <w:lang w:eastAsia="de-DE"/>
    </w:rPr>
  </w:style>
  <w:style w:type="paragraph" w:customStyle="1" w:styleId="SDMDocInfoTitle">
    <w:name w:val="SDMDocInfoTitle"/>
    <w:basedOn w:val="Normal"/>
    <w:rsid w:val="006351FA"/>
    <w:pPr>
      <w:keepNext/>
      <w:keepLines/>
      <w:spacing w:before="480" w:after="240"/>
      <w:jc w:val="center"/>
    </w:pPr>
    <w:rPr>
      <w:rFonts w:cs="Arial"/>
      <w:b/>
      <w:szCs w:val="22"/>
    </w:rPr>
  </w:style>
  <w:style w:type="paragraph" w:customStyle="1" w:styleId="SDMSubPara3">
    <w:name w:val="SDMSubPara3"/>
    <w:basedOn w:val="Normal"/>
    <w:rsid w:val="006351FA"/>
    <w:pPr>
      <w:numPr>
        <w:ilvl w:val="3"/>
        <w:numId w:val="21"/>
      </w:numPr>
      <w:spacing w:before="180"/>
    </w:pPr>
  </w:style>
  <w:style w:type="paragraph" w:customStyle="1" w:styleId="SDMSubPara4">
    <w:name w:val="SDMSubPara4"/>
    <w:basedOn w:val="Normal"/>
    <w:rsid w:val="006351FA"/>
    <w:pPr>
      <w:numPr>
        <w:ilvl w:val="4"/>
        <w:numId w:val="21"/>
      </w:numPr>
      <w:spacing w:before="180"/>
    </w:pPr>
  </w:style>
  <w:style w:type="character" w:customStyle="1" w:styleId="TOC1Char">
    <w:name w:val="TOC 1 Char"/>
    <w:link w:val="TOC1"/>
    <w:uiPriority w:val="39"/>
    <w:rsid w:val="006351FA"/>
    <w:rPr>
      <w:rFonts w:ascii="Arial" w:eastAsia="Times New Roman" w:hAnsi="Arial" w:cs="Arial"/>
      <w:b/>
      <w:caps/>
      <w:sz w:val="21"/>
      <w:szCs w:val="21"/>
      <w:lang w:eastAsia="de-DE"/>
    </w:rPr>
  </w:style>
  <w:style w:type="character" w:customStyle="1" w:styleId="TOC2Char">
    <w:name w:val="TOC 2 Char"/>
    <w:link w:val="TOC2"/>
    <w:uiPriority w:val="39"/>
    <w:rsid w:val="006351FA"/>
    <w:rPr>
      <w:rFonts w:ascii="Arial" w:eastAsia="Times New Roman" w:hAnsi="Arial" w:cs="Arial"/>
      <w:sz w:val="21"/>
      <w:szCs w:val="21"/>
      <w:lang w:eastAsia="de-DE"/>
    </w:rPr>
  </w:style>
  <w:style w:type="character" w:customStyle="1" w:styleId="TOC3Char">
    <w:name w:val="TOC 3 Char"/>
    <w:link w:val="TOC3"/>
    <w:uiPriority w:val="39"/>
    <w:rsid w:val="006351FA"/>
    <w:rPr>
      <w:rFonts w:ascii="Arial" w:eastAsia="Times New Roman" w:hAnsi="Arial" w:cs="Arial"/>
      <w:sz w:val="21"/>
      <w:szCs w:val="21"/>
      <w:lang w:eastAsia="de-DE"/>
    </w:rPr>
  </w:style>
  <w:style w:type="paragraph" w:customStyle="1" w:styleId="SDMHeader">
    <w:name w:val="SDMHeader"/>
    <w:basedOn w:val="Header"/>
    <w:rsid w:val="006351FA"/>
    <w:pPr>
      <w:pBdr>
        <w:bottom w:val="single" w:sz="4" w:space="10" w:color="auto"/>
      </w:pBdr>
      <w:tabs>
        <w:tab w:val="clear" w:pos="4320"/>
        <w:tab w:val="clear" w:pos="8640"/>
        <w:tab w:val="right" w:pos="9356"/>
        <w:tab w:val="right" w:pos="14288"/>
      </w:tabs>
    </w:pPr>
    <w:rPr>
      <w:rFonts w:cs="Arial"/>
      <w:sz w:val="20"/>
      <w:szCs w:val="16"/>
    </w:rPr>
  </w:style>
  <w:style w:type="paragraph" w:customStyle="1" w:styleId="SDMDocInfoHeadRow">
    <w:name w:val="SDMDocInfoHeadRow"/>
    <w:basedOn w:val="Normal"/>
    <w:rsid w:val="006351FA"/>
    <w:pPr>
      <w:keepNext/>
      <w:keepLines/>
    </w:pPr>
    <w:rPr>
      <w:rFonts w:cs="Arial"/>
      <w:i/>
      <w:sz w:val="16"/>
      <w:szCs w:val="16"/>
    </w:rPr>
  </w:style>
  <w:style w:type="table" w:customStyle="1" w:styleId="SDMBox">
    <w:name w:val="SDMBox"/>
    <w:basedOn w:val="TableNormal"/>
    <w:rsid w:val="006351FA"/>
    <w:rPr>
      <w:rFonts w:ascii="Arial" w:eastAsia="Times New Roman" w:hAnsi="Arial"/>
    </w:rPr>
    <w:tblPr>
      <w:tblInd w:w="822" w:type="dxa"/>
      <w:tblBorders>
        <w:top w:val="single" w:sz="4" w:space="0" w:color="auto"/>
        <w:left w:val="single" w:sz="4" w:space="0" w:color="auto"/>
        <w:bottom w:val="single" w:sz="4" w:space="0" w:color="auto"/>
        <w:right w:val="single" w:sz="4" w:space="0" w:color="auto"/>
      </w:tblBorders>
      <w:tblCellMar>
        <w:top w:w="28" w:type="dxa"/>
        <w:bottom w:w="28" w:type="dxa"/>
      </w:tblCellMar>
    </w:tblPr>
    <w:trPr>
      <w:cantSplit/>
    </w:trPr>
    <w:tcPr>
      <w:shd w:val="clear" w:color="auto" w:fill="E6E6E6"/>
    </w:tcPr>
    <w:tblStylePr w:type="firstRow">
      <w:pPr>
        <w:keepNext/>
        <w:keepLines/>
        <w:wordWrap/>
      </w:pPr>
      <w:rPr>
        <w:b/>
      </w:rPr>
      <w:tblPr/>
      <w:tcPr>
        <w:tcMar>
          <w:top w:w="57" w:type="dxa"/>
          <w:left w:w="0" w:type="nil"/>
          <w:bottom w:w="57" w:type="dxa"/>
          <w:right w:w="0" w:type="nil"/>
        </w:tcMar>
      </w:tcPr>
    </w:tblStylePr>
    <w:tblStylePr w:type="lastRow">
      <w:pPr>
        <w:keepNext w:val="0"/>
        <w:wordWrap/>
      </w:pPr>
    </w:tblStylePr>
  </w:style>
  <w:style w:type="numbering" w:customStyle="1" w:styleId="SDMParaList">
    <w:name w:val="SDMParaList"/>
    <w:rsid w:val="006351FA"/>
    <w:pPr>
      <w:numPr>
        <w:numId w:val="20"/>
      </w:numPr>
    </w:pPr>
  </w:style>
  <w:style w:type="numbering" w:customStyle="1" w:styleId="SDMHeadList">
    <w:name w:val="SDMHeadList"/>
    <w:uiPriority w:val="99"/>
    <w:rsid w:val="006351FA"/>
    <w:pPr>
      <w:numPr>
        <w:numId w:val="29"/>
      </w:numPr>
    </w:pPr>
  </w:style>
  <w:style w:type="numbering" w:customStyle="1" w:styleId="SDMTableBoxParaNumberedList">
    <w:name w:val="SDMTable&amp;BoxParaNumberedList"/>
    <w:rsid w:val="006351FA"/>
    <w:pPr>
      <w:numPr>
        <w:numId w:val="22"/>
      </w:numPr>
    </w:pPr>
  </w:style>
  <w:style w:type="paragraph" w:customStyle="1" w:styleId="SDMAppTitle">
    <w:name w:val="SDMAppTitle"/>
    <w:basedOn w:val="SDMHead1"/>
    <w:next w:val="SDMApp1"/>
    <w:qFormat/>
    <w:rsid w:val="006351FA"/>
    <w:pPr>
      <w:pageBreakBefore/>
      <w:numPr>
        <w:numId w:val="14"/>
      </w:numPr>
      <w:spacing w:before="120" w:after="600"/>
    </w:pPr>
  </w:style>
  <w:style w:type="paragraph" w:customStyle="1" w:styleId="SDMApp1">
    <w:name w:val="SDMApp1"/>
    <w:basedOn w:val="SDMHead2"/>
    <w:qFormat/>
    <w:rsid w:val="006351FA"/>
    <w:pPr>
      <w:numPr>
        <w:numId w:val="14"/>
      </w:numPr>
      <w:outlineLvl w:val="9"/>
    </w:pPr>
  </w:style>
  <w:style w:type="paragraph" w:customStyle="1" w:styleId="SDMApp2">
    <w:name w:val="SDMApp2"/>
    <w:basedOn w:val="SDMHead3"/>
    <w:qFormat/>
    <w:rsid w:val="006351FA"/>
    <w:pPr>
      <w:numPr>
        <w:numId w:val="14"/>
      </w:numPr>
      <w:outlineLvl w:val="9"/>
    </w:pPr>
  </w:style>
  <w:style w:type="paragraph" w:customStyle="1" w:styleId="SDMApp3">
    <w:name w:val="SDMApp3"/>
    <w:basedOn w:val="SDMHead4"/>
    <w:qFormat/>
    <w:rsid w:val="006351FA"/>
    <w:pPr>
      <w:numPr>
        <w:numId w:val="14"/>
      </w:numPr>
      <w:outlineLvl w:val="9"/>
    </w:pPr>
  </w:style>
  <w:style w:type="paragraph" w:customStyle="1" w:styleId="SDMApp4">
    <w:name w:val="SDMApp4"/>
    <w:basedOn w:val="SDMHead5"/>
    <w:qFormat/>
    <w:rsid w:val="006351FA"/>
    <w:pPr>
      <w:numPr>
        <w:numId w:val="14"/>
      </w:numPr>
      <w:outlineLvl w:val="9"/>
    </w:pPr>
  </w:style>
  <w:style w:type="numbering" w:customStyle="1" w:styleId="SDMAppHeadList">
    <w:name w:val="SDMAppHeadList"/>
    <w:uiPriority w:val="99"/>
    <w:rsid w:val="006351FA"/>
    <w:pPr>
      <w:numPr>
        <w:numId w:val="13"/>
      </w:numPr>
    </w:pPr>
  </w:style>
  <w:style w:type="paragraph" w:customStyle="1" w:styleId="SDMDocRef">
    <w:name w:val="SDMDocRef"/>
    <w:basedOn w:val="Normal"/>
    <w:qFormat/>
    <w:rsid w:val="006351FA"/>
    <w:pPr>
      <w:spacing w:before="100"/>
    </w:pPr>
    <w:rPr>
      <w:b/>
      <w:caps/>
      <w:sz w:val="28"/>
    </w:rPr>
  </w:style>
  <w:style w:type="paragraph" w:customStyle="1" w:styleId="SDMApp5">
    <w:name w:val="SDMApp5"/>
    <w:basedOn w:val="SDMApp4"/>
    <w:qFormat/>
    <w:rsid w:val="006351FA"/>
    <w:pPr>
      <w:numPr>
        <w:ilvl w:val="5"/>
      </w:numPr>
      <w:tabs>
        <w:tab w:val="left" w:pos="1418"/>
      </w:tabs>
    </w:pPr>
  </w:style>
  <w:style w:type="paragraph" w:customStyle="1" w:styleId="SDMTableBoxFigureFootnote">
    <w:name w:val="SDMTableBoxFigureFootnote"/>
    <w:basedOn w:val="Normal"/>
    <w:qFormat/>
    <w:rsid w:val="006351FA"/>
    <w:pPr>
      <w:numPr>
        <w:numId w:val="25"/>
      </w:numPr>
      <w:spacing w:before="120"/>
    </w:pPr>
    <w:rPr>
      <w:sz w:val="20"/>
    </w:rPr>
  </w:style>
  <w:style w:type="paragraph" w:customStyle="1" w:styleId="SDMCovNoteTitle">
    <w:name w:val="SDMCovNoteTitle"/>
    <w:basedOn w:val="Normal"/>
    <w:qFormat/>
    <w:rsid w:val="006351FA"/>
    <w:pPr>
      <w:keepNext/>
      <w:keepLines/>
      <w:suppressAutoHyphens/>
      <w:spacing w:before="240" w:after="840"/>
      <w:jc w:val="center"/>
    </w:pPr>
    <w:rPr>
      <w:b/>
      <w:caps/>
      <w:sz w:val="32"/>
    </w:rPr>
  </w:style>
  <w:style w:type="numbering" w:customStyle="1" w:styleId="SDMCovNoteHeadList">
    <w:name w:val="SDMCovNoteHeadList"/>
    <w:uiPriority w:val="99"/>
    <w:rsid w:val="006351FA"/>
    <w:pPr>
      <w:numPr>
        <w:numId w:val="15"/>
      </w:numPr>
    </w:pPr>
  </w:style>
  <w:style w:type="paragraph" w:customStyle="1" w:styleId="SDMCovNoteHead1">
    <w:name w:val="SDMCovNoteHead1"/>
    <w:basedOn w:val="Normal"/>
    <w:rsid w:val="006351FA"/>
    <w:pPr>
      <w:keepNext/>
      <w:keepLines/>
      <w:numPr>
        <w:numId w:val="15"/>
      </w:numPr>
      <w:suppressAutoHyphens/>
      <w:spacing w:before="240" w:after="60"/>
    </w:pPr>
    <w:rPr>
      <w:b/>
      <w:sz w:val="24"/>
    </w:rPr>
  </w:style>
  <w:style w:type="paragraph" w:customStyle="1" w:styleId="SDMCovNoteHead2">
    <w:name w:val="SDMCovNoteHead2"/>
    <w:basedOn w:val="Normal"/>
    <w:rsid w:val="006351FA"/>
    <w:pPr>
      <w:keepNext/>
      <w:keepLines/>
      <w:numPr>
        <w:ilvl w:val="1"/>
        <w:numId w:val="15"/>
      </w:numPr>
      <w:spacing w:before="240" w:after="60"/>
    </w:pPr>
    <w:rPr>
      <w:b/>
    </w:rPr>
  </w:style>
  <w:style w:type="paragraph" w:customStyle="1" w:styleId="SDMCovNoteHead3">
    <w:name w:val="SDMCovNoteHead3"/>
    <w:basedOn w:val="Normal"/>
    <w:rsid w:val="006351FA"/>
    <w:pPr>
      <w:keepNext/>
      <w:keepLines/>
      <w:numPr>
        <w:ilvl w:val="2"/>
        <w:numId w:val="15"/>
      </w:numPr>
      <w:spacing w:before="240" w:after="60"/>
    </w:pPr>
    <w:rPr>
      <w:b/>
    </w:rPr>
  </w:style>
  <w:style w:type="paragraph" w:styleId="NoSpacing">
    <w:name w:val="No Spacing"/>
    <w:link w:val="NoSpacingChar"/>
    <w:uiPriority w:val="1"/>
    <w:qFormat/>
    <w:rsid w:val="006351FA"/>
    <w:rPr>
      <w:rFonts w:ascii="Calibri" w:hAnsi="Calibri" w:cs="Arial"/>
      <w:sz w:val="22"/>
      <w:szCs w:val="22"/>
      <w:lang w:val="en-US" w:eastAsia="ja-JP"/>
    </w:rPr>
  </w:style>
  <w:style w:type="character" w:customStyle="1" w:styleId="NoSpacingChar">
    <w:name w:val="No Spacing Char"/>
    <w:link w:val="NoSpacing"/>
    <w:uiPriority w:val="1"/>
    <w:rsid w:val="006351FA"/>
    <w:rPr>
      <w:rFonts w:ascii="Calibri" w:hAnsi="Calibri" w:cs="Arial"/>
      <w:sz w:val="22"/>
      <w:szCs w:val="22"/>
      <w:lang w:val="en-US" w:eastAsia="ja-JP"/>
    </w:rPr>
  </w:style>
  <w:style w:type="paragraph" w:customStyle="1" w:styleId="SDMTOCHeading">
    <w:name w:val="SDMTOCHeading"/>
    <w:basedOn w:val="Normal"/>
    <w:qFormat/>
    <w:rsid w:val="006351FA"/>
    <w:pPr>
      <w:keepNext/>
      <w:keepLines/>
      <w:pageBreakBefore/>
      <w:tabs>
        <w:tab w:val="right" w:pos="9356"/>
      </w:tabs>
      <w:spacing w:before="240" w:after="600"/>
    </w:pPr>
    <w:rPr>
      <w:rFonts w:cs="Arial"/>
      <w:b/>
      <w:szCs w:val="22"/>
    </w:rPr>
  </w:style>
  <w:style w:type="numbering" w:customStyle="1" w:styleId="SDMTableBoxFigureFootnoteList">
    <w:name w:val="SDMTableBoxFigureFootnoteList"/>
    <w:uiPriority w:val="99"/>
    <w:rsid w:val="006351FA"/>
    <w:pPr>
      <w:numPr>
        <w:numId w:val="24"/>
      </w:numPr>
    </w:pPr>
  </w:style>
  <w:style w:type="paragraph" w:customStyle="1" w:styleId="SDMTableBoxFigureFootnoteSL1">
    <w:name w:val="SDMTableBoxFigureFootnoteSL1"/>
    <w:basedOn w:val="SDMTableBoxFigureFootnote"/>
    <w:qFormat/>
    <w:rsid w:val="006351FA"/>
    <w:pPr>
      <w:numPr>
        <w:ilvl w:val="1"/>
      </w:numPr>
      <w:spacing w:before="40"/>
    </w:pPr>
  </w:style>
  <w:style w:type="paragraph" w:customStyle="1" w:styleId="SDMTableBoxFigureFootnoteSL2">
    <w:name w:val="SDMTableBoxFigureFootnoteSL2"/>
    <w:basedOn w:val="SDMTableBoxFigureFootnote"/>
    <w:qFormat/>
    <w:rsid w:val="006351FA"/>
    <w:pPr>
      <w:numPr>
        <w:ilvl w:val="2"/>
      </w:numPr>
      <w:spacing w:before="40"/>
    </w:pPr>
  </w:style>
  <w:style w:type="paragraph" w:customStyle="1" w:styleId="SDMTableBoxFigureFootnoteSL3">
    <w:name w:val="SDMTableBoxFigureFootnoteSL3"/>
    <w:basedOn w:val="SDMTableBoxFigureFootnote"/>
    <w:qFormat/>
    <w:rsid w:val="006351FA"/>
    <w:pPr>
      <w:numPr>
        <w:ilvl w:val="3"/>
      </w:numPr>
      <w:spacing w:before="40"/>
    </w:pPr>
  </w:style>
  <w:style w:type="paragraph" w:customStyle="1" w:styleId="SDMTableBoxFigureFootnoteSL4">
    <w:name w:val="SDMTableBoxFigureFootnoteSL4"/>
    <w:basedOn w:val="SDMTableBoxFigureFootnote"/>
    <w:qFormat/>
    <w:rsid w:val="006351FA"/>
    <w:pPr>
      <w:numPr>
        <w:ilvl w:val="4"/>
      </w:numPr>
      <w:spacing w:before="40"/>
    </w:pPr>
  </w:style>
  <w:style w:type="paragraph" w:customStyle="1" w:styleId="SDMTableBoxFigureFootnoteSL5">
    <w:name w:val="SDMTableBoxFigureFootnoteSL5"/>
    <w:basedOn w:val="SDMTableBoxFigureFootnote"/>
    <w:qFormat/>
    <w:rsid w:val="006351FA"/>
    <w:pPr>
      <w:numPr>
        <w:ilvl w:val="5"/>
      </w:numPr>
      <w:spacing w:before="40"/>
    </w:pPr>
  </w:style>
  <w:style w:type="character" w:styleId="PlaceholderText">
    <w:name w:val="Placeholder Text"/>
    <w:basedOn w:val="DefaultParagraphFont"/>
    <w:uiPriority w:val="99"/>
    <w:rsid w:val="006351FA"/>
    <w:rPr>
      <w:color w:val="808080"/>
    </w:rPr>
  </w:style>
  <w:style w:type="paragraph" w:styleId="BalloonText">
    <w:name w:val="Balloon Text"/>
    <w:basedOn w:val="Normal"/>
    <w:link w:val="BalloonTextChar"/>
    <w:rsid w:val="006351FA"/>
    <w:rPr>
      <w:rFonts w:ascii="Tahoma" w:hAnsi="Tahoma" w:cs="Tahoma"/>
      <w:sz w:val="16"/>
      <w:szCs w:val="16"/>
    </w:rPr>
  </w:style>
  <w:style w:type="character" w:customStyle="1" w:styleId="BalloonTextChar">
    <w:name w:val="Balloon Text Char"/>
    <w:basedOn w:val="DefaultParagraphFont"/>
    <w:link w:val="BalloonText"/>
    <w:rsid w:val="006351FA"/>
    <w:rPr>
      <w:rFonts w:ascii="Tahoma" w:eastAsia="Times New Roman" w:hAnsi="Tahoma" w:cs="Tahoma"/>
      <w:sz w:val="16"/>
      <w:szCs w:val="16"/>
      <w:lang w:eastAsia="de-DE"/>
    </w:rPr>
  </w:style>
  <w:style w:type="paragraph" w:styleId="Date">
    <w:name w:val="Date"/>
    <w:basedOn w:val="Normal"/>
    <w:next w:val="Normal"/>
    <w:link w:val="DateChar"/>
    <w:rsid w:val="006351FA"/>
  </w:style>
  <w:style w:type="character" w:customStyle="1" w:styleId="DateChar">
    <w:name w:val="Date Char"/>
    <w:basedOn w:val="DefaultParagraphFont"/>
    <w:link w:val="Date"/>
    <w:rsid w:val="006351FA"/>
    <w:rPr>
      <w:rFonts w:ascii="Arial" w:eastAsia="Times New Roman" w:hAnsi="Arial"/>
      <w:sz w:val="22"/>
      <w:lang w:eastAsia="de-DE"/>
    </w:rPr>
  </w:style>
  <w:style w:type="paragraph" w:customStyle="1" w:styleId="SDMConfidentialMark">
    <w:name w:val="SDMConfidentialMark"/>
    <w:basedOn w:val="Normal"/>
    <w:qFormat/>
    <w:rsid w:val="006351FA"/>
    <w:pPr>
      <w:spacing w:before="1200"/>
      <w:jc w:val="right"/>
    </w:pPr>
    <w:rPr>
      <w:b/>
      <w:caps/>
      <w:spacing w:val="10"/>
      <w:sz w:val="32"/>
    </w:rPr>
  </w:style>
  <w:style w:type="character" w:customStyle="1" w:styleId="Heading1Char">
    <w:name w:val="Heading 1 Char"/>
    <w:basedOn w:val="DefaultParagraphFont"/>
    <w:link w:val="Heading1"/>
    <w:rsid w:val="006351FA"/>
    <w:rPr>
      <w:rFonts w:asciiTheme="majorHAnsi" w:eastAsiaTheme="majorEastAsia" w:hAnsiTheme="majorHAnsi" w:cstheme="majorBidi"/>
      <w:b/>
      <w:bCs/>
      <w:color w:val="365F91" w:themeColor="accent1" w:themeShade="BF"/>
      <w:sz w:val="28"/>
      <w:szCs w:val="28"/>
      <w:lang w:val="en-US" w:eastAsia="en-US"/>
    </w:rPr>
  </w:style>
  <w:style w:type="character" w:customStyle="1" w:styleId="Heading2Char">
    <w:name w:val="Heading 2 Char"/>
    <w:basedOn w:val="DefaultParagraphFont"/>
    <w:link w:val="Heading2"/>
    <w:rsid w:val="006351FA"/>
    <w:rPr>
      <w:rFonts w:asciiTheme="majorHAnsi" w:eastAsiaTheme="majorEastAsia" w:hAnsiTheme="majorHAnsi" w:cstheme="majorBidi"/>
      <w:b/>
      <w:bCs/>
      <w:color w:val="4F81BD" w:themeColor="accent1"/>
      <w:sz w:val="26"/>
      <w:szCs w:val="26"/>
      <w:lang w:val="en-US" w:eastAsia="en-US"/>
    </w:rPr>
  </w:style>
  <w:style w:type="character" w:customStyle="1" w:styleId="Heading3Char">
    <w:name w:val="Heading 3 Char"/>
    <w:basedOn w:val="DefaultParagraphFont"/>
    <w:link w:val="Heading3"/>
    <w:rsid w:val="006351FA"/>
    <w:rPr>
      <w:rFonts w:asciiTheme="majorHAnsi" w:eastAsiaTheme="majorEastAsia" w:hAnsiTheme="majorHAnsi" w:cstheme="majorBidi"/>
      <w:b/>
      <w:bCs/>
      <w:color w:val="4F81BD" w:themeColor="accent1"/>
      <w:sz w:val="24"/>
      <w:szCs w:val="24"/>
      <w:lang w:val="en-US" w:eastAsia="en-US"/>
    </w:rPr>
  </w:style>
  <w:style w:type="character" w:customStyle="1" w:styleId="Heading4Char">
    <w:name w:val="Heading 4 Char"/>
    <w:basedOn w:val="DefaultParagraphFont"/>
    <w:link w:val="Heading4"/>
    <w:rsid w:val="006351FA"/>
    <w:rPr>
      <w:rFonts w:asciiTheme="majorHAnsi" w:eastAsiaTheme="majorEastAsia" w:hAnsiTheme="majorHAnsi" w:cstheme="majorBidi"/>
      <w:b/>
      <w:bCs/>
      <w:i/>
      <w:iCs/>
      <w:color w:val="4F81BD" w:themeColor="accent1"/>
      <w:sz w:val="24"/>
      <w:szCs w:val="24"/>
      <w:lang w:val="en-US" w:eastAsia="en-US"/>
    </w:rPr>
  </w:style>
  <w:style w:type="character" w:customStyle="1" w:styleId="Heading5Char">
    <w:name w:val="Heading 5 Char"/>
    <w:basedOn w:val="DefaultParagraphFont"/>
    <w:link w:val="Heading5"/>
    <w:rsid w:val="006351FA"/>
    <w:rPr>
      <w:rFonts w:asciiTheme="majorHAnsi" w:eastAsiaTheme="majorEastAsia" w:hAnsiTheme="majorHAnsi" w:cstheme="majorBidi"/>
      <w:color w:val="243F60" w:themeColor="accent1" w:themeShade="7F"/>
      <w:sz w:val="24"/>
      <w:szCs w:val="24"/>
      <w:lang w:val="en-US" w:eastAsia="en-US"/>
    </w:rPr>
  </w:style>
  <w:style w:type="character" w:customStyle="1" w:styleId="Heading6Char">
    <w:name w:val="Heading 6 Char"/>
    <w:basedOn w:val="DefaultParagraphFont"/>
    <w:link w:val="Heading6"/>
    <w:rsid w:val="006351FA"/>
    <w:rPr>
      <w:rFonts w:asciiTheme="majorHAnsi" w:eastAsiaTheme="majorEastAsia" w:hAnsiTheme="majorHAnsi" w:cstheme="majorBidi"/>
      <w:i/>
      <w:iCs/>
      <w:color w:val="243F60" w:themeColor="accent1" w:themeShade="7F"/>
      <w:sz w:val="24"/>
      <w:szCs w:val="24"/>
      <w:lang w:val="en-US" w:eastAsia="en-US"/>
    </w:rPr>
  </w:style>
  <w:style w:type="character" w:customStyle="1" w:styleId="Heading7Char">
    <w:name w:val="Heading 7 Char"/>
    <w:basedOn w:val="DefaultParagraphFont"/>
    <w:link w:val="Heading7"/>
    <w:rsid w:val="006351FA"/>
    <w:rPr>
      <w:rFonts w:asciiTheme="majorHAnsi" w:eastAsiaTheme="majorEastAsia" w:hAnsiTheme="majorHAnsi" w:cstheme="majorBidi"/>
      <w:i/>
      <w:iCs/>
      <w:color w:val="404040" w:themeColor="text1" w:themeTint="BF"/>
      <w:sz w:val="24"/>
      <w:szCs w:val="24"/>
      <w:lang w:val="en-US" w:eastAsia="en-US"/>
    </w:rPr>
  </w:style>
  <w:style w:type="character" w:customStyle="1" w:styleId="Heading8Char">
    <w:name w:val="Heading 8 Char"/>
    <w:basedOn w:val="DefaultParagraphFont"/>
    <w:link w:val="Heading8"/>
    <w:rsid w:val="006351FA"/>
    <w:rPr>
      <w:rFonts w:asciiTheme="majorHAnsi" w:eastAsiaTheme="majorEastAsia" w:hAnsiTheme="majorHAnsi" w:cstheme="majorBidi"/>
      <w:color w:val="404040" w:themeColor="text1" w:themeTint="BF"/>
      <w:lang w:val="en-US" w:eastAsia="en-US"/>
    </w:rPr>
  </w:style>
  <w:style w:type="character" w:customStyle="1" w:styleId="Heading9Char">
    <w:name w:val="Heading 9 Char"/>
    <w:basedOn w:val="DefaultParagraphFont"/>
    <w:link w:val="Heading9"/>
    <w:rsid w:val="006351FA"/>
    <w:rPr>
      <w:rFonts w:asciiTheme="majorHAnsi" w:eastAsiaTheme="majorEastAsia" w:hAnsiTheme="majorHAnsi" w:cstheme="majorBidi"/>
      <w:i/>
      <w:iCs/>
      <w:color w:val="404040" w:themeColor="text1" w:themeTint="BF"/>
      <w:lang w:val="en-US" w:eastAsia="en-US"/>
    </w:rPr>
  </w:style>
  <w:style w:type="table" w:customStyle="1" w:styleId="SDMMethTableEmmissions">
    <w:name w:val="SDMMethTableEmmissions"/>
    <w:basedOn w:val="TableNormal"/>
    <w:uiPriority w:val="99"/>
    <w:rsid w:val="006351FA"/>
    <w:rPr>
      <w:rFonts w:ascii="Arial" w:eastAsia="Times New Roman" w:hAnsi="Arial"/>
    </w:rPr>
    <w:tblPr>
      <w:tblStyleRowBandSize w:val="3"/>
      <w:tblStyleColBandSize w:val="1"/>
      <w:tblInd w:w="8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trPr>
      <w:cantSplit/>
    </w:trPr>
    <w:tcPr>
      <w:vAlign w:val="center"/>
    </w:tcPr>
    <w:tblStylePr w:type="firstRow">
      <w:pPr>
        <w:keepNext/>
        <w:keepLines/>
        <w:wordWrap/>
        <w:jc w:val="center"/>
      </w:pPr>
      <w:rPr>
        <w:rFonts w:ascii="Arial" w:hAnsi="Arial"/>
        <w:b/>
        <w:sz w:val="22"/>
        <w:u w:val="none"/>
      </w:rPr>
      <w:tblPr/>
      <w:trPr>
        <w:tblHeader/>
      </w:trPr>
      <w:tcPr>
        <w:tcBorders>
          <w:top w:val="single" w:sz="4" w:space="0" w:color="auto"/>
          <w:left w:val="single" w:sz="4" w:space="0" w:color="auto"/>
          <w:bottom w:val="single" w:sz="12" w:space="0" w:color="auto"/>
          <w:right w:val="single" w:sz="4" w:space="0" w:color="auto"/>
          <w:insideH w:val="nil"/>
          <w:insideV w:val="single" w:sz="4" w:space="0" w:color="auto"/>
          <w:tl2br w:val="nil"/>
          <w:tr2bl w:val="nil"/>
        </w:tcBorders>
        <w:shd w:val="clear" w:color="auto" w:fill="E6E6E6"/>
        <w:tcMar>
          <w:top w:w="113" w:type="dxa"/>
          <w:left w:w="0" w:type="nil"/>
          <w:bottom w:w="113" w:type="dxa"/>
          <w:right w:w="0" w:type="nil"/>
        </w:tcMar>
      </w:tcPr>
    </w:tblStylePr>
    <w:tblStylePr w:type="firstCol">
      <w:pPr>
        <w:keepLines/>
        <w:wordWrap/>
        <w:jc w:val="center"/>
      </w:pPr>
      <w:rPr>
        <w:b/>
      </w:rPr>
    </w:tblStylePr>
    <w:tblStylePr w:type="band2Horz">
      <w:tblPr/>
      <w:tcPr>
        <w:shd w:val="clear" w:color="auto" w:fill="E6E6E6"/>
      </w:tcPr>
    </w:tblStylePr>
  </w:style>
  <w:style w:type="table" w:customStyle="1" w:styleId="SDMMethTableDataParameter">
    <w:name w:val="SDMMethTableDataParameter"/>
    <w:basedOn w:val="TableNormal"/>
    <w:uiPriority w:val="99"/>
    <w:rsid w:val="006351FA"/>
    <w:rPr>
      <w:rFonts w:ascii="Arial" w:eastAsia="Times New Roman" w:hAnsi="Arial"/>
    </w:rPr>
    <w:tblPr>
      <w:tblInd w:w="8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trPr>
      <w:cantSplit/>
    </w:trPr>
    <w:tblStylePr w:type="firstRow">
      <w:pPr>
        <w:keepNext/>
        <w:keepLines/>
        <w:wordWrap/>
      </w:pPr>
      <w:rPr>
        <w:b/>
      </w:rPr>
      <w:tblPr/>
      <w:tcPr>
        <w:tcMar>
          <w:top w:w="62" w:type="dxa"/>
          <w:left w:w="0" w:type="nil"/>
          <w:bottom w:w="62" w:type="dxa"/>
          <w:right w:w="0" w:type="nil"/>
        </w:tcMar>
      </w:tcPr>
    </w:tblStylePr>
    <w:tblStylePr w:type="firstCol">
      <w:tblPr/>
      <w:tcPr>
        <w:shd w:val="clear" w:color="auto" w:fill="E6E6E6"/>
      </w:tcPr>
    </w:tblStylePr>
  </w:style>
  <w:style w:type="paragraph" w:customStyle="1" w:styleId="SDMMethCaptionNestedTableDataParameter">
    <w:name w:val="SDMMethCaptionNestedTableDataParameter"/>
    <w:basedOn w:val="Caption"/>
    <w:qFormat/>
    <w:rsid w:val="006351FA"/>
    <w:pPr>
      <w:ind w:left="1531"/>
    </w:pPr>
  </w:style>
  <w:style w:type="table" w:customStyle="1" w:styleId="SDMMethTable">
    <w:name w:val="SDMMethTable"/>
    <w:basedOn w:val="SDMTable"/>
    <w:uiPriority w:val="99"/>
    <w:rsid w:val="006351FA"/>
    <w:tblPr/>
    <w:tblStylePr w:type="firstRow">
      <w:pPr>
        <w:keepNext/>
        <w:keepLines/>
        <w:wordWrap/>
        <w:jc w:val="center"/>
      </w:pPr>
      <w:rPr>
        <w:b/>
      </w:rPr>
      <w:tblPr/>
      <w:trPr>
        <w:tblHeader/>
      </w:trPr>
      <w:tcPr>
        <w:tcBorders>
          <w:top w:val="single" w:sz="4" w:space="0" w:color="auto"/>
          <w:left w:val="single" w:sz="4" w:space="0" w:color="auto"/>
          <w:bottom w:val="single" w:sz="12" w:space="0" w:color="auto"/>
          <w:right w:val="single" w:sz="4" w:space="0" w:color="auto"/>
          <w:insideH w:val="nil"/>
          <w:insideV w:val="nil"/>
          <w:tl2br w:val="nil"/>
          <w:tr2bl w:val="nil"/>
        </w:tcBorders>
        <w:shd w:val="clear" w:color="auto" w:fill="E6E6E6"/>
        <w:tcMar>
          <w:top w:w="57" w:type="dxa"/>
          <w:left w:w="0" w:type="nil"/>
          <w:bottom w:w="57" w:type="dxa"/>
          <w:right w:w="0" w:type="nil"/>
        </w:tcMar>
        <w:vAlign w:val="center"/>
      </w:tcPr>
    </w:tblStylePr>
    <w:tblStylePr w:type="lastRow">
      <w:pPr>
        <w:keepNext w:val="0"/>
        <w:wordWrap/>
      </w:pPr>
    </w:tblStylePr>
    <w:tblStylePr w:type="firstCol">
      <w:rPr>
        <w:b/>
      </w:rPr>
    </w:tblStylePr>
  </w:style>
  <w:style w:type="table" w:customStyle="1" w:styleId="SDMMethTableEquationParameters">
    <w:name w:val="SDMMethTableEquationParameters"/>
    <w:basedOn w:val="TableNormal"/>
    <w:uiPriority w:val="99"/>
    <w:rsid w:val="006351FA"/>
    <w:rPr>
      <w:rFonts w:ascii="Arial" w:eastAsia="Times New Roman" w:hAnsi="Arial"/>
      <w:sz w:val="22"/>
    </w:rPr>
    <w:tblPr>
      <w:tblInd w:w="680" w:type="dxa"/>
      <w:tblCellMar>
        <w:top w:w="85" w:type="dxa"/>
        <w:bottom w:w="28" w:type="dxa"/>
      </w:tblCellMar>
    </w:tblPr>
    <w:trPr>
      <w:cantSplit/>
    </w:trPr>
    <w:tcPr>
      <w:vAlign w:val="center"/>
    </w:tcPr>
  </w:style>
  <w:style w:type="paragraph" w:customStyle="1" w:styleId="SDMMethCaptionEquationParametersTable">
    <w:name w:val="SDMMethCaptionEquationParametersTable"/>
    <w:basedOn w:val="Caption"/>
    <w:qFormat/>
    <w:rsid w:val="006351FA"/>
    <w:pPr>
      <w:spacing w:before="180" w:after="0"/>
    </w:pPr>
    <w:rPr>
      <w:b w:val="0"/>
      <w:sz w:val="22"/>
    </w:rPr>
  </w:style>
  <w:style w:type="paragraph" w:customStyle="1" w:styleId="SDMMethEquation">
    <w:name w:val="SDMMethEquation"/>
    <w:basedOn w:val="SDMPara"/>
    <w:qFormat/>
    <w:rsid w:val="006351FA"/>
    <w:pPr>
      <w:keepLines/>
      <w:numPr>
        <w:numId w:val="0"/>
      </w:numPr>
      <w:spacing w:before="360" w:line="360" w:lineRule="auto"/>
    </w:pPr>
  </w:style>
  <w:style w:type="table" w:customStyle="1" w:styleId="SDMMethTableEquation">
    <w:name w:val="SDMMethTableEquation"/>
    <w:basedOn w:val="TableNormal"/>
    <w:uiPriority w:val="99"/>
    <w:rsid w:val="006351FA"/>
    <w:rPr>
      <w:rFonts w:ascii="Arial" w:eastAsia="Times New Roman" w:hAnsi="Arial"/>
      <w:sz w:val="22"/>
    </w:rPr>
    <w:tblPr>
      <w:tblInd w:w="680" w:type="dxa"/>
    </w:tblPr>
    <w:trPr>
      <w:cantSplit/>
    </w:trPr>
  </w:style>
  <w:style w:type="paragraph" w:customStyle="1" w:styleId="SDMTableBoxParaNotNumbered">
    <w:name w:val="SDMTable&amp;BoxParaNotNumbered"/>
    <w:basedOn w:val="Normal"/>
    <w:qFormat/>
    <w:rsid w:val="006351FA"/>
    <w:pPr>
      <w:jc w:val="left"/>
    </w:pPr>
    <w:rPr>
      <w:sz w:val="20"/>
    </w:rPr>
  </w:style>
  <w:style w:type="paragraph" w:customStyle="1" w:styleId="SDMTableBoxParaNumbered">
    <w:name w:val="SDMTable&amp;BoxParaNumbered"/>
    <w:basedOn w:val="Normal"/>
    <w:qFormat/>
    <w:rsid w:val="006351FA"/>
    <w:pPr>
      <w:numPr>
        <w:numId w:val="22"/>
      </w:numPr>
      <w:jc w:val="left"/>
    </w:pPr>
    <w:rPr>
      <w:sz w:val="20"/>
    </w:rPr>
  </w:style>
  <w:style w:type="paragraph" w:customStyle="1" w:styleId="SDMMethEquationNr">
    <w:name w:val="SDMMethEquationNr"/>
    <w:basedOn w:val="SDMMethEquation"/>
    <w:qFormat/>
    <w:rsid w:val="006351FA"/>
    <w:pPr>
      <w:keepNext/>
      <w:numPr>
        <w:numId w:val="19"/>
      </w:numPr>
      <w:jc w:val="right"/>
    </w:pPr>
    <w:rPr>
      <w:sz w:val="20"/>
    </w:rPr>
  </w:style>
  <w:style w:type="numbering" w:customStyle="1" w:styleId="SDMMethEquationNrList">
    <w:name w:val="SDMMethEquationNrList"/>
    <w:uiPriority w:val="99"/>
    <w:rsid w:val="006351FA"/>
    <w:pPr>
      <w:numPr>
        <w:numId w:val="19"/>
      </w:numPr>
    </w:pPr>
  </w:style>
  <w:style w:type="paragraph" w:styleId="ListParagraph">
    <w:name w:val="List Paragraph"/>
    <w:basedOn w:val="Normal"/>
    <w:uiPriority w:val="34"/>
    <w:qFormat/>
    <w:rsid w:val="006351FA"/>
    <w:pPr>
      <w:ind w:left="720"/>
      <w:contextualSpacing/>
    </w:pPr>
  </w:style>
  <w:style w:type="table" w:customStyle="1" w:styleId="SDMTableFullPage">
    <w:name w:val="SDMTableFullPage"/>
    <w:basedOn w:val="SDMTable"/>
    <w:uiPriority w:val="99"/>
    <w:rsid w:val="006351FA"/>
    <w:tblPr>
      <w:jc w:val="center"/>
      <w:tblInd w:w="0" w:type="dxa"/>
    </w:tblPr>
    <w:trPr>
      <w:jc w:val="center"/>
    </w:trPr>
    <w:tblStylePr w:type="firstRow">
      <w:pPr>
        <w:keepNext/>
        <w:keepLines/>
        <w:wordWrap/>
        <w:jc w:val="center"/>
      </w:pPr>
      <w:rPr>
        <w:b/>
      </w:rPr>
      <w:tblPr/>
      <w:trPr>
        <w:cantSplit w:val="0"/>
        <w:tblHeader/>
      </w:trPr>
      <w:tcPr>
        <w:tcBorders>
          <w:top w:val="single" w:sz="4" w:space="0" w:color="auto"/>
          <w:left w:val="single" w:sz="4" w:space="0" w:color="auto"/>
          <w:bottom w:val="single" w:sz="12" w:space="0" w:color="auto"/>
          <w:right w:val="single" w:sz="4" w:space="0" w:color="auto"/>
          <w:insideH w:val="nil"/>
          <w:insideV w:val="nil"/>
          <w:tl2br w:val="nil"/>
          <w:tr2bl w:val="nil"/>
        </w:tcBorders>
        <w:tcMar>
          <w:top w:w="57" w:type="dxa"/>
          <w:left w:w="0" w:type="nil"/>
          <w:bottom w:w="57" w:type="dxa"/>
          <w:right w:w="0" w:type="nil"/>
        </w:tcMar>
        <w:vAlign w:val="center"/>
      </w:tcPr>
    </w:tblStylePr>
    <w:tblStylePr w:type="lastRow">
      <w:pPr>
        <w:keepNext w:val="0"/>
        <w:wordWrap/>
      </w:pPr>
    </w:tblStylePr>
    <w:tblStylePr w:type="firstCol">
      <w:rPr>
        <w:b/>
      </w:rPr>
    </w:tblStylePr>
  </w:style>
  <w:style w:type="table" w:customStyle="1" w:styleId="SDMMethTableFullPage">
    <w:name w:val="SDMMethTableFullPage"/>
    <w:basedOn w:val="SDMMethTable"/>
    <w:uiPriority w:val="99"/>
    <w:rsid w:val="006351FA"/>
    <w:tblPr>
      <w:jc w:val="center"/>
      <w:tblInd w:w="0" w:type="dxa"/>
    </w:tblPr>
    <w:trPr>
      <w:jc w:val="center"/>
    </w:trPr>
    <w:tblStylePr w:type="firstRow">
      <w:pPr>
        <w:keepNext/>
        <w:keepLines/>
        <w:wordWrap/>
        <w:jc w:val="center"/>
      </w:pPr>
      <w:rPr>
        <w:b/>
      </w:rPr>
      <w:tblPr/>
      <w:trPr>
        <w:cantSplit w:val="0"/>
        <w:tblHeader/>
      </w:trPr>
      <w:tcPr>
        <w:tcBorders>
          <w:top w:val="single" w:sz="4" w:space="0" w:color="auto"/>
          <w:left w:val="single" w:sz="4" w:space="0" w:color="auto"/>
          <w:bottom w:val="single" w:sz="12" w:space="0" w:color="auto"/>
          <w:right w:val="single" w:sz="4" w:space="0" w:color="auto"/>
          <w:insideH w:val="nil"/>
          <w:insideV w:val="nil"/>
          <w:tl2br w:val="nil"/>
          <w:tr2bl w:val="nil"/>
        </w:tcBorders>
        <w:shd w:val="clear" w:color="auto" w:fill="E6E6E6"/>
        <w:tcMar>
          <w:top w:w="57" w:type="dxa"/>
          <w:left w:w="0" w:type="nil"/>
          <w:bottom w:w="57" w:type="dxa"/>
          <w:right w:w="0" w:type="nil"/>
        </w:tcMar>
        <w:vAlign w:val="center"/>
      </w:tcPr>
    </w:tblStylePr>
    <w:tblStylePr w:type="lastRow">
      <w:pPr>
        <w:keepNext w:val="0"/>
        <w:wordWrap/>
      </w:pPr>
    </w:tblStylePr>
    <w:tblStylePr w:type="firstCol">
      <w:rPr>
        <w:b/>
      </w:rPr>
    </w:tblStylePr>
  </w:style>
  <w:style w:type="paragraph" w:customStyle="1" w:styleId="CaptionFullPage">
    <w:name w:val="CaptionFullPage"/>
    <w:basedOn w:val="Caption"/>
    <w:qFormat/>
    <w:rsid w:val="006351FA"/>
    <w:pPr>
      <w:ind w:left="0" w:firstLine="0"/>
    </w:pPr>
  </w:style>
  <w:style w:type="character" w:styleId="FootnoteReference">
    <w:name w:val="footnote reference"/>
    <w:basedOn w:val="DefaultParagraphFont"/>
    <w:rsid w:val="006351FA"/>
    <w:rPr>
      <w:vertAlign w:val="superscript"/>
    </w:rPr>
  </w:style>
  <w:style w:type="numbering" w:customStyle="1" w:styleId="SDMFootnoteList">
    <w:name w:val="SDMFootnoteList"/>
    <w:uiPriority w:val="99"/>
    <w:rsid w:val="006351FA"/>
    <w:pPr>
      <w:numPr>
        <w:numId w:val="17"/>
      </w:numPr>
    </w:pPr>
  </w:style>
  <w:style w:type="numbering" w:customStyle="1" w:styleId="SDMDocInfoTextBullets">
    <w:name w:val="SDMDocInfoTextBullets"/>
    <w:uiPriority w:val="99"/>
    <w:rsid w:val="006351FA"/>
    <w:pPr>
      <w:numPr>
        <w:numId w:val="16"/>
      </w:numPr>
    </w:pPr>
  </w:style>
  <w:style w:type="table" w:customStyle="1" w:styleId="SDMBoxFullPage">
    <w:name w:val="SDMBoxFullPage"/>
    <w:basedOn w:val="SDMBox"/>
    <w:uiPriority w:val="99"/>
    <w:rsid w:val="006351FA"/>
    <w:tblPr>
      <w:jc w:val="center"/>
      <w:tblInd w:w="0" w:type="dxa"/>
    </w:tblPr>
    <w:trPr>
      <w:jc w:val="center"/>
    </w:trPr>
    <w:tblStylePr w:type="firstRow">
      <w:pPr>
        <w:keepNext/>
        <w:keepLines/>
        <w:wordWrap/>
      </w:pPr>
      <w:rPr>
        <w:b/>
      </w:rPr>
      <w:tblPr/>
      <w:tcPr>
        <w:tcMar>
          <w:top w:w="57" w:type="dxa"/>
          <w:left w:w="0" w:type="nil"/>
          <w:bottom w:w="57" w:type="dxa"/>
          <w:right w:w="0" w:type="nil"/>
        </w:tcMar>
      </w:tcPr>
    </w:tblStylePr>
    <w:tblStylePr w:type="lastRow">
      <w:pPr>
        <w:keepNext w:val="0"/>
        <w:wordWrap/>
      </w:pPr>
    </w:tblStylePr>
  </w:style>
  <w:style w:type="paragraph" w:customStyle="1" w:styleId="SDMTableBoxFigureFootnoteFullPage">
    <w:name w:val="SDMTableBoxFigureFootnoteFullPage"/>
    <w:basedOn w:val="SDMTableBoxFigureFootnote"/>
    <w:rsid w:val="006351FA"/>
    <w:pPr>
      <w:numPr>
        <w:numId w:val="26"/>
      </w:numPr>
    </w:pPr>
  </w:style>
  <w:style w:type="paragraph" w:customStyle="1" w:styleId="SDMTableBoxFigureFootnoteSL1FullPage">
    <w:name w:val="SDMTableBoxFigureFootnoteSL1FullPage"/>
    <w:basedOn w:val="SDMTableBoxFigureFootnoteSL1"/>
    <w:rsid w:val="006351FA"/>
    <w:pPr>
      <w:numPr>
        <w:numId w:val="26"/>
      </w:numPr>
    </w:pPr>
  </w:style>
  <w:style w:type="paragraph" w:customStyle="1" w:styleId="SDMTableBoxFigureFootnoteSL2FullPage">
    <w:name w:val="SDMTableBoxFigureFootnoteSL2FullPage"/>
    <w:basedOn w:val="SDMTableBoxFigureFootnoteSL2"/>
    <w:rsid w:val="006351FA"/>
    <w:pPr>
      <w:numPr>
        <w:numId w:val="26"/>
      </w:numPr>
    </w:pPr>
  </w:style>
  <w:style w:type="paragraph" w:customStyle="1" w:styleId="SDMTableBoxFigureFootnoteSL3FullPage">
    <w:name w:val="SDMTableBoxFigureFootnoteSL3FullPage"/>
    <w:basedOn w:val="SDMTableBoxFigureFootnoteSL3"/>
    <w:rsid w:val="006351FA"/>
    <w:pPr>
      <w:numPr>
        <w:numId w:val="26"/>
      </w:numPr>
    </w:pPr>
  </w:style>
  <w:style w:type="paragraph" w:customStyle="1" w:styleId="SDMTableBoxFigureFootnoteSL4FullPage">
    <w:name w:val="SDMTableBoxFigureFootnoteSL4FullPage"/>
    <w:basedOn w:val="SDMTableBoxFigureFootnoteSL4"/>
    <w:rsid w:val="006351FA"/>
    <w:pPr>
      <w:numPr>
        <w:numId w:val="26"/>
      </w:numPr>
    </w:pPr>
  </w:style>
  <w:style w:type="paragraph" w:customStyle="1" w:styleId="SDMTableBoxFigureFootnoteSL5FullPage">
    <w:name w:val="SDMTableBoxFigureFootnoteSL5FullPage"/>
    <w:basedOn w:val="SDMTableBoxFigureFootnoteSL5"/>
    <w:rsid w:val="006351FA"/>
    <w:pPr>
      <w:numPr>
        <w:numId w:val="26"/>
      </w:numPr>
    </w:pPr>
  </w:style>
  <w:style w:type="numbering" w:customStyle="1" w:styleId="SDMTableBoxFigureFootnoteFullPageList">
    <w:name w:val="SDMTableBoxFigureFootnoteFullPageList"/>
    <w:uiPriority w:val="99"/>
    <w:rsid w:val="006351FA"/>
    <w:pPr>
      <w:numPr>
        <w:numId w:val="23"/>
      </w:numPr>
    </w:pPr>
  </w:style>
  <w:style w:type="table" w:customStyle="1" w:styleId="SDMMethTableFullPage1">
    <w:name w:val="SDMMethTableFullPage1"/>
    <w:basedOn w:val="SDMMethTable"/>
    <w:uiPriority w:val="99"/>
    <w:rsid w:val="009D0F50"/>
    <w:tblPr>
      <w:jc w:val="center"/>
    </w:tblPr>
    <w:trPr>
      <w:jc w:val="center"/>
    </w:trPr>
    <w:tcPr>
      <w:tcBorders>
        <w:top w:val="single" w:sz="4" w:space="0" w:color="auto"/>
        <w:left w:val="single" w:sz="4" w:space="0" w:color="auto"/>
        <w:bottom w:val="single" w:sz="12" w:space="0" w:color="auto"/>
        <w:right w:val="single" w:sz="4" w:space="0" w:color="auto"/>
        <w:insideH w:val="nil"/>
        <w:insideV w:val="nil"/>
        <w:tl2br w:val="nil"/>
        <w:tr2bl w:val="nil"/>
      </w:tcBorders>
      <w:shd w:val="clear" w:color="auto" w:fill="E6E6E6"/>
    </w:tcPr>
    <w:tblStylePr w:type="firstRow">
      <w:pPr>
        <w:keepNext/>
        <w:keepLines/>
        <w:wordWrap/>
        <w:jc w:val="center"/>
      </w:pPr>
      <w:rPr>
        <w:b/>
      </w:rPr>
      <w:tblPr/>
      <w:trPr>
        <w:tblHeader/>
      </w:trPr>
      <w:tcPr>
        <w:tcBorders>
          <w:top w:val="single" w:sz="4" w:space="0" w:color="auto"/>
          <w:left w:val="single" w:sz="4" w:space="0" w:color="auto"/>
          <w:bottom w:val="single" w:sz="12" w:space="0" w:color="auto"/>
          <w:right w:val="single" w:sz="4" w:space="0" w:color="auto"/>
          <w:insideH w:val="nil"/>
          <w:insideV w:val="nil"/>
          <w:tl2br w:val="nil"/>
          <w:tr2bl w:val="nil"/>
        </w:tcBorders>
        <w:shd w:val="clear" w:color="auto" w:fill="E6E6E6"/>
        <w:tcMar>
          <w:top w:w="57" w:type="dxa"/>
          <w:left w:w="0" w:type="nil"/>
          <w:bottom w:w="57" w:type="dxa"/>
          <w:right w:w="0" w:type="nil"/>
        </w:tcMar>
        <w:vAlign w:val="center"/>
      </w:tcPr>
    </w:tblStylePr>
    <w:tblStylePr w:type="lastRow">
      <w:pPr>
        <w:keepNext w:val="0"/>
        <w:wordWrap/>
      </w:pPr>
    </w:tblStylePr>
    <w:tblStylePr w:type="firstCol">
      <w:rPr>
        <w:b/>
      </w:rPr>
    </w:tblStylePr>
  </w:style>
  <w:style w:type="numbering" w:customStyle="1" w:styleId="SDMMethEquationNumberingList">
    <w:name w:val="SDMMethEquationNumberingList"/>
    <w:uiPriority w:val="99"/>
    <w:rsid w:val="00D9066E"/>
    <w:pPr>
      <w:numPr>
        <w:numId w:val="1"/>
      </w:numPr>
    </w:pPr>
  </w:style>
  <w:style w:type="paragraph" w:customStyle="1" w:styleId="CaptionLandscape">
    <w:name w:val="CaptionLandscape"/>
    <w:basedOn w:val="Caption"/>
    <w:qFormat/>
    <w:rsid w:val="00D9066E"/>
    <w:pPr>
      <w:ind w:left="0" w:firstLine="0"/>
    </w:pPr>
  </w:style>
  <w:style w:type="table" w:customStyle="1" w:styleId="SDMMethTableFullWidth">
    <w:name w:val="SDMMethTableFullWidth"/>
    <w:basedOn w:val="SDMMethTable"/>
    <w:uiPriority w:val="99"/>
    <w:rsid w:val="009D0F50"/>
    <w:tblPr>
      <w:jc w:val="center"/>
    </w:tblPr>
    <w:trPr>
      <w:jc w:val="center"/>
    </w:trPr>
    <w:tcPr>
      <w:tcBorders>
        <w:top w:val="single" w:sz="4" w:space="0" w:color="auto"/>
        <w:left w:val="single" w:sz="4" w:space="0" w:color="auto"/>
        <w:bottom w:val="single" w:sz="12" w:space="0" w:color="auto"/>
        <w:right w:val="single" w:sz="4" w:space="0" w:color="auto"/>
        <w:insideH w:val="nil"/>
        <w:insideV w:val="nil"/>
        <w:tl2br w:val="nil"/>
        <w:tr2bl w:val="nil"/>
      </w:tcBorders>
      <w:shd w:val="clear" w:color="auto" w:fill="E6E6E6"/>
    </w:tcPr>
    <w:tblStylePr w:type="firstRow">
      <w:pPr>
        <w:keepNext/>
        <w:keepLines/>
        <w:wordWrap/>
        <w:jc w:val="center"/>
      </w:pPr>
      <w:rPr>
        <w:b/>
      </w:rPr>
      <w:tblPr/>
      <w:trPr>
        <w:tblHeader/>
      </w:trPr>
      <w:tcPr>
        <w:tcBorders>
          <w:top w:val="single" w:sz="4" w:space="0" w:color="auto"/>
          <w:left w:val="single" w:sz="4" w:space="0" w:color="auto"/>
          <w:bottom w:val="single" w:sz="12" w:space="0" w:color="auto"/>
          <w:right w:val="single" w:sz="4" w:space="0" w:color="auto"/>
          <w:insideH w:val="nil"/>
          <w:insideV w:val="nil"/>
          <w:tl2br w:val="nil"/>
          <w:tr2bl w:val="nil"/>
        </w:tcBorders>
        <w:shd w:val="clear" w:color="auto" w:fill="E6E6E6"/>
        <w:tcMar>
          <w:top w:w="57" w:type="dxa"/>
          <w:left w:w="0" w:type="nil"/>
          <w:bottom w:w="57" w:type="dxa"/>
          <w:right w:w="0" w:type="nil"/>
        </w:tcMar>
        <w:vAlign w:val="center"/>
      </w:tcPr>
    </w:tblStylePr>
    <w:tblStylePr w:type="lastRow">
      <w:pPr>
        <w:keepNext w:val="0"/>
        <w:wordWrap/>
      </w:pPr>
    </w:tblStylePr>
    <w:tblStylePr w:type="firstCol">
      <w:rPr>
        <w:b/>
      </w:rPr>
    </w:tblStylePr>
  </w:style>
  <w:style w:type="numbering" w:customStyle="1" w:styleId="SDMTablesFiguresNoteList">
    <w:name w:val="SDMTables&amp;FiguresNoteList"/>
    <w:uiPriority w:val="99"/>
    <w:rsid w:val="00D9066E"/>
    <w:pPr>
      <w:numPr>
        <w:numId w:val="2"/>
      </w:numPr>
    </w:pPr>
  </w:style>
  <w:style w:type="numbering" w:customStyle="1" w:styleId="SDMTableBoxParaList">
    <w:name w:val="SDMTable&amp;BoxParaList"/>
    <w:rsid w:val="00D9066E"/>
    <w:pPr>
      <w:numPr>
        <w:numId w:val="3"/>
      </w:numPr>
    </w:pPr>
  </w:style>
  <w:style w:type="paragraph" w:customStyle="1" w:styleId="RegPara">
    <w:name w:val="RegPara"/>
    <w:basedOn w:val="Normal"/>
    <w:rsid w:val="009D0F50"/>
    <w:pPr>
      <w:tabs>
        <w:tab w:val="num" w:pos="720"/>
      </w:tabs>
      <w:spacing w:before="180"/>
      <w:jc w:val="left"/>
    </w:pPr>
    <w:rPr>
      <w:rFonts w:ascii="Times New Roman" w:hAnsi="Times New Roman"/>
      <w:lang w:val="en-US" w:eastAsia="de-CH"/>
    </w:rPr>
  </w:style>
  <w:style w:type="paragraph" w:customStyle="1" w:styleId="Bulletedtext">
    <w:name w:val="Bulleted text"/>
    <w:basedOn w:val="Normal"/>
    <w:rsid w:val="009D0F50"/>
    <w:pPr>
      <w:numPr>
        <w:numId w:val="4"/>
      </w:numPr>
      <w:jc w:val="left"/>
    </w:pPr>
    <w:rPr>
      <w:rFonts w:ascii="Times New Roman" w:hAnsi="Times New Roman"/>
      <w:lang w:val="en-US" w:eastAsia="de-CH"/>
    </w:rPr>
  </w:style>
  <w:style w:type="paragraph" w:customStyle="1" w:styleId="variable">
    <w:name w:val="variable"/>
    <w:basedOn w:val="Normal"/>
    <w:autoRedefine/>
    <w:rsid w:val="009D0F50"/>
    <w:pPr>
      <w:jc w:val="left"/>
    </w:pPr>
    <w:rPr>
      <w:rFonts w:ascii="Times New Roman" w:hAnsi="Times New Roman"/>
      <w:lang w:val="en-US" w:eastAsia="de-CH"/>
    </w:rPr>
  </w:style>
  <w:style w:type="paragraph" w:customStyle="1" w:styleId="texto">
    <w:name w:val="texto"/>
    <w:basedOn w:val="Normal"/>
    <w:rsid w:val="009D0F50"/>
    <w:pPr>
      <w:spacing w:before="100" w:beforeAutospacing="1" w:after="100" w:afterAutospacing="1"/>
      <w:jc w:val="left"/>
    </w:pPr>
    <w:rPr>
      <w:rFonts w:ascii="Times New Roman" w:hAnsi="Times New Roman"/>
      <w:sz w:val="24"/>
      <w:lang w:val="en-US" w:eastAsia="de-CH"/>
    </w:rPr>
  </w:style>
  <w:style w:type="character" w:styleId="EndnoteReference">
    <w:name w:val="endnote reference"/>
    <w:basedOn w:val="DefaultParagraphFont"/>
    <w:rsid w:val="009D0F50"/>
    <w:rPr>
      <w:vertAlign w:val="superscript"/>
    </w:rPr>
  </w:style>
  <w:style w:type="paragraph" w:customStyle="1" w:styleId="TableColumnHeading">
    <w:name w:val="TableColumnHeading"/>
    <w:basedOn w:val="Normal"/>
    <w:uiPriority w:val="99"/>
    <w:rsid w:val="00D9066E"/>
    <w:pPr>
      <w:tabs>
        <w:tab w:val="num" w:pos="0"/>
      </w:tabs>
      <w:spacing w:before="40" w:after="40"/>
      <w:jc w:val="center"/>
    </w:pPr>
    <w:rPr>
      <w:b/>
    </w:rPr>
  </w:style>
  <w:style w:type="paragraph" w:styleId="HTMLPreformatted">
    <w:name w:val="HTML Preformatted"/>
    <w:basedOn w:val="Normal"/>
    <w:link w:val="HTMLPreformattedChar"/>
    <w:uiPriority w:val="99"/>
    <w:rsid w:val="009D0F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color w:val="000000"/>
      <w:sz w:val="20"/>
      <w:lang w:val="es-ES" w:eastAsia="es-ES"/>
    </w:rPr>
  </w:style>
  <w:style w:type="character" w:customStyle="1" w:styleId="HTMLPreformattedChar">
    <w:name w:val="HTML Preformatted Char"/>
    <w:basedOn w:val="DefaultParagraphFont"/>
    <w:link w:val="HTMLPreformatted"/>
    <w:uiPriority w:val="99"/>
    <w:rsid w:val="009D0F50"/>
    <w:rPr>
      <w:rFonts w:ascii="Courier New" w:eastAsia="MS Mincho" w:hAnsi="Courier New" w:cs="Courier New"/>
      <w:color w:val="000000"/>
      <w:lang w:val="es-ES" w:eastAsia="es-ES"/>
    </w:rPr>
  </w:style>
  <w:style w:type="paragraph" w:styleId="NormalWeb">
    <w:name w:val="Normal (Web)"/>
    <w:basedOn w:val="Normal"/>
    <w:uiPriority w:val="99"/>
    <w:semiHidden/>
    <w:unhideWhenUsed/>
    <w:rsid w:val="009D0F50"/>
    <w:pPr>
      <w:spacing w:before="100" w:beforeAutospacing="1" w:after="100" w:afterAutospacing="1"/>
      <w:jc w:val="left"/>
    </w:pPr>
    <w:rPr>
      <w:rFonts w:ascii="Times New Roman" w:eastAsiaTheme="minorEastAsia" w:hAnsi="Times New Roman"/>
      <w:sz w:val="24"/>
      <w:szCs w:val="24"/>
      <w:lang w:val="en-US" w:eastAsia="en-US"/>
    </w:rPr>
  </w:style>
  <w:style w:type="numbering" w:customStyle="1" w:styleId="SDMMethEquationList">
    <w:name w:val="SDMMethEquationList"/>
    <w:uiPriority w:val="99"/>
    <w:rsid w:val="00D9066E"/>
    <w:pPr>
      <w:numPr>
        <w:numId w:val="5"/>
      </w:numPr>
    </w:pPr>
  </w:style>
  <w:style w:type="table" w:styleId="TableGrid">
    <w:name w:val="Table Grid"/>
    <w:basedOn w:val="TableNormal"/>
    <w:uiPriority w:val="39"/>
    <w:rsid w:val="00D9066E"/>
    <w:rPr>
      <w:lang w:val="en-US" w:eastAsia="zh-CN"/>
    </w:rPr>
    <w:tblPr/>
  </w:style>
  <w:style w:type="paragraph" w:customStyle="1" w:styleId="ParaTickBox">
    <w:name w:val="ParaTickBox"/>
    <w:basedOn w:val="Normal"/>
    <w:link w:val="ParaTickBoxChar"/>
    <w:rsid w:val="00460328"/>
    <w:pPr>
      <w:tabs>
        <w:tab w:val="left" w:pos="510"/>
      </w:tabs>
      <w:spacing w:before="60" w:after="60"/>
      <w:ind w:left="511" w:hanging="454"/>
      <w:jc w:val="left"/>
    </w:pPr>
    <w:rPr>
      <w:rFonts w:cs="Arial"/>
      <w:sz w:val="20"/>
      <w:szCs w:val="18"/>
      <w:lang w:eastAsia="en-US"/>
    </w:rPr>
  </w:style>
  <w:style w:type="character" w:customStyle="1" w:styleId="ParaTickBoxChar">
    <w:name w:val="ParaTickBox Char"/>
    <w:link w:val="ParaTickBox"/>
    <w:rsid w:val="00460328"/>
    <w:rPr>
      <w:rFonts w:ascii="Arial" w:hAnsi="Arial" w:cs="Arial"/>
      <w:szCs w:val="18"/>
      <w:lang w:eastAsia="en-US"/>
    </w:rPr>
  </w:style>
  <w:style w:type="paragraph" w:styleId="Revision">
    <w:name w:val="Revision"/>
    <w:hidden/>
    <w:uiPriority w:val="99"/>
    <w:semiHidden/>
    <w:rsid w:val="004F744A"/>
    <w:rPr>
      <w:rFonts w:ascii="Arial" w:hAnsi="Arial"/>
      <w:sz w:val="22"/>
      <w:lang w:eastAsia="de-DE"/>
    </w:rPr>
  </w:style>
  <w:style w:type="character" w:customStyle="1" w:styleId="SDMParaChar">
    <w:name w:val="SDMPara Char"/>
    <w:basedOn w:val="DefaultParagraphFont"/>
    <w:link w:val="SDMPara"/>
    <w:locked/>
    <w:rsid w:val="00990E16"/>
    <w:rPr>
      <w:rFonts w:ascii="Arial" w:eastAsia="Times New Roman" w:hAnsi="Arial" w:cs="Arial"/>
      <w:sz w:val="22"/>
      <w:szCs w:val="22"/>
      <w:lang w:eastAsia="de-DE"/>
    </w:rPr>
  </w:style>
  <w:style w:type="character" w:customStyle="1" w:styleId="normaltextrun">
    <w:name w:val="normaltextrun"/>
    <w:basedOn w:val="DefaultParagraphFont"/>
    <w:rsid w:val="00C656AA"/>
  </w:style>
  <w:style w:type="character" w:customStyle="1" w:styleId="findhit">
    <w:name w:val="findhit"/>
    <w:basedOn w:val="DefaultParagraphFont"/>
    <w:rsid w:val="00C656AA"/>
  </w:style>
  <w:style w:type="character" w:styleId="Emphasis">
    <w:name w:val="Emphasis"/>
    <w:basedOn w:val="DefaultParagraphFont"/>
    <w:uiPriority w:val="20"/>
    <w:qFormat/>
    <w:rsid w:val="00C656AA"/>
    <w:rPr>
      <w:i/>
      <w:iCs/>
    </w:rPr>
  </w:style>
  <w:style w:type="character" w:styleId="FollowedHyperlink">
    <w:name w:val="FollowedHyperlink"/>
    <w:basedOn w:val="DefaultParagraphFont"/>
    <w:semiHidden/>
    <w:unhideWhenUsed/>
    <w:rsid w:val="00C656AA"/>
    <w:rPr>
      <w:color w:val="800080" w:themeColor="followedHyperlink"/>
      <w:u w:val="single"/>
    </w:rPr>
  </w:style>
  <w:style w:type="paragraph" w:customStyle="1" w:styleId="Default">
    <w:name w:val="Default"/>
    <w:rsid w:val="00CA53C0"/>
    <w:pPr>
      <w:autoSpaceDE w:val="0"/>
      <w:autoSpaceDN w:val="0"/>
      <w:adjustRightInd w:val="0"/>
    </w:pPr>
    <w:rPr>
      <w:rFonts w:ascii="Arial" w:hAnsi="Arial" w:cs="Arial"/>
      <w:color w:val="000000"/>
      <w:sz w:val="24"/>
      <w:szCs w:val="24"/>
      <w:lang w:val="en-US"/>
    </w:rPr>
  </w:style>
  <w:style w:type="character" w:styleId="Strong">
    <w:name w:val="Strong"/>
    <w:basedOn w:val="DefaultParagraphFont"/>
    <w:uiPriority w:val="22"/>
    <w:qFormat/>
    <w:rsid w:val="005D7ACD"/>
    <w:rPr>
      <w:b/>
      <w:bCs/>
    </w:rPr>
  </w:style>
  <w:style w:type="character" w:styleId="UnresolvedMention">
    <w:name w:val="Unresolved Mention"/>
    <w:basedOn w:val="DefaultParagraphFont"/>
    <w:uiPriority w:val="99"/>
    <w:unhideWhenUsed/>
    <w:rsid w:val="00187A3A"/>
    <w:rPr>
      <w:color w:val="605E5C"/>
      <w:shd w:val="clear" w:color="auto" w:fill="E1DFDD"/>
    </w:rPr>
  </w:style>
  <w:style w:type="character" w:customStyle="1" w:styleId="CaptionChar">
    <w:name w:val="Caption Char"/>
    <w:link w:val="Caption"/>
    <w:rsid w:val="00B33851"/>
    <w:rPr>
      <w:rFonts w:ascii="Arial" w:eastAsia="Times New Roman" w:hAnsi="Arial"/>
      <w:b/>
      <w:bCs/>
      <w:lang w:eastAsia="de-DE"/>
    </w:rPr>
  </w:style>
  <w:style w:type="character" w:styleId="Mention">
    <w:name w:val="Mention"/>
    <w:basedOn w:val="DefaultParagraphFont"/>
    <w:uiPriority w:val="99"/>
    <w:unhideWhenUsed/>
    <w:rsid w:val="00816AF7"/>
    <w:rPr>
      <w:color w:val="2B579A"/>
      <w:shd w:val="clear" w:color="auto" w:fill="E1DFDD"/>
    </w:rPr>
  </w:style>
  <w:style w:type="table" w:customStyle="1" w:styleId="SDMTableFullWidth">
    <w:name w:val="SDMTableFullWidth"/>
    <w:basedOn w:val="SDMTable"/>
    <w:uiPriority w:val="99"/>
    <w:rsid w:val="000E5A82"/>
    <w:tblPr>
      <w:jc w:val="center"/>
      <w:tblInd w:w="0" w:type="dxa"/>
    </w:tblPr>
    <w:trPr>
      <w:jc w:val="center"/>
    </w:trPr>
    <w:tblStylePr w:type="firstRow">
      <w:pPr>
        <w:keepNext/>
        <w:keepLines/>
        <w:wordWrap/>
        <w:jc w:val="center"/>
      </w:pPr>
      <w:rPr>
        <w:b/>
      </w:rPr>
      <w:tblPr/>
      <w:trPr>
        <w:cantSplit w:val="0"/>
        <w:tblHeader/>
      </w:trPr>
      <w:tcPr>
        <w:tcBorders>
          <w:top w:val="single" w:sz="4" w:space="0" w:color="auto"/>
          <w:left w:val="single" w:sz="4" w:space="0" w:color="auto"/>
          <w:bottom w:val="single" w:sz="12" w:space="0" w:color="auto"/>
          <w:right w:val="single" w:sz="4" w:space="0" w:color="auto"/>
          <w:insideH w:val="nil"/>
          <w:insideV w:val="nil"/>
          <w:tl2br w:val="nil"/>
          <w:tr2bl w:val="nil"/>
        </w:tcBorders>
        <w:tcMar>
          <w:top w:w="57" w:type="dxa"/>
          <w:left w:w="0" w:type="nil"/>
          <w:bottom w:w="57" w:type="dxa"/>
          <w:right w:w="0" w:type="nil"/>
        </w:tcMar>
        <w:vAlign w:val="center"/>
      </w:tcPr>
    </w:tblStylePr>
    <w:tblStylePr w:type="lastRow">
      <w:pPr>
        <w:keepNext w:val="0"/>
        <w:wordWrap/>
      </w:pPr>
    </w:tblStylePr>
    <w:tblStylePr w:type="firstCol">
      <w:rPr>
        <w:b/>
      </w:rPr>
    </w:tblStylePr>
  </w:style>
  <w:style w:type="paragraph" w:styleId="CommentText">
    <w:name w:val="annotation text"/>
    <w:basedOn w:val="Normal"/>
    <w:link w:val="CommentTextChar1"/>
    <w:unhideWhenUsed/>
    <w:pPr>
      <w:jc w:val="left"/>
    </w:pPr>
  </w:style>
  <w:style w:type="character" w:customStyle="1" w:styleId="CommentTextChar1">
    <w:name w:val="Comment Text Char1"/>
    <w:basedOn w:val="DefaultParagraphFont"/>
    <w:link w:val="CommentText"/>
    <w:rPr>
      <w:rFonts w:ascii="Arial" w:eastAsia="Times New Roman" w:hAnsi="Arial"/>
      <w:sz w:val="22"/>
      <w:lang w:eastAsia="de-DE"/>
    </w:rPr>
  </w:style>
  <w:style w:type="character" w:styleId="CommentReference">
    <w:name w:val="annotation reference"/>
    <w:basedOn w:val="DefaultParagraphFont"/>
    <w:semiHidden/>
    <w:unhideWhenUsed/>
    <w:rPr>
      <w:sz w:val="18"/>
      <w:szCs w:val="18"/>
    </w:rPr>
  </w:style>
  <w:style w:type="paragraph" w:customStyle="1" w:styleId="CommentText1">
    <w:name w:val="Comment Text1"/>
    <w:basedOn w:val="Normal"/>
    <w:link w:val="CommentTextChar"/>
    <w:rsid w:val="00707073"/>
    <w:rPr>
      <w:rFonts w:eastAsia="MS Mincho"/>
      <w:sz w:val="20"/>
      <w:lang w:eastAsia="en-US"/>
    </w:rPr>
  </w:style>
  <w:style w:type="paragraph" w:customStyle="1" w:styleId="CommentSubject1">
    <w:name w:val="Comment Subject1"/>
    <w:basedOn w:val="CommentText1"/>
    <w:next w:val="CommentText1"/>
    <w:rsid w:val="00707073"/>
    <w:rPr>
      <w:rFonts w:eastAsia="Times New Roman"/>
      <w:b/>
      <w:bCs/>
      <w:lang w:eastAsia="de-DE"/>
    </w:rPr>
  </w:style>
  <w:style w:type="character" w:customStyle="1" w:styleId="CommentReference1">
    <w:name w:val="Comment Reference1"/>
    <w:basedOn w:val="DefaultParagraphFont"/>
    <w:rsid w:val="00707073"/>
    <w:rPr>
      <w:sz w:val="16"/>
      <w:szCs w:val="16"/>
    </w:rPr>
  </w:style>
  <w:style w:type="character" w:customStyle="1" w:styleId="HeaderChar">
    <w:name w:val="Header Char"/>
    <w:basedOn w:val="DefaultParagraphFont"/>
    <w:link w:val="Header"/>
    <w:rsid w:val="00934103"/>
    <w:rPr>
      <w:rFonts w:ascii="Arial" w:eastAsia="Times New Roman" w:hAnsi="Arial"/>
      <w:sz w:val="22"/>
      <w:lang w:eastAsia="de-DE"/>
    </w:rPr>
  </w:style>
  <w:style w:type="character" w:customStyle="1" w:styleId="FooterChar">
    <w:name w:val="Footer Char"/>
    <w:link w:val="Footer"/>
    <w:locked/>
    <w:rsid w:val="0096673C"/>
    <w:rPr>
      <w:rFonts w:ascii="Arial" w:eastAsia="Times New Roman" w:hAnsi="Arial"/>
      <w:sz w:val="22"/>
      <w:lang w:eastAsia="de-DE"/>
    </w:rPr>
  </w:style>
  <w:style w:type="paragraph" w:customStyle="1" w:styleId="CommentText2">
    <w:name w:val="Comment Text2"/>
    <w:basedOn w:val="Normal"/>
    <w:rsid w:val="007908A9"/>
    <w:rPr>
      <w:rFonts w:eastAsia="MS Mincho"/>
      <w:sz w:val="20"/>
      <w:lang w:eastAsia="en-US"/>
    </w:rPr>
  </w:style>
  <w:style w:type="character" w:customStyle="1" w:styleId="CommentReference2">
    <w:name w:val="Comment Reference2"/>
    <w:basedOn w:val="DefaultParagraphFont"/>
    <w:semiHidden/>
    <w:unhideWhenUsed/>
    <w:rsid w:val="007908A9"/>
    <w:rPr>
      <w:sz w:val="18"/>
      <w:szCs w:val="18"/>
    </w:rPr>
  </w:style>
  <w:style w:type="paragraph" w:customStyle="1" w:styleId="CommentSubject2">
    <w:name w:val="Comment Subject2"/>
    <w:basedOn w:val="CommentText2"/>
    <w:next w:val="CommentText2"/>
    <w:unhideWhenUsed/>
    <w:rsid w:val="007908A9"/>
    <w:rPr>
      <w:b/>
      <w:bCs/>
    </w:rPr>
  </w:style>
  <w:style w:type="paragraph" w:styleId="CommentSubject">
    <w:name w:val="annotation subject"/>
    <w:basedOn w:val="CommentText"/>
    <w:next w:val="CommentText"/>
    <w:link w:val="CommentSubjectChar"/>
    <w:semiHidden/>
    <w:unhideWhenUsed/>
    <w:rsid w:val="0092620C"/>
    <w:rPr>
      <w:b/>
      <w:bCs/>
    </w:rPr>
  </w:style>
  <w:style w:type="character" w:customStyle="1" w:styleId="CommentSubjectChar">
    <w:name w:val="Comment Subject Char"/>
    <w:basedOn w:val="CommentTextChar1"/>
    <w:link w:val="CommentSubject"/>
    <w:semiHidden/>
    <w:rsid w:val="0092620C"/>
    <w:rPr>
      <w:rFonts w:ascii="Arial" w:eastAsia="Times New Roman" w:hAnsi="Arial"/>
      <w:b/>
      <w:bCs/>
      <w:sz w:val="22"/>
      <w:lang w:eastAsia="de-DE"/>
    </w:rPr>
  </w:style>
  <w:style w:type="character" w:customStyle="1" w:styleId="CommentReference3">
    <w:name w:val="Comment Reference3"/>
    <w:basedOn w:val="DefaultParagraphFont"/>
    <w:semiHidden/>
    <w:unhideWhenUsed/>
    <w:rsid w:val="00C2059F"/>
    <w:rPr>
      <w:sz w:val="18"/>
      <w:szCs w:val="18"/>
    </w:rPr>
  </w:style>
  <w:style w:type="character" w:customStyle="1" w:styleId="CommentReference4">
    <w:name w:val="Comment Reference4"/>
    <w:basedOn w:val="DefaultParagraphFont"/>
    <w:semiHidden/>
    <w:unhideWhenUsed/>
    <w:rsid w:val="006B6E81"/>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589274">
      <w:bodyDiv w:val="1"/>
      <w:marLeft w:val="0"/>
      <w:marRight w:val="0"/>
      <w:marTop w:val="0"/>
      <w:marBottom w:val="0"/>
      <w:divBdr>
        <w:top w:val="none" w:sz="0" w:space="0" w:color="auto"/>
        <w:left w:val="none" w:sz="0" w:space="0" w:color="auto"/>
        <w:bottom w:val="none" w:sz="0" w:space="0" w:color="auto"/>
        <w:right w:val="none" w:sz="0" w:space="0" w:color="auto"/>
      </w:divBdr>
    </w:div>
    <w:div w:id="69887403">
      <w:bodyDiv w:val="1"/>
      <w:marLeft w:val="0"/>
      <w:marRight w:val="0"/>
      <w:marTop w:val="0"/>
      <w:marBottom w:val="0"/>
      <w:divBdr>
        <w:top w:val="none" w:sz="0" w:space="0" w:color="auto"/>
        <w:left w:val="none" w:sz="0" w:space="0" w:color="auto"/>
        <w:bottom w:val="none" w:sz="0" w:space="0" w:color="auto"/>
        <w:right w:val="none" w:sz="0" w:space="0" w:color="auto"/>
      </w:divBdr>
    </w:div>
    <w:div w:id="83428032">
      <w:bodyDiv w:val="1"/>
      <w:marLeft w:val="0"/>
      <w:marRight w:val="0"/>
      <w:marTop w:val="0"/>
      <w:marBottom w:val="0"/>
      <w:divBdr>
        <w:top w:val="none" w:sz="0" w:space="0" w:color="auto"/>
        <w:left w:val="none" w:sz="0" w:space="0" w:color="auto"/>
        <w:bottom w:val="none" w:sz="0" w:space="0" w:color="auto"/>
        <w:right w:val="none" w:sz="0" w:space="0" w:color="auto"/>
      </w:divBdr>
    </w:div>
    <w:div w:id="129980747">
      <w:bodyDiv w:val="1"/>
      <w:marLeft w:val="0"/>
      <w:marRight w:val="0"/>
      <w:marTop w:val="0"/>
      <w:marBottom w:val="0"/>
      <w:divBdr>
        <w:top w:val="none" w:sz="0" w:space="0" w:color="auto"/>
        <w:left w:val="none" w:sz="0" w:space="0" w:color="auto"/>
        <w:bottom w:val="none" w:sz="0" w:space="0" w:color="auto"/>
        <w:right w:val="none" w:sz="0" w:space="0" w:color="auto"/>
      </w:divBdr>
    </w:div>
    <w:div w:id="192348450">
      <w:bodyDiv w:val="1"/>
      <w:marLeft w:val="0"/>
      <w:marRight w:val="0"/>
      <w:marTop w:val="0"/>
      <w:marBottom w:val="0"/>
      <w:divBdr>
        <w:top w:val="none" w:sz="0" w:space="0" w:color="auto"/>
        <w:left w:val="none" w:sz="0" w:space="0" w:color="auto"/>
        <w:bottom w:val="none" w:sz="0" w:space="0" w:color="auto"/>
        <w:right w:val="none" w:sz="0" w:space="0" w:color="auto"/>
      </w:divBdr>
    </w:div>
    <w:div w:id="209347381">
      <w:bodyDiv w:val="1"/>
      <w:marLeft w:val="0"/>
      <w:marRight w:val="0"/>
      <w:marTop w:val="0"/>
      <w:marBottom w:val="0"/>
      <w:divBdr>
        <w:top w:val="none" w:sz="0" w:space="0" w:color="auto"/>
        <w:left w:val="none" w:sz="0" w:space="0" w:color="auto"/>
        <w:bottom w:val="none" w:sz="0" w:space="0" w:color="auto"/>
        <w:right w:val="none" w:sz="0" w:space="0" w:color="auto"/>
      </w:divBdr>
    </w:div>
    <w:div w:id="323973074">
      <w:bodyDiv w:val="1"/>
      <w:marLeft w:val="0"/>
      <w:marRight w:val="0"/>
      <w:marTop w:val="0"/>
      <w:marBottom w:val="0"/>
      <w:divBdr>
        <w:top w:val="none" w:sz="0" w:space="0" w:color="auto"/>
        <w:left w:val="none" w:sz="0" w:space="0" w:color="auto"/>
        <w:bottom w:val="none" w:sz="0" w:space="0" w:color="auto"/>
        <w:right w:val="none" w:sz="0" w:space="0" w:color="auto"/>
      </w:divBdr>
    </w:div>
    <w:div w:id="326444753">
      <w:bodyDiv w:val="1"/>
      <w:marLeft w:val="0"/>
      <w:marRight w:val="0"/>
      <w:marTop w:val="0"/>
      <w:marBottom w:val="0"/>
      <w:divBdr>
        <w:top w:val="none" w:sz="0" w:space="0" w:color="auto"/>
        <w:left w:val="none" w:sz="0" w:space="0" w:color="auto"/>
        <w:bottom w:val="none" w:sz="0" w:space="0" w:color="auto"/>
        <w:right w:val="none" w:sz="0" w:space="0" w:color="auto"/>
      </w:divBdr>
    </w:div>
    <w:div w:id="458839967">
      <w:bodyDiv w:val="1"/>
      <w:marLeft w:val="0"/>
      <w:marRight w:val="0"/>
      <w:marTop w:val="0"/>
      <w:marBottom w:val="0"/>
      <w:divBdr>
        <w:top w:val="none" w:sz="0" w:space="0" w:color="auto"/>
        <w:left w:val="none" w:sz="0" w:space="0" w:color="auto"/>
        <w:bottom w:val="none" w:sz="0" w:space="0" w:color="auto"/>
        <w:right w:val="none" w:sz="0" w:space="0" w:color="auto"/>
      </w:divBdr>
    </w:div>
    <w:div w:id="531115437">
      <w:bodyDiv w:val="1"/>
      <w:marLeft w:val="0"/>
      <w:marRight w:val="0"/>
      <w:marTop w:val="0"/>
      <w:marBottom w:val="0"/>
      <w:divBdr>
        <w:top w:val="none" w:sz="0" w:space="0" w:color="auto"/>
        <w:left w:val="none" w:sz="0" w:space="0" w:color="auto"/>
        <w:bottom w:val="none" w:sz="0" w:space="0" w:color="auto"/>
        <w:right w:val="none" w:sz="0" w:space="0" w:color="auto"/>
      </w:divBdr>
    </w:div>
    <w:div w:id="533928646">
      <w:bodyDiv w:val="1"/>
      <w:marLeft w:val="0"/>
      <w:marRight w:val="0"/>
      <w:marTop w:val="0"/>
      <w:marBottom w:val="0"/>
      <w:divBdr>
        <w:top w:val="none" w:sz="0" w:space="0" w:color="auto"/>
        <w:left w:val="none" w:sz="0" w:space="0" w:color="auto"/>
        <w:bottom w:val="none" w:sz="0" w:space="0" w:color="auto"/>
        <w:right w:val="none" w:sz="0" w:space="0" w:color="auto"/>
      </w:divBdr>
    </w:div>
    <w:div w:id="555707078">
      <w:bodyDiv w:val="1"/>
      <w:marLeft w:val="0"/>
      <w:marRight w:val="0"/>
      <w:marTop w:val="0"/>
      <w:marBottom w:val="0"/>
      <w:divBdr>
        <w:top w:val="none" w:sz="0" w:space="0" w:color="auto"/>
        <w:left w:val="none" w:sz="0" w:space="0" w:color="auto"/>
        <w:bottom w:val="none" w:sz="0" w:space="0" w:color="auto"/>
        <w:right w:val="none" w:sz="0" w:space="0" w:color="auto"/>
      </w:divBdr>
    </w:div>
    <w:div w:id="565066753">
      <w:bodyDiv w:val="1"/>
      <w:marLeft w:val="0"/>
      <w:marRight w:val="0"/>
      <w:marTop w:val="0"/>
      <w:marBottom w:val="0"/>
      <w:divBdr>
        <w:top w:val="none" w:sz="0" w:space="0" w:color="auto"/>
        <w:left w:val="none" w:sz="0" w:space="0" w:color="auto"/>
        <w:bottom w:val="none" w:sz="0" w:space="0" w:color="auto"/>
        <w:right w:val="none" w:sz="0" w:space="0" w:color="auto"/>
      </w:divBdr>
    </w:div>
    <w:div w:id="585766451">
      <w:bodyDiv w:val="1"/>
      <w:marLeft w:val="0"/>
      <w:marRight w:val="0"/>
      <w:marTop w:val="0"/>
      <w:marBottom w:val="0"/>
      <w:divBdr>
        <w:top w:val="none" w:sz="0" w:space="0" w:color="auto"/>
        <w:left w:val="none" w:sz="0" w:space="0" w:color="auto"/>
        <w:bottom w:val="none" w:sz="0" w:space="0" w:color="auto"/>
        <w:right w:val="none" w:sz="0" w:space="0" w:color="auto"/>
      </w:divBdr>
    </w:div>
    <w:div w:id="728961980">
      <w:bodyDiv w:val="1"/>
      <w:marLeft w:val="0"/>
      <w:marRight w:val="0"/>
      <w:marTop w:val="0"/>
      <w:marBottom w:val="0"/>
      <w:divBdr>
        <w:top w:val="none" w:sz="0" w:space="0" w:color="auto"/>
        <w:left w:val="none" w:sz="0" w:space="0" w:color="auto"/>
        <w:bottom w:val="none" w:sz="0" w:space="0" w:color="auto"/>
        <w:right w:val="none" w:sz="0" w:space="0" w:color="auto"/>
      </w:divBdr>
    </w:div>
    <w:div w:id="862981061">
      <w:bodyDiv w:val="1"/>
      <w:marLeft w:val="0"/>
      <w:marRight w:val="0"/>
      <w:marTop w:val="0"/>
      <w:marBottom w:val="0"/>
      <w:divBdr>
        <w:top w:val="none" w:sz="0" w:space="0" w:color="auto"/>
        <w:left w:val="none" w:sz="0" w:space="0" w:color="auto"/>
        <w:bottom w:val="none" w:sz="0" w:space="0" w:color="auto"/>
        <w:right w:val="none" w:sz="0" w:space="0" w:color="auto"/>
      </w:divBdr>
    </w:div>
    <w:div w:id="896866665">
      <w:bodyDiv w:val="1"/>
      <w:marLeft w:val="0"/>
      <w:marRight w:val="0"/>
      <w:marTop w:val="0"/>
      <w:marBottom w:val="0"/>
      <w:divBdr>
        <w:top w:val="none" w:sz="0" w:space="0" w:color="auto"/>
        <w:left w:val="none" w:sz="0" w:space="0" w:color="auto"/>
        <w:bottom w:val="none" w:sz="0" w:space="0" w:color="auto"/>
        <w:right w:val="none" w:sz="0" w:space="0" w:color="auto"/>
      </w:divBdr>
    </w:div>
    <w:div w:id="934942610">
      <w:bodyDiv w:val="1"/>
      <w:marLeft w:val="0"/>
      <w:marRight w:val="0"/>
      <w:marTop w:val="0"/>
      <w:marBottom w:val="0"/>
      <w:divBdr>
        <w:top w:val="none" w:sz="0" w:space="0" w:color="auto"/>
        <w:left w:val="none" w:sz="0" w:space="0" w:color="auto"/>
        <w:bottom w:val="none" w:sz="0" w:space="0" w:color="auto"/>
        <w:right w:val="none" w:sz="0" w:space="0" w:color="auto"/>
      </w:divBdr>
    </w:div>
    <w:div w:id="971982900">
      <w:bodyDiv w:val="1"/>
      <w:marLeft w:val="0"/>
      <w:marRight w:val="0"/>
      <w:marTop w:val="0"/>
      <w:marBottom w:val="0"/>
      <w:divBdr>
        <w:top w:val="none" w:sz="0" w:space="0" w:color="auto"/>
        <w:left w:val="none" w:sz="0" w:space="0" w:color="auto"/>
        <w:bottom w:val="none" w:sz="0" w:space="0" w:color="auto"/>
        <w:right w:val="none" w:sz="0" w:space="0" w:color="auto"/>
      </w:divBdr>
    </w:div>
    <w:div w:id="1032682438">
      <w:bodyDiv w:val="1"/>
      <w:marLeft w:val="0"/>
      <w:marRight w:val="0"/>
      <w:marTop w:val="0"/>
      <w:marBottom w:val="0"/>
      <w:divBdr>
        <w:top w:val="none" w:sz="0" w:space="0" w:color="auto"/>
        <w:left w:val="none" w:sz="0" w:space="0" w:color="auto"/>
        <w:bottom w:val="none" w:sz="0" w:space="0" w:color="auto"/>
        <w:right w:val="none" w:sz="0" w:space="0" w:color="auto"/>
      </w:divBdr>
    </w:div>
    <w:div w:id="1128547816">
      <w:bodyDiv w:val="1"/>
      <w:marLeft w:val="0"/>
      <w:marRight w:val="0"/>
      <w:marTop w:val="0"/>
      <w:marBottom w:val="0"/>
      <w:divBdr>
        <w:top w:val="none" w:sz="0" w:space="0" w:color="auto"/>
        <w:left w:val="none" w:sz="0" w:space="0" w:color="auto"/>
        <w:bottom w:val="none" w:sz="0" w:space="0" w:color="auto"/>
        <w:right w:val="none" w:sz="0" w:space="0" w:color="auto"/>
      </w:divBdr>
    </w:div>
    <w:div w:id="1186364914">
      <w:bodyDiv w:val="1"/>
      <w:marLeft w:val="0"/>
      <w:marRight w:val="0"/>
      <w:marTop w:val="0"/>
      <w:marBottom w:val="0"/>
      <w:divBdr>
        <w:top w:val="none" w:sz="0" w:space="0" w:color="auto"/>
        <w:left w:val="none" w:sz="0" w:space="0" w:color="auto"/>
        <w:bottom w:val="none" w:sz="0" w:space="0" w:color="auto"/>
        <w:right w:val="none" w:sz="0" w:space="0" w:color="auto"/>
      </w:divBdr>
    </w:div>
    <w:div w:id="1207840538">
      <w:bodyDiv w:val="1"/>
      <w:marLeft w:val="0"/>
      <w:marRight w:val="0"/>
      <w:marTop w:val="0"/>
      <w:marBottom w:val="0"/>
      <w:divBdr>
        <w:top w:val="none" w:sz="0" w:space="0" w:color="auto"/>
        <w:left w:val="none" w:sz="0" w:space="0" w:color="auto"/>
        <w:bottom w:val="none" w:sz="0" w:space="0" w:color="auto"/>
        <w:right w:val="none" w:sz="0" w:space="0" w:color="auto"/>
      </w:divBdr>
    </w:div>
    <w:div w:id="1245455155">
      <w:bodyDiv w:val="1"/>
      <w:marLeft w:val="0"/>
      <w:marRight w:val="0"/>
      <w:marTop w:val="0"/>
      <w:marBottom w:val="0"/>
      <w:divBdr>
        <w:top w:val="none" w:sz="0" w:space="0" w:color="auto"/>
        <w:left w:val="none" w:sz="0" w:space="0" w:color="auto"/>
        <w:bottom w:val="none" w:sz="0" w:space="0" w:color="auto"/>
        <w:right w:val="none" w:sz="0" w:space="0" w:color="auto"/>
      </w:divBdr>
    </w:div>
    <w:div w:id="1359769288">
      <w:bodyDiv w:val="1"/>
      <w:marLeft w:val="0"/>
      <w:marRight w:val="0"/>
      <w:marTop w:val="0"/>
      <w:marBottom w:val="0"/>
      <w:divBdr>
        <w:top w:val="none" w:sz="0" w:space="0" w:color="auto"/>
        <w:left w:val="none" w:sz="0" w:space="0" w:color="auto"/>
        <w:bottom w:val="none" w:sz="0" w:space="0" w:color="auto"/>
        <w:right w:val="none" w:sz="0" w:space="0" w:color="auto"/>
      </w:divBdr>
    </w:div>
    <w:div w:id="1464811109">
      <w:bodyDiv w:val="1"/>
      <w:marLeft w:val="0"/>
      <w:marRight w:val="0"/>
      <w:marTop w:val="0"/>
      <w:marBottom w:val="0"/>
      <w:divBdr>
        <w:top w:val="none" w:sz="0" w:space="0" w:color="auto"/>
        <w:left w:val="none" w:sz="0" w:space="0" w:color="auto"/>
        <w:bottom w:val="none" w:sz="0" w:space="0" w:color="auto"/>
        <w:right w:val="none" w:sz="0" w:space="0" w:color="auto"/>
      </w:divBdr>
    </w:div>
    <w:div w:id="1661349216">
      <w:bodyDiv w:val="1"/>
      <w:marLeft w:val="0"/>
      <w:marRight w:val="0"/>
      <w:marTop w:val="0"/>
      <w:marBottom w:val="0"/>
      <w:divBdr>
        <w:top w:val="none" w:sz="0" w:space="0" w:color="auto"/>
        <w:left w:val="none" w:sz="0" w:space="0" w:color="auto"/>
        <w:bottom w:val="none" w:sz="0" w:space="0" w:color="auto"/>
        <w:right w:val="none" w:sz="0" w:space="0" w:color="auto"/>
      </w:divBdr>
    </w:div>
    <w:div w:id="1740637186">
      <w:bodyDiv w:val="1"/>
      <w:marLeft w:val="0"/>
      <w:marRight w:val="0"/>
      <w:marTop w:val="0"/>
      <w:marBottom w:val="0"/>
      <w:divBdr>
        <w:top w:val="none" w:sz="0" w:space="0" w:color="auto"/>
        <w:left w:val="none" w:sz="0" w:space="0" w:color="auto"/>
        <w:bottom w:val="none" w:sz="0" w:space="0" w:color="auto"/>
        <w:right w:val="none" w:sz="0" w:space="0" w:color="auto"/>
      </w:divBdr>
    </w:div>
    <w:div w:id="1776175270">
      <w:bodyDiv w:val="1"/>
      <w:marLeft w:val="0"/>
      <w:marRight w:val="0"/>
      <w:marTop w:val="0"/>
      <w:marBottom w:val="0"/>
      <w:divBdr>
        <w:top w:val="none" w:sz="0" w:space="0" w:color="auto"/>
        <w:left w:val="none" w:sz="0" w:space="0" w:color="auto"/>
        <w:bottom w:val="none" w:sz="0" w:space="0" w:color="auto"/>
        <w:right w:val="none" w:sz="0" w:space="0" w:color="auto"/>
      </w:divBdr>
    </w:div>
    <w:div w:id="1789200234">
      <w:bodyDiv w:val="1"/>
      <w:marLeft w:val="0"/>
      <w:marRight w:val="0"/>
      <w:marTop w:val="0"/>
      <w:marBottom w:val="0"/>
      <w:divBdr>
        <w:top w:val="none" w:sz="0" w:space="0" w:color="auto"/>
        <w:left w:val="none" w:sz="0" w:space="0" w:color="auto"/>
        <w:bottom w:val="none" w:sz="0" w:space="0" w:color="auto"/>
        <w:right w:val="none" w:sz="0" w:space="0" w:color="auto"/>
      </w:divBdr>
    </w:div>
    <w:div w:id="1907908079">
      <w:bodyDiv w:val="1"/>
      <w:marLeft w:val="0"/>
      <w:marRight w:val="0"/>
      <w:marTop w:val="0"/>
      <w:marBottom w:val="0"/>
      <w:divBdr>
        <w:top w:val="none" w:sz="0" w:space="0" w:color="auto"/>
        <w:left w:val="none" w:sz="0" w:space="0" w:color="auto"/>
        <w:bottom w:val="none" w:sz="0" w:space="0" w:color="auto"/>
        <w:right w:val="none" w:sz="0" w:space="0" w:color="auto"/>
      </w:divBdr>
    </w:div>
    <w:div w:id="200246694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1.png"/><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eader" Target="header7.xml"/><Relationship Id="rId28" Type="http://schemas.openxmlformats.org/officeDocument/2006/relationships/footer" Target="footer6.xml"/><Relationship Id="rId10" Type="http://schemas.openxmlformats.org/officeDocument/2006/relationships/footnotes" Target="footnotes.xml"/><Relationship Id="rId19" Type="http://schemas.openxmlformats.org/officeDocument/2006/relationships/footer" Target="footer4.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footer" Target="footer5.xml"/><Relationship Id="rId27" Type="http://schemas.openxmlformats.org/officeDocument/2006/relationships/image" Target="media/image3.png"/><Relationship Id="rId30"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unfccc.int/sites/default/files/resource/A6.4-STAN-METH-005.pdf" TargetMode="External"/><Relationship Id="rId2" Type="http://schemas.openxmlformats.org/officeDocument/2006/relationships/hyperlink" Target="https://www.ipcc-nggip.iges.or.jp/public/2019rf/index.html" TargetMode="External"/><Relationship Id="rId1" Type="http://schemas.openxmlformats.org/officeDocument/2006/relationships/hyperlink" Target="https://unfccc.int/sites/default/files/resource/A6.4-PROC-METH-001.pdf" TargetMode="External"/><Relationship Id="rId4" Type="http://schemas.openxmlformats.org/officeDocument/2006/relationships/hyperlink" Target="https://ember-energy.org/data/"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D08D16AF5F140AAB73A0F79BF2C8F3E"/>
        <w:category>
          <w:name w:val="General"/>
          <w:gallery w:val="placeholder"/>
        </w:category>
        <w:types>
          <w:type w:val="bbPlcHdr"/>
        </w:types>
        <w:behaviors>
          <w:behavior w:val="content"/>
        </w:behaviors>
        <w:guid w:val="{52ED3FBD-85EF-4B92-AF01-AF2D431C2DE6}"/>
      </w:docPartPr>
      <w:docPartBody>
        <w:p w:rsidR="00C21A70" w:rsidRDefault="008A4FA3">
          <w:pPr>
            <w:pStyle w:val="4D08D16AF5F140AAB73A0F79BF2C8F3E"/>
          </w:pPr>
          <w:r w:rsidRPr="00773362">
            <w:rPr>
              <w:rStyle w:val="PlaceholderText"/>
              <w:lang w:val="de-DE"/>
            </w:rPr>
            <w:t>Wählen Sie ein Element aus.</w:t>
          </w:r>
        </w:p>
      </w:docPartBody>
    </w:docPart>
    <w:docPart>
      <w:docPartPr>
        <w:name w:val="5A3100E1B7214021BB4C4D0BE6428D77"/>
        <w:category>
          <w:name w:val="General"/>
          <w:gallery w:val="placeholder"/>
        </w:category>
        <w:types>
          <w:type w:val="bbPlcHdr"/>
        </w:types>
        <w:behaviors>
          <w:behavior w:val="content"/>
        </w:behaviors>
        <w:guid w:val="{6ABA6BCC-F158-4E5E-B717-C81B3DA88EA9}"/>
      </w:docPartPr>
      <w:docPartBody>
        <w:p w:rsidR="00C21A70" w:rsidRDefault="008A4FA3">
          <w:pPr>
            <w:pStyle w:val="5A3100E1B7214021BB4C4D0BE6428D77"/>
          </w:pPr>
          <w:r w:rsidRPr="0019515F">
            <w:rPr>
              <w:rStyle w:val="PlaceholderText"/>
            </w:rPr>
            <w:t>Klicken Sie hier, um Text einzugeben.</w:t>
          </w:r>
        </w:p>
      </w:docPartBody>
    </w:docPart>
    <w:docPart>
      <w:docPartPr>
        <w:name w:val="734F7489B6C645BE8C2B7D9415DD2522"/>
        <w:category>
          <w:name w:val="General"/>
          <w:gallery w:val="placeholder"/>
        </w:category>
        <w:types>
          <w:type w:val="bbPlcHdr"/>
        </w:types>
        <w:behaviors>
          <w:behavior w:val="content"/>
        </w:behaviors>
        <w:guid w:val="{FD9166C6-0025-4DAC-BBA2-5282DE726F4E}"/>
      </w:docPartPr>
      <w:docPartBody>
        <w:p w:rsidR="00836C9B" w:rsidRDefault="008A4FA3">
          <w:pPr>
            <w:pStyle w:val="734F7489B6C645BE8C2B7D9415DD2522"/>
          </w:pPr>
          <w:r>
            <w:t>222</w:t>
          </w:r>
          <w:r w:rsidRPr="008721FC">
            <w:rPr>
              <w:rStyle w:val="PlaceholderText"/>
            </w:rPr>
            <w:t>Document reference number</w:t>
          </w:r>
        </w:p>
      </w:docPartBody>
    </w:docPart>
    <w:docPart>
      <w:docPartPr>
        <w:name w:val="C249ADBE03F04533AA34C8A8C9A0D93F"/>
        <w:category>
          <w:name w:val="General"/>
          <w:gallery w:val="placeholder"/>
        </w:category>
        <w:types>
          <w:type w:val="bbPlcHdr"/>
        </w:types>
        <w:behaviors>
          <w:behavior w:val="content"/>
        </w:behaviors>
        <w:guid w:val="{AFAA4C97-CE88-41A1-B400-97F14DF1E5F5}"/>
      </w:docPartPr>
      <w:docPartBody>
        <w:p w:rsidR="00836C9B" w:rsidRDefault="00E1516D" w:rsidP="00E1516D">
          <w:pPr>
            <w:pStyle w:val="C249ADBE03F04533AA34C8A8C9A0D93F"/>
          </w:pPr>
          <w:r>
            <w:t>##.#</w:t>
          </w:r>
        </w:p>
      </w:docPartBody>
    </w:docPart>
    <w:docPart>
      <w:docPartPr>
        <w:name w:val="E4B7961FB81D4C16B97D6D21FF0D7795"/>
        <w:category>
          <w:name w:val="General"/>
          <w:gallery w:val="placeholder"/>
        </w:category>
        <w:types>
          <w:type w:val="bbPlcHdr"/>
        </w:types>
        <w:behaviors>
          <w:behavior w:val="content"/>
        </w:behaviors>
        <w:guid w:val="{B7C6257E-D300-4F51-B6DA-04071B2EB911}"/>
      </w:docPartPr>
      <w:docPartBody>
        <w:p w:rsidR="00BB72F8" w:rsidRDefault="008A4FA3">
          <w:pPr>
            <w:pStyle w:val="E4B7961FB81D4C16B97D6D21FF0D7795"/>
          </w:pPr>
          <w:r w:rsidRPr="001B3E66">
            <w:rPr>
              <w:rStyle w:val="PlaceholderText"/>
            </w:rPr>
            <w:t>Choose an item.</w:t>
          </w:r>
        </w:p>
      </w:docPartBody>
    </w:docPart>
    <w:docPart>
      <w:docPartPr>
        <w:name w:val="4749300D354F4E5B89482C4B3694DD2E"/>
        <w:category>
          <w:name w:val="General"/>
          <w:gallery w:val="placeholder"/>
        </w:category>
        <w:types>
          <w:type w:val="bbPlcHdr"/>
        </w:types>
        <w:behaviors>
          <w:behavior w:val="content"/>
        </w:behaviors>
        <w:guid w:val="{599905D9-1A93-4B64-B721-8C6AE810407E}"/>
      </w:docPartPr>
      <w:docPartBody>
        <w:p w:rsidR="00BB72F8" w:rsidRDefault="008A4FA3">
          <w:pPr>
            <w:pStyle w:val="4749300D354F4E5B89482C4B3694DD2E"/>
          </w:pPr>
          <w:r w:rsidRPr="0019515F">
            <w:rPr>
              <w:rStyle w:val="PlaceholderText"/>
            </w:rPr>
            <w:t>Klicken Sie hier, um Text einzugeben.</w:t>
          </w:r>
        </w:p>
      </w:docPartBody>
    </w:docPart>
    <w:docPart>
      <w:docPartPr>
        <w:name w:val="62597BBFFFC64953A66E570A71B93527"/>
        <w:category>
          <w:name w:val="General"/>
          <w:gallery w:val="placeholder"/>
        </w:category>
        <w:types>
          <w:type w:val="bbPlcHdr"/>
        </w:types>
        <w:behaviors>
          <w:behavior w:val="content"/>
        </w:behaviors>
        <w:guid w:val="{308AF7D1-4523-45AE-8852-8EFF2209EA77}"/>
      </w:docPartPr>
      <w:docPartBody>
        <w:p w:rsidR="00727105" w:rsidRDefault="008A4FA3">
          <w:pPr>
            <w:pStyle w:val="62597BBFFFC64953A66E570A71B93527"/>
          </w:pPr>
          <w:r w:rsidRPr="00CE2F3F">
            <w:rPr>
              <w:rStyle w:val="PlaceholderText"/>
            </w:rPr>
            <w:t>Klicken Sie hier, um Text einzugeben.</w:t>
          </w:r>
        </w:p>
      </w:docPartBody>
    </w:docPart>
    <w:docPart>
      <w:docPartPr>
        <w:name w:val="317B7105C08742AB9C545C33D8AB4CC3"/>
        <w:category>
          <w:name w:val="General"/>
          <w:gallery w:val="placeholder"/>
        </w:category>
        <w:types>
          <w:type w:val="bbPlcHdr"/>
        </w:types>
        <w:behaviors>
          <w:behavior w:val="content"/>
        </w:behaviors>
        <w:guid w:val="{2994A821-B049-4F65-BFAE-4A307A6BA328}"/>
      </w:docPartPr>
      <w:docPartBody>
        <w:p w:rsidR="00727105" w:rsidRDefault="008A4FA3">
          <w:pPr>
            <w:pStyle w:val="317B7105C08742AB9C545C33D8AB4CC3"/>
          </w:pPr>
          <w:r w:rsidRPr="00CE2F3F">
            <w:rPr>
              <w:rStyle w:val="PlaceholderText"/>
            </w:rPr>
            <w:t>Klicken Sie hier, um Text einzugeben.</w:t>
          </w:r>
        </w:p>
      </w:docPartBody>
    </w:docPart>
    <w:docPart>
      <w:docPartPr>
        <w:name w:val="C27A5DEC7E7E46DCB4C1B74314711F86"/>
        <w:category>
          <w:name w:val="General"/>
          <w:gallery w:val="placeholder"/>
        </w:category>
        <w:types>
          <w:type w:val="bbPlcHdr"/>
        </w:types>
        <w:behaviors>
          <w:behavior w:val="content"/>
        </w:behaviors>
        <w:guid w:val="{63DEA7F2-36CE-4FD3-B359-63CC79267FFF}"/>
      </w:docPartPr>
      <w:docPartBody>
        <w:p w:rsidR="005D3322" w:rsidRDefault="00101C59" w:rsidP="00101C59">
          <w:pPr>
            <w:pStyle w:val="C27A5DEC7E7E46DCB4C1B74314711F86"/>
          </w:pPr>
          <w:r w:rsidRPr="00773362">
            <w:rPr>
              <w:rStyle w:val="PlaceholderText"/>
              <w:lang w:val="de-DE"/>
            </w:rPr>
            <w:t>Wählen Sie ein Element aus.</w:t>
          </w:r>
        </w:p>
      </w:docPartBody>
    </w:docPart>
    <w:docPart>
      <w:docPartPr>
        <w:name w:val="A384096BD848438F886F04592C7B5CFB"/>
        <w:category>
          <w:name w:val="General"/>
          <w:gallery w:val="placeholder"/>
        </w:category>
        <w:types>
          <w:type w:val="bbPlcHdr"/>
        </w:types>
        <w:behaviors>
          <w:behavior w:val="content"/>
        </w:behaviors>
        <w:guid w:val="{43CD41AA-A204-402D-8471-EA6ADC190A64}"/>
      </w:docPartPr>
      <w:docPartBody>
        <w:p w:rsidR="005D3322" w:rsidRDefault="00101C59" w:rsidP="00101C59">
          <w:pPr>
            <w:pStyle w:val="A384096BD848438F886F04592C7B5CFB"/>
          </w:pPr>
          <w:r w:rsidRPr="0019515F">
            <w:rPr>
              <w:rStyle w:val="PlaceholderText"/>
            </w:rPr>
            <w:t>Klicken Sie hier, um Text einzugeben.</w:t>
          </w:r>
        </w:p>
      </w:docPartBody>
    </w:docPart>
    <w:docPart>
      <w:docPartPr>
        <w:name w:val="D935D0D938604B169DE841804DF7B6B0"/>
        <w:category>
          <w:name w:val="General"/>
          <w:gallery w:val="placeholder"/>
        </w:category>
        <w:types>
          <w:type w:val="bbPlcHdr"/>
        </w:types>
        <w:behaviors>
          <w:behavior w:val="content"/>
        </w:behaviors>
        <w:guid w:val="{B0BC57EC-7E0D-4B3B-BEAD-967FB22B974E}"/>
      </w:docPartPr>
      <w:docPartBody>
        <w:p w:rsidR="005D3322" w:rsidRDefault="00101C59" w:rsidP="00101C59">
          <w:pPr>
            <w:pStyle w:val="D935D0D938604B169DE841804DF7B6B0"/>
          </w:pPr>
          <w:r w:rsidRPr="001B3E66">
            <w:rPr>
              <w:rStyle w:val="PlaceholderText"/>
            </w:rPr>
            <w:t>Choose an item.</w:t>
          </w:r>
        </w:p>
      </w:docPartBody>
    </w:docPart>
    <w:docPart>
      <w:docPartPr>
        <w:name w:val="3BB71C72C2F94B789EA6A88D7A37198C"/>
        <w:category>
          <w:name w:val="General"/>
          <w:gallery w:val="placeholder"/>
        </w:category>
        <w:types>
          <w:type w:val="bbPlcHdr"/>
        </w:types>
        <w:behaviors>
          <w:behavior w:val="content"/>
        </w:behaviors>
        <w:guid w:val="{3C08748F-9E21-4D66-98DA-9CC58099405B}"/>
      </w:docPartPr>
      <w:docPartBody>
        <w:p w:rsidR="005D3322" w:rsidRDefault="00101C59" w:rsidP="00101C59">
          <w:pPr>
            <w:pStyle w:val="3BB71C72C2F94B789EA6A88D7A37198C"/>
          </w:pPr>
          <w:r w:rsidRPr="00CE2F3F">
            <w:rPr>
              <w:rStyle w:val="PlaceholderText"/>
            </w:rPr>
            <w:t>Klicken Sie hier, um Text einzugeben.</w:t>
          </w:r>
        </w:p>
      </w:docPartBody>
    </w:docPart>
    <w:docPart>
      <w:docPartPr>
        <w:name w:val="9A79F438FE6444B7B1A8A2AF5F849E0D"/>
        <w:category>
          <w:name w:val="General"/>
          <w:gallery w:val="placeholder"/>
        </w:category>
        <w:types>
          <w:type w:val="bbPlcHdr"/>
        </w:types>
        <w:behaviors>
          <w:behavior w:val="content"/>
        </w:behaviors>
        <w:guid w:val="{D753EA2B-B4DD-4B8C-A47D-DA96ADA511D0}"/>
      </w:docPartPr>
      <w:docPartBody>
        <w:p w:rsidR="005D3322" w:rsidRDefault="00101C59" w:rsidP="00101C59">
          <w:pPr>
            <w:pStyle w:val="9A79F438FE6444B7B1A8A2AF5F849E0D"/>
          </w:pPr>
          <w:r w:rsidRPr="00CE2F3F">
            <w:rPr>
              <w:rStyle w:val="PlaceholderText"/>
            </w:rPr>
            <w:t>Klicken Sie hier, um Text einzugeben.</w:t>
          </w:r>
        </w:p>
      </w:docPartBody>
    </w:docPart>
    <w:docPart>
      <w:docPartPr>
        <w:name w:val="C1D80F24FBEB427BBC6B26AE1EA5C04D"/>
        <w:category>
          <w:name w:val="General"/>
          <w:gallery w:val="placeholder"/>
        </w:category>
        <w:types>
          <w:type w:val="bbPlcHdr"/>
        </w:types>
        <w:behaviors>
          <w:behavior w:val="content"/>
        </w:behaviors>
        <w:guid w:val="{8E09D114-D7B5-463A-9505-A0CD464237FD}"/>
      </w:docPartPr>
      <w:docPartBody>
        <w:p w:rsidR="005D3322" w:rsidRDefault="00101C59" w:rsidP="00101C59">
          <w:pPr>
            <w:pStyle w:val="C1D80F24FBEB427BBC6B26AE1EA5C04D"/>
          </w:pPr>
          <w:r w:rsidRPr="0019515F">
            <w:rPr>
              <w:rStyle w:val="PlaceholderText"/>
            </w:rPr>
            <w:t>Klicken Sie hier, um Text einzugeben.</w:t>
          </w:r>
        </w:p>
      </w:docPartBody>
    </w:docPart>
    <w:docPart>
      <w:docPartPr>
        <w:name w:val="7729651773CE4DDDA0FFBD41982B3135"/>
        <w:category>
          <w:name w:val="General"/>
          <w:gallery w:val="placeholder"/>
        </w:category>
        <w:types>
          <w:type w:val="bbPlcHdr"/>
        </w:types>
        <w:behaviors>
          <w:behavior w:val="content"/>
        </w:behaviors>
        <w:guid w:val="{CCBE2E31-AFD6-4B2D-A67D-F61CC958AFFA}"/>
      </w:docPartPr>
      <w:docPartBody>
        <w:p w:rsidR="005D3322" w:rsidRDefault="00101C59" w:rsidP="00101C59">
          <w:pPr>
            <w:pStyle w:val="7729651773CE4DDDA0FFBD41982B3135"/>
          </w:pPr>
          <w:r>
            <w:t>##.#</w:t>
          </w:r>
        </w:p>
      </w:docPartBody>
    </w:docPart>
    <w:docPart>
      <w:docPartPr>
        <w:name w:val="E0D1CAC70E084DD0A4A12CAFB5953394"/>
        <w:category>
          <w:name w:val="General"/>
          <w:gallery w:val="placeholder"/>
        </w:category>
        <w:types>
          <w:type w:val="bbPlcHdr"/>
        </w:types>
        <w:behaviors>
          <w:behavior w:val="content"/>
        </w:behaviors>
        <w:guid w:val="{BC3DFD2E-8C68-4160-9B32-ACA4B3BDBA29}"/>
      </w:docPartPr>
      <w:docPartBody>
        <w:p w:rsidR="005D3322" w:rsidRDefault="00101C59" w:rsidP="00101C59">
          <w:pPr>
            <w:pStyle w:val="E0D1CAC70E084DD0A4A12CAFB5953394"/>
          </w:pPr>
          <w:r w:rsidRPr="00773362">
            <w:rPr>
              <w:rStyle w:val="PlaceholderText"/>
              <w:lang w:val="de-DE"/>
            </w:rPr>
            <w:t>Wählen Sie ein Element aus.</w:t>
          </w:r>
        </w:p>
      </w:docPartBody>
    </w:docPart>
    <w:docPart>
      <w:docPartPr>
        <w:name w:val="7DA411EED22340EC88BEBE2EFDD28747"/>
        <w:category>
          <w:name w:val="General"/>
          <w:gallery w:val="placeholder"/>
        </w:category>
        <w:types>
          <w:type w:val="bbPlcHdr"/>
        </w:types>
        <w:behaviors>
          <w:behavior w:val="content"/>
        </w:behaviors>
        <w:guid w:val="{DE94893A-3E6B-4A0D-AAC1-FB871479658E}"/>
      </w:docPartPr>
      <w:docPartBody>
        <w:p w:rsidR="005D3322" w:rsidRDefault="00101C59" w:rsidP="00101C59">
          <w:pPr>
            <w:pStyle w:val="7DA411EED22340EC88BEBE2EFDD28747"/>
          </w:pPr>
          <w:r w:rsidRPr="0019515F">
            <w:rPr>
              <w:rStyle w:val="PlaceholderText"/>
            </w:rPr>
            <w:t>Klicken Sie hier, um Text einzugeben.</w:t>
          </w:r>
        </w:p>
      </w:docPartBody>
    </w:docPart>
    <w:docPart>
      <w:docPartPr>
        <w:name w:val="5A6B3DC9CD12409A954345EDF9A6E65C"/>
        <w:category>
          <w:name w:val="General"/>
          <w:gallery w:val="placeholder"/>
        </w:category>
        <w:types>
          <w:type w:val="bbPlcHdr"/>
        </w:types>
        <w:behaviors>
          <w:behavior w:val="content"/>
        </w:behaviors>
        <w:guid w:val="{5ACC42F2-2BBD-4A33-ACA2-1ABE0BF1B9E5}"/>
      </w:docPartPr>
      <w:docPartBody>
        <w:p w:rsidR="005D3322" w:rsidRDefault="00101C59" w:rsidP="00101C59">
          <w:pPr>
            <w:pStyle w:val="5A6B3DC9CD12409A954345EDF9A6E65C"/>
          </w:pPr>
          <w:r w:rsidRPr="001B3E66">
            <w:rPr>
              <w:rStyle w:val="PlaceholderText"/>
            </w:rPr>
            <w:t>Choose an item.</w:t>
          </w:r>
        </w:p>
      </w:docPartBody>
    </w:docPart>
    <w:docPart>
      <w:docPartPr>
        <w:name w:val="BBB6FD3EEFEE44F39E824CF858D502E9"/>
        <w:category>
          <w:name w:val="General"/>
          <w:gallery w:val="placeholder"/>
        </w:category>
        <w:types>
          <w:type w:val="bbPlcHdr"/>
        </w:types>
        <w:behaviors>
          <w:behavior w:val="content"/>
        </w:behaviors>
        <w:guid w:val="{D2320D72-9823-4582-8114-1BAE4617A04B}"/>
      </w:docPartPr>
      <w:docPartBody>
        <w:p w:rsidR="005D3322" w:rsidRDefault="00101C59" w:rsidP="00101C59">
          <w:pPr>
            <w:pStyle w:val="BBB6FD3EEFEE44F39E824CF858D502E9"/>
          </w:pPr>
          <w:r w:rsidRPr="00CE2F3F">
            <w:rPr>
              <w:rStyle w:val="PlaceholderText"/>
            </w:rPr>
            <w:t>Klicken Sie hier, um Text einzugeben.</w:t>
          </w:r>
        </w:p>
      </w:docPartBody>
    </w:docPart>
    <w:docPart>
      <w:docPartPr>
        <w:name w:val="33F3C5F7BB514C97A6E7D1827CE413AE"/>
        <w:category>
          <w:name w:val="General"/>
          <w:gallery w:val="placeholder"/>
        </w:category>
        <w:types>
          <w:type w:val="bbPlcHdr"/>
        </w:types>
        <w:behaviors>
          <w:behavior w:val="content"/>
        </w:behaviors>
        <w:guid w:val="{BA4644DD-90B3-4F23-953F-5709125C62DD}"/>
      </w:docPartPr>
      <w:docPartBody>
        <w:p w:rsidR="005D3322" w:rsidRDefault="00101C59" w:rsidP="00101C59">
          <w:pPr>
            <w:pStyle w:val="33F3C5F7BB514C97A6E7D1827CE413AE"/>
          </w:pPr>
          <w:r w:rsidRPr="00CE2F3F">
            <w:rPr>
              <w:rStyle w:val="PlaceholderText"/>
            </w:rPr>
            <w:t>Klicken Sie hier, um Text einzugeben.</w:t>
          </w:r>
        </w:p>
      </w:docPartBody>
    </w:docPart>
    <w:docPart>
      <w:docPartPr>
        <w:name w:val="36685EA7D872410AB9ADD116277498C1"/>
        <w:category>
          <w:name w:val="General"/>
          <w:gallery w:val="placeholder"/>
        </w:category>
        <w:types>
          <w:type w:val="bbPlcHdr"/>
        </w:types>
        <w:behaviors>
          <w:behavior w:val="content"/>
        </w:behaviors>
        <w:guid w:val="{FDB1F8E8-7E54-49E3-9248-AA4E013A7FAF}"/>
      </w:docPartPr>
      <w:docPartBody>
        <w:p w:rsidR="005D3322" w:rsidRDefault="00101C59" w:rsidP="00101C59">
          <w:pPr>
            <w:pStyle w:val="36685EA7D872410AB9ADD116277498C1"/>
          </w:pPr>
          <w:r w:rsidRPr="0019515F">
            <w:rPr>
              <w:rStyle w:val="PlaceholderText"/>
            </w:rPr>
            <w:t>Klicken Sie hier, um Text einzugeben.</w:t>
          </w:r>
        </w:p>
      </w:docPartBody>
    </w:docPart>
    <w:docPart>
      <w:docPartPr>
        <w:name w:val="68215B66D65F4B49BCCA2BA72409F18E"/>
        <w:category>
          <w:name w:val="General"/>
          <w:gallery w:val="placeholder"/>
        </w:category>
        <w:types>
          <w:type w:val="bbPlcHdr"/>
        </w:types>
        <w:behaviors>
          <w:behavior w:val="content"/>
        </w:behaviors>
        <w:guid w:val="{CCF2A904-11B3-4ADB-A1D2-A7E49A7E534E}"/>
      </w:docPartPr>
      <w:docPartBody>
        <w:p w:rsidR="005D3322" w:rsidRDefault="00101C59" w:rsidP="00101C59">
          <w:pPr>
            <w:pStyle w:val="68215B66D65F4B49BCCA2BA72409F18E"/>
          </w:pPr>
          <w:r>
            <w:t>##.#</w:t>
          </w:r>
        </w:p>
      </w:docPartBody>
    </w:docPart>
    <w:docPart>
      <w:docPartPr>
        <w:name w:val="ED82FC9ED63C4F2A89BCB92DDC1325F3"/>
        <w:category>
          <w:name w:val="General"/>
          <w:gallery w:val="placeholder"/>
        </w:category>
        <w:types>
          <w:type w:val="bbPlcHdr"/>
        </w:types>
        <w:behaviors>
          <w:behavior w:val="content"/>
        </w:behaviors>
        <w:guid w:val="{73C087EF-5463-4E67-AEE6-36DEDCFC8D87}"/>
      </w:docPartPr>
      <w:docPartBody>
        <w:p w:rsidR="005D3322" w:rsidRDefault="00101C59" w:rsidP="00101C59">
          <w:pPr>
            <w:pStyle w:val="ED82FC9ED63C4F2A89BCB92DDC1325F3"/>
          </w:pPr>
          <w:r w:rsidRPr="00773362">
            <w:rPr>
              <w:rStyle w:val="PlaceholderText"/>
              <w:lang w:val="de-DE"/>
            </w:rPr>
            <w:t>Wählen Sie ein Element aus.</w:t>
          </w:r>
        </w:p>
      </w:docPartBody>
    </w:docPart>
    <w:docPart>
      <w:docPartPr>
        <w:name w:val="49B065CA2D77484499101EBD96DC2970"/>
        <w:category>
          <w:name w:val="General"/>
          <w:gallery w:val="placeholder"/>
        </w:category>
        <w:types>
          <w:type w:val="bbPlcHdr"/>
        </w:types>
        <w:behaviors>
          <w:behavior w:val="content"/>
        </w:behaviors>
        <w:guid w:val="{878E90CE-CAD2-4ED2-AF1A-097198F7C7AF}"/>
      </w:docPartPr>
      <w:docPartBody>
        <w:p w:rsidR="005D3322" w:rsidRDefault="00101C59" w:rsidP="00101C59">
          <w:pPr>
            <w:pStyle w:val="49B065CA2D77484499101EBD96DC2970"/>
          </w:pPr>
          <w:r w:rsidRPr="0019515F">
            <w:rPr>
              <w:rStyle w:val="PlaceholderText"/>
            </w:rPr>
            <w:t>Klicken Sie hier, um Text einzugeben.</w:t>
          </w:r>
        </w:p>
      </w:docPartBody>
    </w:docPart>
    <w:docPart>
      <w:docPartPr>
        <w:name w:val="D03B6B11BA4A4E3CA63CF80FE4B46C80"/>
        <w:category>
          <w:name w:val="General"/>
          <w:gallery w:val="placeholder"/>
        </w:category>
        <w:types>
          <w:type w:val="bbPlcHdr"/>
        </w:types>
        <w:behaviors>
          <w:behavior w:val="content"/>
        </w:behaviors>
        <w:guid w:val="{F97EBEA7-7165-418F-839D-D876AB160F61}"/>
      </w:docPartPr>
      <w:docPartBody>
        <w:p w:rsidR="005D3322" w:rsidRDefault="00101C59" w:rsidP="00101C59">
          <w:pPr>
            <w:pStyle w:val="D03B6B11BA4A4E3CA63CF80FE4B46C80"/>
          </w:pPr>
          <w:r w:rsidRPr="001B3E66">
            <w:rPr>
              <w:rStyle w:val="PlaceholderText"/>
            </w:rPr>
            <w:t>Choose an item.</w:t>
          </w:r>
        </w:p>
      </w:docPartBody>
    </w:docPart>
    <w:docPart>
      <w:docPartPr>
        <w:name w:val="2F81CB92A401480C907DF2A8AA3254FB"/>
        <w:category>
          <w:name w:val="General"/>
          <w:gallery w:val="placeholder"/>
        </w:category>
        <w:types>
          <w:type w:val="bbPlcHdr"/>
        </w:types>
        <w:behaviors>
          <w:behavior w:val="content"/>
        </w:behaviors>
        <w:guid w:val="{03D574AD-E261-4B9A-8C92-BC91DE8EE035}"/>
      </w:docPartPr>
      <w:docPartBody>
        <w:p w:rsidR="005D3322" w:rsidRDefault="00101C59" w:rsidP="00101C59">
          <w:pPr>
            <w:pStyle w:val="2F81CB92A401480C907DF2A8AA3254FB"/>
          </w:pPr>
          <w:r w:rsidRPr="00CE2F3F">
            <w:rPr>
              <w:rStyle w:val="PlaceholderText"/>
            </w:rPr>
            <w:t>Klicken Sie hier, um Text einzugeben.</w:t>
          </w:r>
        </w:p>
      </w:docPartBody>
    </w:docPart>
    <w:docPart>
      <w:docPartPr>
        <w:name w:val="2D27E8AFCAC845848C79D4D0FB519046"/>
        <w:category>
          <w:name w:val="General"/>
          <w:gallery w:val="placeholder"/>
        </w:category>
        <w:types>
          <w:type w:val="bbPlcHdr"/>
        </w:types>
        <w:behaviors>
          <w:behavior w:val="content"/>
        </w:behaviors>
        <w:guid w:val="{B7BC88B7-98D2-469C-9236-889E8328F8B7}"/>
      </w:docPartPr>
      <w:docPartBody>
        <w:p w:rsidR="005D3322" w:rsidRDefault="00101C59" w:rsidP="00101C59">
          <w:pPr>
            <w:pStyle w:val="2D27E8AFCAC845848C79D4D0FB519046"/>
          </w:pPr>
          <w:r w:rsidRPr="00CE2F3F">
            <w:rPr>
              <w:rStyle w:val="PlaceholderText"/>
            </w:rPr>
            <w:t>Klicken Sie hier, um Text einzugeben.</w:t>
          </w:r>
        </w:p>
      </w:docPartBody>
    </w:docPart>
    <w:docPart>
      <w:docPartPr>
        <w:name w:val="655FB8789F1643858F6D9785BA87A4F4"/>
        <w:category>
          <w:name w:val="General"/>
          <w:gallery w:val="placeholder"/>
        </w:category>
        <w:types>
          <w:type w:val="bbPlcHdr"/>
        </w:types>
        <w:behaviors>
          <w:behavior w:val="content"/>
        </w:behaviors>
        <w:guid w:val="{EF9BE800-6BEC-4B88-8BCA-B544EA17285D}"/>
      </w:docPartPr>
      <w:docPartBody>
        <w:p w:rsidR="005D3322" w:rsidRDefault="00101C59" w:rsidP="00101C59">
          <w:pPr>
            <w:pStyle w:val="655FB8789F1643858F6D9785BA87A4F4"/>
          </w:pPr>
          <w:r w:rsidRPr="0019515F">
            <w:rPr>
              <w:rStyle w:val="PlaceholderText"/>
            </w:rPr>
            <w:t>Klicken Sie hier, um Text einzugeben.</w:t>
          </w:r>
        </w:p>
      </w:docPartBody>
    </w:docPart>
    <w:docPart>
      <w:docPartPr>
        <w:name w:val="E67955C34C9B4AED80DC3DA8F66152DD"/>
        <w:category>
          <w:name w:val="General"/>
          <w:gallery w:val="placeholder"/>
        </w:category>
        <w:types>
          <w:type w:val="bbPlcHdr"/>
        </w:types>
        <w:behaviors>
          <w:behavior w:val="content"/>
        </w:behaviors>
        <w:guid w:val="{FBCCB0AC-79B3-4AAE-A3AF-C57F2E8CF965}"/>
      </w:docPartPr>
      <w:docPartBody>
        <w:p w:rsidR="005D3322" w:rsidRDefault="00101C59" w:rsidP="00101C59">
          <w:pPr>
            <w:pStyle w:val="E67955C34C9B4AED80DC3DA8F66152DD"/>
          </w:pPr>
          <w: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revisionView w:formatting="0"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4FA3"/>
    <w:rsid w:val="00003D8D"/>
    <w:rsid w:val="000072CA"/>
    <w:rsid w:val="000109FD"/>
    <w:rsid w:val="00012F00"/>
    <w:rsid w:val="0001708D"/>
    <w:rsid w:val="00021D49"/>
    <w:rsid w:val="00022632"/>
    <w:rsid w:val="00025561"/>
    <w:rsid w:val="00040CD3"/>
    <w:rsid w:val="0005022C"/>
    <w:rsid w:val="000535E5"/>
    <w:rsid w:val="0005634B"/>
    <w:rsid w:val="00060432"/>
    <w:rsid w:val="00061550"/>
    <w:rsid w:val="000664B9"/>
    <w:rsid w:val="00072440"/>
    <w:rsid w:val="00072BE5"/>
    <w:rsid w:val="000B17FF"/>
    <w:rsid w:val="000B4E05"/>
    <w:rsid w:val="000C0226"/>
    <w:rsid w:val="000C0285"/>
    <w:rsid w:val="000C181C"/>
    <w:rsid w:val="000C2B35"/>
    <w:rsid w:val="000D1F80"/>
    <w:rsid w:val="000D2EAF"/>
    <w:rsid w:val="000D74C2"/>
    <w:rsid w:val="000D7AD8"/>
    <w:rsid w:val="000E0C58"/>
    <w:rsid w:val="000E3340"/>
    <w:rsid w:val="000F1BB1"/>
    <w:rsid w:val="000F754F"/>
    <w:rsid w:val="00101528"/>
    <w:rsid w:val="00101C59"/>
    <w:rsid w:val="00106FAA"/>
    <w:rsid w:val="00110455"/>
    <w:rsid w:val="00116214"/>
    <w:rsid w:val="001228D7"/>
    <w:rsid w:val="00127604"/>
    <w:rsid w:val="00132A2E"/>
    <w:rsid w:val="00134E6D"/>
    <w:rsid w:val="001469AF"/>
    <w:rsid w:val="001545DF"/>
    <w:rsid w:val="00157683"/>
    <w:rsid w:val="00161573"/>
    <w:rsid w:val="0016175B"/>
    <w:rsid w:val="001777F8"/>
    <w:rsid w:val="00180DBF"/>
    <w:rsid w:val="00184169"/>
    <w:rsid w:val="00186E44"/>
    <w:rsid w:val="00187964"/>
    <w:rsid w:val="001D26F4"/>
    <w:rsid w:val="001D33EE"/>
    <w:rsid w:val="001E085F"/>
    <w:rsid w:val="001E1170"/>
    <w:rsid w:val="001E155B"/>
    <w:rsid w:val="001E2FAD"/>
    <w:rsid w:val="001E789E"/>
    <w:rsid w:val="002003FA"/>
    <w:rsid w:val="002034F6"/>
    <w:rsid w:val="00226BA1"/>
    <w:rsid w:val="00234A23"/>
    <w:rsid w:val="00244EC3"/>
    <w:rsid w:val="00252F08"/>
    <w:rsid w:val="0025681E"/>
    <w:rsid w:val="002667DE"/>
    <w:rsid w:val="00277CAB"/>
    <w:rsid w:val="0028007E"/>
    <w:rsid w:val="002943CC"/>
    <w:rsid w:val="002A1EBD"/>
    <w:rsid w:val="002B6B6F"/>
    <w:rsid w:val="002C3901"/>
    <w:rsid w:val="002C6D54"/>
    <w:rsid w:val="002D7998"/>
    <w:rsid w:val="002E1276"/>
    <w:rsid w:val="002F05C5"/>
    <w:rsid w:val="002F24CA"/>
    <w:rsid w:val="002F3D36"/>
    <w:rsid w:val="002F77A9"/>
    <w:rsid w:val="00303364"/>
    <w:rsid w:val="003144B0"/>
    <w:rsid w:val="00320066"/>
    <w:rsid w:val="00320DCE"/>
    <w:rsid w:val="003224D6"/>
    <w:rsid w:val="00327D57"/>
    <w:rsid w:val="00334460"/>
    <w:rsid w:val="003419DB"/>
    <w:rsid w:val="003447DD"/>
    <w:rsid w:val="003475D5"/>
    <w:rsid w:val="00364901"/>
    <w:rsid w:val="0037157E"/>
    <w:rsid w:val="00371E60"/>
    <w:rsid w:val="00376CC0"/>
    <w:rsid w:val="00376F44"/>
    <w:rsid w:val="003820A7"/>
    <w:rsid w:val="00387E8A"/>
    <w:rsid w:val="003A0E56"/>
    <w:rsid w:val="003A263E"/>
    <w:rsid w:val="003A6FF5"/>
    <w:rsid w:val="003A702B"/>
    <w:rsid w:val="003C1656"/>
    <w:rsid w:val="003C2BA3"/>
    <w:rsid w:val="003C71C5"/>
    <w:rsid w:val="003C7CB3"/>
    <w:rsid w:val="003D6B4C"/>
    <w:rsid w:val="003E2FA2"/>
    <w:rsid w:val="003E75EF"/>
    <w:rsid w:val="004078C8"/>
    <w:rsid w:val="00423901"/>
    <w:rsid w:val="00427437"/>
    <w:rsid w:val="004322D8"/>
    <w:rsid w:val="0043410E"/>
    <w:rsid w:val="00436F06"/>
    <w:rsid w:val="00441736"/>
    <w:rsid w:val="00467B32"/>
    <w:rsid w:val="004739E0"/>
    <w:rsid w:val="00480D9D"/>
    <w:rsid w:val="0048174D"/>
    <w:rsid w:val="004863B9"/>
    <w:rsid w:val="004863FB"/>
    <w:rsid w:val="00487143"/>
    <w:rsid w:val="00487975"/>
    <w:rsid w:val="00487C89"/>
    <w:rsid w:val="004970C4"/>
    <w:rsid w:val="004A4E7C"/>
    <w:rsid w:val="004B12D9"/>
    <w:rsid w:val="004B7C32"/>
    <w:rsid w:val="004C0965"/>
    <w:rsid w:val="004D29A7"/>
    <w:rsid w:val="004D2C81"/>
    <w:rsid w:val="004D592D"/>
    <w:rsid w:val="004E0E8B"/>
    <w:rsid w:val="004E104C"/>
    <w:rsid w:val="004E2373"/>
    <w:rsid w:val="004E2E88"/>
    <w:rsid w:val="004E35EE"/>
    <w:rsid w:val="004E752D"/>
    <w:rsid w:val="004F650A"/>
    <w:rsid w:val="00515A93"/>
    <w:rsid w:val="00524B09"/>
    <w:rsid w:val="00524E59"/>
    <w:rsid w:val="00532DC0"/>
    <w:rsid w:val="00537384"/>
    <w:rsid w:val="0054148B"/>
    <w:rsid w:val="00544A1C"/>
    <w:rsid w:val="00552D8C"/>
    <w:rsid w:val="005618CE"/>
    <w:rsid w:val="00571186"/>
    <w:rsid w:val="005715D4"/>
    <w:rsid w:val="005747E2"/>
    <w:rsid w:val="00590CCF"/>
    <w:rsid w:val="005A2AA0"/>
    <w:rsid w:val="005A3B9C"/>
    <w:rsid w:val="005A730D"/>
    <w:rsid w:val="005B0BBC"/>
    <w:rsid w:val="005C15D5"/>
    <w:rsid w:val="005C7C20"/>
    <w:rsid w:val="005D3322"/>
    <w:rsid w:val="005D64FB"/>
    <w:rsid w:val="005E757E"/>
    <w:rsid w:val="005F258F"/>
    <w:rsid w:val="006044AA"/>
    <w:rsid w:val="00605F16"/>
    <w:rsid w:val="00617F22"/>
    <w:rsid w:val="00622228"/>
    <w:rsid w:val="00624C58"/>
    <w:rsid w:val="00625363"/>
    <w:rsid w:val="006255C8"/>
    <w:rsid w:val="00631B2B"/>
    <w:rsid w:val="00631CA7"/>
    <w:rsid w:val="006340F5"/>
    <w:rsid w:val="00634181"/>
    <w:rsid w:val="00642051"/>
    <w:rsid w:val="00646AEE"/>
    <w:rsid w:val="00651733"/>
    <w:rsid w:val="00652A14"/>
    <w:rsid w:val="00652E60"/>
    <w:rsid w:val="006625B8"/>
    <w:rsid w:val="0066717A"/>
    <w:rsid w:val="0067523F"/>
    <w:rsid w:val="00676C08"/>
    <w:rsid w:val="00686F80"/>
    <w:rsid w:val="006A0687"/>
    <w:rsid w:val="006A4E6B"/>
    <w:rsid w:val="006B2728"/>
    <w:rsid w:val="006B6215"/>
    <w:rsid w:val="006C0524"/>
    <w:rsid w:val="006C2602"/>
    <w:rsid w:val="006C5C57"/>
    <w:rsid w:val="006D1E2A"/>
    <w:rsid w:val="006D1F36"/>
    <w:rsid w:val="006D532C"/>
    <w:rsid w:val="006E03A3"/>
    <w:rsid w:val="006E39B7"/>
    <w:rsid w:val="006F5221"/>
    <w:rsid w:val="006F6145"/>
    <w:rsid w:val="00710DAB"/>
    <w:rsid w:val="00721295"/>
    <w:rsid w:val="00727105"/>
    <w:rsid w:val="00737A31"/>
    <w:rsid w:val="00745670"/>
    <w:rsid w:val="0074668E"/>
    <w:rsid w:val="007511F5"/>
    <w:rsid w:val="007559DF"/>
    <w:rsid w:val="00755D10"/>
    <w:rsid w:val="0075738B"/>
    <w:rsid w:val="00762C92"/>
    <w:rsid w:val="00762FC2"/>
    <w:rsid w:val="00765E81"/>
    <w:rsid w:val="0077208C"/>
    <w:rsid w:val="00781CAA"/>
    <w:rsid w:val="00785D52"/>
    <w:rsid w:val="00786270"/>
    <w:rsid w:val="007864D8"/>
    <w:rsid w:val="0079676F"/>
    <w:rsid w:val="00796DE0"/>
    <w:rsid w:val="007A2623"/>
    <w:rsid w:val="007A44C2"/>
    <w:rsid w:val="007A70C8"/>
    <w:rsid w:val="007B681B"/>
    <w:rsid w:val="007B7F9A"/>
    <w:rsid w:val="007C6258"/>
    <w:rsid w:val="007D25EE"/>
    <w:rsid w:val="007D2938"/>
    <w:rsid w:val="007D392F"/>
    <w:rsid w:val="007E3797"/>
    <w:rsid w:val="007E71D1"/>
    <w:rsid w:val="007F665F"/>
    <w:rsid w:val="008222AD"/>
    <w:rsid w:val="00827EF2"/>
    <w:rsid w:val="008345DA"/>
    <w:rsid w:val="00836C9B"/>
    <w:rsid w:val="00843F92"/>
    <w:rsid w:val="008505E2"/>
    <w:rsid w:val="00851B62"/>
    <w:rsid w:val="00855508"/>
    <w:rsid w:val="00855C2A"/>
    <w:rsid w:val="0086188F"/>
    <w:rsid w:val="00866D06"/>
    <w:rsid w:val="00874F49"/>
    <w:rsid w:val="00875DAA"/>
    <w:rsid w:val="00883D0D"/>
    <w:rsid w:val="00891B9D"/>
    <w:rsid w:val="008A23FD"/>
    <w:rsid w:val="008A4120"/>
    <w:rsid w:val="008A4FA3"/>
    <w:rsid w:val="008A7616"/>
    <w:rsid w:val="008B0474"/>
    <w:rsid w:val="008B1E64"/>
    <w:rsid w:val="008B2F7F"/>
    <w:rsid w:val="008B6410"/>
    <w:rsid w:val="008B7F14"/>
    <w:rsid w:val="008C7589"/>
    <w:rsid w:val="008E135F"/>
    <w:rsid w:val="008E2099"/>
    <w:rsid w:val="008F5A67"/>
    <w:rsid w:val="00900B26"/>
    <w:rsid w:val="00911AC4"/>
    <w:rsid w:val="00912269"/>
    <w:rsid w:val="0091790A"/>
    <w:rsid w:val="00920637"/>
    <w:rsid w:val="0093645C"/>
    <w:rsid w:val="009369DB"/>
    <w:rsid w:val="009425D6"/>
    <w:rsid w:val="00943015"/>
    <w:rsid w:val="009435F0"/>
    <w:rsid w:val="00945B54"/>
    <w:rsid w:val="00955D7F"/>
    <w:rsid w:val="00961CB6"/>
    <w:rsid w:val="0096326C"/>
    <w:rsid w:val="00971B92"/>
    <w:rsid w:val="00971C5F"/>
    <w:rsid w:val="00972BB4"/>
    <w:rsid w:val="00973984"/>
    <w:rsid w:val="0097423D"/>
    <w:rsid w:val="00975F30"/>
    <w:rsid w:val="009807AC"/>
    <w:rsid w:val="009A69F1"/>
    <w:rsid w:val="009D2A5B"/>
    <w:rsid w:val="009D3FB2"/>
    <w:rsid w:val="009E038B"/>
    <w:rsid w:val="009E1CD7"/>
    <w:rsid w:val="009E3651"/>
    <w:rsid w:val="009E4B74"/>
    <w:rsid w:val="009E508A"/>
    <w:rsid w:val="009F2905"/>
    <w:rsid w:val="00A00409"/>
    <w:rsid w:val="00A025D1"/>
    <w:rsid w:val="00A064E5"/>
    <w:rsid w:val="00A10FBB"/>
    <w:rsid w:val="00A1543D"/>
    <w:rsid w:val="00A21D62"/>
    <w:rsid w:val="00A278A0"/>
    <w:rsid w:val="00A370A2"/>
    <w:rsid w:val="00A409DA"/>
    <w:rsid w:val="00A41F12"/>
    <w:rsid w:val="00A57944"/>
    <w:rsid w:val="00A72600"/>
    <w:rsid w:val="00A8674C"/>
    <w:rsid w:val="00AA22FB"/>
    <w:rsid w:val="00AA29C1"/>
    <w:rsid w:val="00AA4265"/>
    <w:rsid w:val="00AA5DD3"/>
    <w:rsid w:val="00AB1D85"/>
    <w:rsid w:val="00AB4684"/>
    <w:rsid w:val="00AE06E3"/>
    <w:rsid w:val="00AE1FD8"/>
    <w:rsid w:val="00AE2752"/>
    <w:rsid w:val="00AF6B67"/>
    <w:rsid w:val="00B00C8A"/>
    <w:rsid w:val="00B03086"/>
    <w:rsid w:val="00B03F08"/>
    <w:rsid w:val="00B07EEC"/>
    <w:rsid w:val="00B151D7"/>
    <w:rsid w:val="00B246A1"/>
    <w:rsid w:val="00B254CA"/>
    <w:rsid w:val="00B31378"/>
    <w:rsid w:val="00B3140C"/>
    <w:rsid w:val="00B33523"/>
    <w:rsid w:val="00B41290"/>
    <w:rsid w:val="00B42C1F"/>
    <w:rsid w:val="00B529DB"/>
    <w:rsid w:val="00B65FCE"/>
    <w:rsid w:val="00B677D3"/>
    <w:rsid w:val="00B77BA7"/>
    <w:rsid w:val="00B811FA"/>
    <w:rsid w:val="00B9792C"/>
    <w:rsid w:val="00BA17E9"/>
    <w:rsid w:val="00BB28B0"/>
    <w:rsid w:val="00BB3D41"/>
    <w:rsid w:val="00BB72F8"/>
    <w:rsid w:val="00BB7735"/>
    <w:rsid w:val="00BC3596"/>
    <w:rsid w:val="00BD01AB"/>
    <w:rsid w:val="00BD59F9"/>
    <w:rsid w:val="00BD7A5D"/>
    <w:rsid w:val="00BE4ABB"/>
    <w:rsid w:val="00BF5BAD"/>
    <w:rsid w:val="00C02A2F"/>
    <w:rsid w:val="00C10B5B"/>
    <w:rsid w:val="00C10BFE"/>
    <w:rsid w:val="00C12715"/>
    <w:rsid w:val="00C1399A"/>
    <w:rsid w:val="00C13F0F"/>
    <w:rsid w:val="00C1789B"/>
    <w:rsid w:val="00C21A70"/>
    <w:rsid w:val="00C32BCB"/>
    <w:rsid w:val="00C33EBD"/>
    <w:rsid w:val="00C35D02"/>
    <w:rsid w:val="00C3720A"/>
    <w:rsid w:val="00C40C13"/>
    <w:rsid w:val="00C44179"/>
    <w:rsid w:val="00C45561"/>
    <w:rsid w:val="00C5035E"/>
    <w:rsid w:val="00C52334"/>
    <w:rsid w:val="00C52732"/>
    <w:rsid w:val="00C5799E"/>
    <w:rsid w:val="00C606AA"/>
    <w:rsid w:val="00C62445"/>
    <w:rsid w:val="00C737BA"/>
    <w:rsid w:val="00C8035C"/>
    <w:rsid w:val="00C835EC"/>
    <w:rsid w:val="00C85A67"/>
    <w:rsid w:val="00CB2CFA"/>
    <w:rsid w:val="00CB5011"/>
    <w:rsid w:val="00CC3256"/>
    <w:rsid w:val="00CC5679"/>
    <w:rsid w:val="00CC7E75"/>
    <w:rsid w:val="00CD1D56"/>
    <w:rsid w:val="00CD321C"/>
    <w:rsid w:val="00CD38D1"/>
    <w:rsid w:val="00CD3A13"/>
    <w:rsid w:val="00CF0BD9"/>
    <w:rsid w:val="00CF1518"/>
    <w:rsid w:val="00D023A4"/>
    <w:rsid w:val="00D057BF"/>
    <w:rsid w:val="00D15B27"/>
    <w:rsid w:val="00D22826"/>
    <w:rsid w:val="00D34F9E"/>
    <w:rsid w:val="00D43392"/>
    <w:rsid w:val="00D556B9"/>
    <w:rsid w:val="00D557C2"/>
    <w:rsid w:val="00D55F81"/>
    <w:rsid w:val="00D64B6E"/>
    <w:rsid w:val="00D806E4"/>
    <w:rsid w:val="00D82BD6"/>
    <w:rsid w:val="00D851B4"/>
    <w:rsid w:val="00D90BB2"/>
    <w:rsid w:val="00D92610"/>
    <w:rsid w:val="00DA0A43"/>
    <w:rsid w:val="00DA0BD4"/>
    <w:rsid w:val="00DA123B"/>
    <w:rsid w:val="00DA247C"/>
    <w:rsid w:val="00DA3992"/>
    <w:rsid w:val="00DC23B6"/>
    <w:rsid w:val="00DC530B"/>
    <w:rsid w:val="00DD1880"/>
    <w:rsid w:val="00DD4E4C"/>
    <w:rsid w:val="00DD5EF3"/>
    <w:rsid w:val="00DE12AF"/>
    <w:rsid w:val="00DE41D3"/>
    <w:rsid w:val="00DF0834"/>
    <w:rsid w:val="00DF1336"/>
    <w:rsid w:val="00DF2325"/>
    <w:rsid w:val="00DF6CE5"/>
    <w:rsid w:val="00E00E92"/>
    <w:rsid w:val="00E1516D"/>
    <w:rsid w:val="00E172EF"/>
    <w:rsid w:val="00E22D98"/>
    <w:rsid w:val="00E2311C"/>
    <w:rsid w:val="00E42ED8"/>
    <w:rsid w:val="00E4360E"/>
    <w:rsid w:val="00E44EDF"/>
    <w:rsid w:val="00E47DCC"/>
    <w:rsid w:val="00E5607A"/>
    <w:rsid w:val="00E64862"/>
    <w:rsid w:val="00E7651C"/>
    <w:rsid w:val="00E77073"/>
    <w:rsid w:val="00E82254"/>
    <w:rsid w:val="00E86874"/>
    <w:rsid w:val="00E93063"/>
    <w:rsid w:val="00E93AFE"/>
    <w:rsid w:val="00E968B5"/>
    <w:rsid w:val="00EA20B6"/>
    <w:rsid w:val="00EA5CF4"/>
    <w:rsid w:val="00EB2583"/>
    <w:rsid w:val="00EB3950"/>
    <w:rsid w:val="00EC04BE"/>
    <w:rsid w:val="00EC4CC7"/>
    <w:rsid w:val="00EC5B2A"/>
    <w:rsid w:val="00ED12F4"/>
    <w:rsid w:val="00ED6C28"/>
    <w:rsid w:val="00EE2F36"/>
    <w:rsid w:val="00EE6AEB"/>
    <w:rsid w:val="00EE7520"/>
    <w:rsid w:val="00EF68F6"/>
    <w:rsid w:val="00F008A8"/>
    <w:rsid w:val="00F03025"/>
    <w:rsid w:val="00F030E7"/>
    <w:rsid w:val="00F13EE5"/>
    <w:rsid w:val="00F14C5B"/>
    <w:rsid w:val="00F15672"/>
    <w:rsid w:val="00F329AA"/>
    <w:rsid w:val="00F35254"/>
    <w:rsid w:val="00F3530C"/>
    <w:rsid w:val="00F52BEE"/>
    <w:rsid w:val="00F540AE"/>
    <w:rsid w:val="00F67D29"/>
    <w:rsid w:val="00F77277"/>
    <w:rsid w:val="00F84D4E"/>
    <w:rsid w:val="00F85C7A"/>
    <w:rsid w:val="00F9750E"/>
    <w:rsid w:val="00F97D33"/>
    <w:rsid w:val="00FA060F"/>
    <w:rsid w:val="00FA1EA8"/>
    <w:rsid w:val="00FB0F41"/>
    <w:rsid w:val="00FB5A6E"/>
    <w:rsid w:val="00FC028C"/>
    <w:rsid w:val="00FC0E99"/>
    <w:rsid w:val="00FC1A9D"/>
    <w:rsid w:val="00FC54FB"/>
    <w:rsid w:val="00FC693F"/>
    <w:rsid w:val="00FD1858"/>
    <w:rsid w:val="00FE0266"/>
    <w:rsid w:val="00FF764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34261786"/>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101C59"/>
    <w:rPr>
      <w:color w:val="808080"/>
    </w:rPr>
  </w:style>
  <w:style w:type="paragraph" w:customStyle="1" w:styleId="4D08D16AF5F140AAB73A0F79BF2C8F3E">
    <w:name w:val="4D08D16AF5F140AAB73A0F79BF2C8F3E"/>
  </w:style>
  <w:style w:type="paragraph" w:customStyle="1" w:styleId="5A3100E1B7214021BB4C4D0BE6428D77">
    <w:name w:val="5A3100E1B7214021BB4C4D0BE6428D77"/>
  </w:style>
  <w:style w:type="paragraph" w:customStyle="1" w:styleId="734F7489B6C645BE8C2B7D9415DD2522">
    <w:name w:val="734F7489B6C645BE8C2B7D9415DD2522"/>
  </w:style>
  <w:style w:type="paragraph" w:customStyle="1" w:styleId="C249ADBE03F04533AA34C8A8C9A0D93F">
    <w:name w:val="C249ADBE03F04533AA34C8A8C9A0D93F"/>
    <w:rsid w:val="00E1516D"/>
  </w:style>
  <w:style w:type="paragraph" w:customStyle="1" w:styleId="E4B7961FB81D4C16B97D6D21FF0D7795">
    <w:name w:val="E4B7961FB81D4C16B97D6D21FF0D7795"/>
  </w:style>
  <w:style w:type="paragraph" w:customStyle="1" w:styleId="4749300D354F4E5B89482C4B3694DD2E">
    <w:name w:val="4749300D354F4E5B89482C4B3694DD2E"/>
  </w:style>
  <w:style w:type="paragraph" w:customStyle="1" w:styleId="62597BBFFFC64953A66E570A71B93527">
    <w:name w:val="62597BBFFFC64953A66E570A71B93527"/>
  </w:style>
  <w:style w:type="paragraph" w:customStyle="1" w:styleId="317B7105C08742AB9C545C33D8AB4CC3">
    <w:name w:val="317B7105C08742AB9C545C33D8AB4CC3"/>
  </w:style>
  <w:style w:type="paragraph" w:customStyle="1" w:styleId="C27A5DEC7E7E46DCB4C1B74314711F86">
    <w:name w:val="C27A5DEC7E7E46DCB4C1B74314711F86"/>
    <w:rsid w:val="00101C59"/>
    <w:pPr>
      <w:spacing w:line="278" w:lineRule="auto"/>
    </w:pPr>
    <w:rPr>
      <w:kern w:val="2"/>
      <w:sz w:val="24"/>
      <w:szCs w:val="24"/>
      <w14:ligatures w14:val="standardContextual"/>
    </w:rPr>
  </w:style>
  <w:style w:type="paragraph" w:customStyle="1" w:styleId="A384096BD848438F886F04592C7B5CFB">
    <w:name w:val="A384096BD848438F886F04592C7B5CFB"/>
    <w:rsid w:val="00101C59"/>
    <w:pPr>
      <w:spacing w:line="278" w:lineRule="auto"/>
    </w:pPr>
    <w:rPr>
      <w:kern w:val="2"/>
      <w:sz w:val="24"/>
      <w:szCs w:val="24"/>
      <w14:ligatures w14:val="standardContextual"/>
    </w:rPr>
  </w:style>
  <w:style w:type="paragraph" w:customStyle="1" w:styleId="D935D0D938604B169DE841804DF7B6B0">
    <w:name w:val="D935D0D938604B169DE841804DF7B6B0"/>
    <w:rsid w:val="00101C59"/>
    <w:pPr>
      <w:spacing w:line="278" w:lineRule="auto"/>
    </w:pPr>
    <w:rPr>
      <w:kern w:val="2"/>
      <w:sz w:val="24"/>
      <w:szCs w:val="24"/>
      <w14:ligatures w14:val="standardContextual"/>
    </w:rPr>
  </w:style>
  <w:style w:type="paragraph" w:customStyle="1" w:styleId="3BB71C72C2F94B789EA6A88D7A37198C">
    <w:name w:val="3BB71C72C2F94B789EA6A88D7A37198C"/>
    <w:rsid w:val="00101C59"/>
    <w:pPr>
      <w:spacing w:line="278" w:lineRule="auto"/>
    </w:pPr>
    <w:rPr>
      <w:kern w:val="2"/>
      <w:sz w:val="24"/>
      <w:szCs w:val="24"/>
      <w14:ligatures w14:val="standardContextual"/>
    </w:rPr>
  </w:style>
  <w:style w:type="paragraph" w:customStyle="1" w:styleId="9A79F438FE6444B7B1A8A2AF5F849E0D">
    <w:name w:val="9A79F438FE6444B7B1A8A2AF5F849E0D"/>
    <w:rsid w:val="00101C59"/>
    <w:pPr>
      <w:spacing w:line="278" w:lineRule="auto"/>
    </w:pPr>
    <w:rPr>
      <w:kern w:val="2"/>
      <w:sz w:val="24"/>
      <w:szCs w:val="24"/>
      <w14:ligatures w14:val="standardContextual"/>
    </w:rPr>
  </w:style>
  <w:style w:type="paragraph" w:customStyle="1" w:styleId="C1D80F24FBEB427BBC6B26AE1EA5C04D">
    <w:name w:val="C1D80F24FBEB427BBC6B26AE1EA5C04D"/>
    <w:rsid w:val="00101C59"/>
    <w:pPr>
      <w:spacing w:line="278" w:lineRule="auto"/>
    </w:pPr>
    <w:rPr>
      <w:kern w:val="2"/>
      <w:sz w:val="24"/>
      <w:szCs w:val="24"/>
      <w14:ligatures w14:val="standardContextual"/>
    </w:rPr>
  </w:style>
  <w:style w:type="paragraph" w:customStyle="1" w:styleId="7729651773CE4DDDA0FFBD41982B3135">
    <w:name w:val="7729651773CE4DDDA0FFBD41982B3135"/>
    <w:rsid w:val="00101C59"/>
    <w:pPr>
      <w:spacing w:line="278" w:lineRule="auto"/>
    </w:pPr>
    <w:rPr>
      <w:kern w:val="2"/>
      <w:sz w:val="24"/>
      <w:szCs w:val="24"/>
      <w14:ligatures w14:val="standardContextual"/>
    </w:rPr>
  </w:style>
  <w:style w:type="paragraph" w:customStyle="1" w:styleId="E0D1CAC70E084DD0A4A12CAFB5953394">
    <w:name w:val="E0D1CAC70E084DD0A4A12CAFB5953394"/>
    <w:rsid w:val="00101C59"/>
    <w:pPr>
      <w:spacing w:line="278" w:lineRule="auto"/>
    </w:pPr>
    <w:rPr>
      <w:kern w:val="2"/>
      <w:sz w:val="24"/>
      <w:szCs w:val="24"/>
      <w14:ligatures w14:val="standardContextual"/>
    </w:rPr>
  </w:style>
  <w:style w:type="paragraph" w:customStyle="1" w:styleId="7DA411EED22340EC88BEBE2EFDD28747">
    <w:name w:val="7DA411EED22340EC88BEBE2EFDD28747"/>
    <w:rsid w:val="00101C59"/>
    <w:pPr>
      <w:spacing w:line="278" w:lineRule="auto"/>
    </w:pPr>
    <w:rPr>
      <w:kern w:val="2"/>
      <w:sz w:val="24"/>
      <w:szCs w:val="24"/>
      <w14:ligatures w14:val="standardContextual"/>
    </w:rPr>
  </w:style>
  <w:style w:type="paragraph" w:customStyle="1" w:styleId="5A6B3DC9CD12409A954345EDF9A6E65C">
    <w:name w:val="5A6B3DC9CD12409A954345EDF9A6E65C"/>
    <w:rsid w:val="00101C59"/>
    <w:pPr>
      <w:spacing w:line="278" w:lineRule="auto"/>
    </w:pPr>
    <w:rPr>
      <w:kern w:val="2"/>
      <w:sz w:val="24"/>
      <w:szCs w:val="24"/>
      <w14:ligatures w14:val="standardContextual"/>
    </w:rPr>
  </w:style>
  <w:style w:type="paragraph" w:customStyle="1" w:styleId="BBB6FD3EEFEE44F39E824CF858D502E9">
    <w:name w:val="BBB6FD3EEFEE44F39E824CF858D502E9"/>
    <w:rsid w:val="00101C59"/>
    <w:pPr>
      <w:spacing w:line="278" w:lineRule="auto"/>
    </w:pPr>
    <w:rPr>
      <w:kern w:val="2"/>
      <w:sz w:val="24"/>
      <w:szCs w:val="24"/>
      <w14:ligatures w14:val="standardContextual"/>
    </w:rPr>
  </w:style>
  <w:style w:type="paragraph" w:customStyle="1" w:styleId="33F3C5F7BB514C97A6E7D1827CE413AE">
    <w:name w:val="33F3C5F7BB514C97A6E7D1827CE413AE"/>
    <w:rsid w:val="00101C59"/>
    <w:pPr>
      <w:spacing w:line="278" w:lineRule="auto"/>
    </w:pPr>
    <w:rPr>
      <w:kern w:val="2"/>
      <w:sz w:val="24"/>
      <w:szCs w:val="24"/>
      <w14:ligatures w14:val="standardContextual"/>
    </w:rPr>
  </w:style>
  <w:style w:type="paragraph" w:customStyle="1" w:styleId="36685EA7D872410AB9ADD116277498C1">
    <w:name w:val="36685EA7D872410AB9ADD116277498C1"/>
    <w:rsid w:val="00101C59"/>
    <w:pPr>
      <w:spacing w:line="278" w:lineRule="auto"/>
    </w:pPr>
    <w:rPr>
      <w:kern w:val="2"/>
      <w:sz w:val="24"/>
      <w:szCs w:val="24"/>
      <w14:ligatures w14:val="standardContextual"/>
    </w:rPr>
  </w:style>
  <w:style w:type="paragraph" w:customStyle="1" w:styleId="68215B66D65F4B49BCCA2BA72409F18E">
    <w:name w:val="68215B66D65F4B49BCCA2BA72409F18E"/>
    <w:rsid w:val="00101C59"/>
    <w:pPr>
      <w:spacing w:line="278" w:lineRule="auto"/>
    </w:pPr>
    <w:rPr>
      <w:kern w:val="2"/>
      <w:sz w:val="24"/>
      <w:szCs w:val="24"/>
      <w14:ligatures w14:val="standardContextual"/>
    </w:rPr>
  </w:style>
  <w:style w:type="paragraph" w:customStyle="1" w:styleId="ED82FC9ED63C4F2A89BCB92DDC1325F3">
    <w:name w:val="ED82FC9ED63C4F2A89BCB92DDC1325F3"/>
    <w:rsid w:val="00101C59"/>
    <w:pPr>
      <w:spacing w:line="278" w:lineRule="auto"/>
    </w:pPr>
    <w:rPr>
      <w:kern w:val="2"/>
      <w:sz w:val="24"/>
      <w:szCs w:val="24"/>
      <w14:ligatures w14:val="standardContextual"/>
    </w:rPr>
  </w:style>
  <w:style w:type="paragraph" w:customStyle="1" w:styleId="49B065CA2D77484499101EBD96DC2970">
    <w:name w:val="49B065CA2D77484499101EBD96DC2970"/>
    <w:rsid w:val="00101C59"/>
    <w:pPr>
      <w:spacing w:line="278" w:lineRule="auto"/>
    </w:pPr>
    <w:rPr>
      <w:kern w:val="2"/>
      <w:sz w:val="24"/>
      <w:szCs w:val="24"/>
      <w14:ligatures w14:val="standardContextual"/>
    </w:rPr>
  </w:style>
  <w:style w:type="paragraph" w:customStyle="1" w:styleId="D03B6B11BA4A4E3CA63CF80FE4B46C80">
    <w:name w:val="D03B6B11BA4A4E3CA63CF80FE4B46C80"/>
    <w:rsid w:val="00101C59"/>
    <w:pPr>
      <w:spacing w:line="278" w:lineRule="auto"/>
    </w:pPr>
    <w:rPr>
      <w:kern w:val="2"/>
      <w:sz w:val="24"/>
      <w:szCs w:val="24"/>
      <w14:ligatures w14:val="standardContextual"/>
    </w:rPr>
  </w:style>
  <w:style w:type="paragraph" w:customStyle="1" w:styleId="2F81CB92A401480C907DF2A8AA3254FB">
    <w:name w:val="2F81CB92A401480C907DF2A8AA3254FB"/>
    <w:rsid w:val="00101C59"/>
    <w:pPr>
      <w:spacing w:line="278" w:lineRule="auto"/>
    </w:pPr>
    <w:rPr>
      <w:kern w:val="2"/>
      <w:sz w:val="24"/>
      <w:szCs w:val="24"/>
      <w14:ligatures w14:val="standardContextual"/>
    </w:rPr>
  </w:style>
  <w:style w:type="paragraph" w:customStyle="1" w:styleId="2D27E8AFCAC845848C79D4D0FB519046">
    <w:name w:val="2D27E8AFCAC845848C79D4D0FB519046"/>
    <w:rsid w:val="00101C59"/>
    <w:pPr>
      <w:spacing w:line="278" w:lineRule="auto"/>
    </w:pPr>
    <w:rPr>
      <w:kern w:val="2"/>
      <w:sz w:val="24"/>
      <w:szCs w:val="24"/>
      <w14:ligatures w14:val="standardContextual"/>
    </w:rPr>
  </w:style>
  <w:style w:type="paragraph" w:customStyle="1" w:styleId="655FB8789F1643858F6D9785BA87A4F4">
    <w:name w:val="655FB8789F1643858F6D9785BA87A4F4"/>
    <w:rsid w:val="00101C59"/>
    <w:pPr>
      <w:spacing w:line="278" w:lineRule="auto"/>
    </w:pPr>
    <w:rPr>
      <w:kern w:val="2"/>
      <w:sz w:val="24"/>
      <w:szCs w:val="24"/>
      <w14:ligatures w14:val="standardContextual"/>
    </w:rPr>
  </w:style>
  <w:style w:type="paragraph" w:customStyle="1" w:styleId="E67955C34C9B4AED80DC3DA8F66152DD">
    <w:name w:val="E67955C34C9B4AED80DC3DA8F66152DD"/>
    <w:rsid w:val="00101C59"/>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macintos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4559c4-8463-4985-927f-f0d558bff8f0" xsi:nil="true"/>
    <lcf76f155ced4ddcb4097134ff3c332f xmlns="819ae873-75e1-413b-9d00-7af9258cf281">
      <Terms xmlns="http://schemas.microsoft.com/office/infopath/2007/PartnerControls"/>
    </lcf76f155ced4ddcb4097134ff3c332f>
    <Approvinghostparty xmlns="819ae873-75e1-413b-9d00-7af9258cf281" xsi:nil="true"/>
    <Formatter_x0028_s_x0029_ xmlns="819ae873-75e1-413b-9d00-7af9258cf281">
      <UserInfo>
        <DisplayName/>
        <AccountId xsi:nil="true"/>
        <AccountType/>
      </UserInfo>
    </Formatter_x0028_s_x0029_>
    <Ready xmlns="819ae873-75e1-413b-9d00-7af9258cf281">true</Ready>
    <Doc_x002e_SymbolNumber xmlns="819ae873-75e1-413b-9d00-7af9258cf281" xsi:nil="true"/>
    <_Flow_SignoffStatus xmlns="819ae873-75e1-413b-9d00-7af9258cf281" xsi:nil="true"/>
    <Status xmlns="819ae873-75e1-413b-9d00-7af9258cf281">true</Status>
    <Teamleademail xmlns="819ae873-75e1-413b-9d00-7af9258cf281">
      <UserInfo>
        <DisplayName/>
        <AccountId xsi:nil="true"/>
        <AccountType/>
      </UserInfo>
    </Teamleademail>
    <Drafter_x0028_s_x0029_ xmlns="819ae873-75e1-413b-9d00-7af9258cf281">
      <UserInfo>
        <DisplayName/>
        <AccountId xsi:nil="true"/>
        <AccountType/>
      </UserInfo>
    </Drafter_x0028_s_x0029_>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SharedContentType xmlns="Microsoft.SharePoint.Taxonomy.ContentTypeSync" SourceId="9d8c265a-5436-43a7-80c1-713d2827ffde" ContentTypeId="0x0101" PreviousValue="false"/>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8FB6730B0802B54A9F00C78B857E1443" ma:contentTypeVersion="30" ma:contentTypeDescription="Create a new document." ma:contentTypeScope="" ma:versionID="c1177e9cb2a011f9b5f85d5c6c9a33b0">
  <xsd:schema xmlns:xsd="http://www.w3.org/2001/XMLSchema" xmlns:xs="http://www.w3.org/2001/XMLSchema" xmlns:p="http://schemas.microsoft.com/office/2006/metadata/properties" xmlns:ns2="819ae873-75e1-413b-9d00-7af9258cf281" xmlns:ns3="eb4559c4-8463-4985-927f-f0d558bff8f0" xmlns:ns4="13d80b15-5f07-43ab-b435-85767a7dac08" targetNamespace="http://schemas.microsoft.com/office/2006/metadata/properties" ma:root="true" ma:fieldsID="babc2604ed609730281bb67d17ce2659" ns2:_="" ns3:_="" ns4:_="">
    <xsd:import namespace="819ae873-75e1-413b-9d00-7af9258cf281"/>
    <xsd:import namespace="eb4559c4-8463-4985-927f-f0d558bff8f0"/>
    <xsd:import namespace="13d80b15-5f07-43ab-b435-85767a7dac0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Doc_x002e_SymbolNumber"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4:SharedWithUsers" minOccurs="0"/>
                <xsd:element ref="ns4:SharedWithDetails" minOccurs="0"/>
                <xsd:element ref="ns2:MediaServiceDateTaken" minOccurs="0"/>
                <xsd:element ref="ns2:MediaServiceLocation" minOccurs="0"/>
                <xsd:element ref="ns2:MediaLengthInSeconds" minOccurs="0"/>
                <xsd:element ref="ns2:MediaServiceObjectDetectorVersions" minOccurs="0"/>
                <xsd:element ref="ns2:MediaServiceSearchProperties" minOccurs="0"/>
                <xsd:element ref="ns2:Ready" minOccurs="0"/>
                <xsd:element ref="ns2:_Flow_SignoffStatus" minOccurs="0"/>
                <xsd:element ref="ns2:Teamleademail" minOccurs="0"/>
                <xsd:element ref="ns2:Drafter_x0028_s_x0029_" minOccurs="0"/>
                <xsd:element ref="ns2:Formatter_x0028_s_x0029_" minOccurs="0"/>
                <xsd:element ref="ns2:Status" minOccurs="0"/>
                <xsd:element ref="ns2:Approvinghostparty"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9ae873-75e1-413b-9d00-7af9258cf2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Doc_x002e_SymbolNumber" ma:index="12" nillable="true" ma:displayName="Doc. Symbol Number" ma:format="Dropdown" ma:internalName="Doc_x002e_SymbolNumber">
      <xsd:simpleType>
        <xsd:restriction base="dms:Note">
          <xsd:maxLength value="255"/>
        </xsd:restrictio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9d8c265a-5436-43a7-80c1-713d2827ffde"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Ready" ma:index="26" nillable="true" ma:displayName="Ready" ma:default="1" ma:format="Dropdown" ma:internalName="Ready">
      <xsd:simpleType>
        <xsd:restriction base="dms:Boolean"/>
      </xsd:simpleType>
    </xsd:element>
    <xsd:element name="_Flow_SignoffStatus" ma:index="27" nillable="true" ma:displayName="Sign-off status" ma:format="Dropdown" ma:internalName="_x0024_Resources_x003a_core_x002c_Signoff_Status">
      <xsd:simpleType>
        <xsd:restriction base="dms:Choice">
          <xsd:enumeration value="WIP"/>
          <xsd:enumeration value="Ready for clearance"/>
          <xsd:enumeration value="Cleared"/>
          <xsd:enumeration value="Returned"/>
        </xsd:restriction>
      </xsd:simpleType>
    </xsd:element>
    <xsd:element name="Teamleademail" ma:index="28" nillable="true" ma:displayName="Team lead(s)" ma:format="Dropdown" ma:list="UserInfo" ma:SharePointGroup="0" ma:internalName="Teamleademail">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rafter_x0028_s_x0029_" ma:index="29" nillable="true" ma:displayName="Drafter(s)" ma:format="Dropdown" ma:list="UserInfo" ma:SharePointGroup="0" ma:internalName="Drafter_x0028_s_x0029_">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rmatter_x0028_s_x0029_" ma:index="30" nillable="true" ma:displayName="Formatter(s)" ma:format="Dropdown" ma:list="UserInfo" ma:SharePointGroup="0" ma:internalName="Formatter_x0028_s_x0029_">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31" nillable="true" ma:displayName="Status" ma:default="1" ma:format="Dropdown" ma:internalName="Status">
      <xsd:simpleType>
        <xsd:restriction base="dms:Boolean"/>
      </xsd:simpleType>
    </xsd:element>
    <xsd:element name="Approvinghostparty" ma:index="32" nillable="true" ma:displayName="Approving host party" ma:format="Dropdown" ma:internalName="Approvinghostparty">
      <xsd:simpleType>
        <xsd:restriction base="dms:Text">
          <xsd:maxLength value="255"/>
        </xsd:restriction>
      </xsd:simple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4559c4-8463-4985-927f-f0d558bff8f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71990851-a39d-4e76-9339-d9f3f2815fa8}" ma:internalName="TaxCatchAll" ma:showField="CatchAllData" ma:web="13d80b15-5f07-43ab-b435-85767a7dac0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3d80b15-5f07-43ab-b435-85767a7dac08"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E0EC90E-593F-4AED-B2DA-82B28177882E}">
  <ds:schemaRefs>
    <ds:schemaRef ds:uri="http://schemas.microsoft.com/office/2006/metadata/properties"/>
    <ds:schemaRef ds:uri="http://schemas.microsoft.com/office/infopath/2007/PartnerControls"/>
    <ds:schemaRef ds:uri="eb4559c4-8463-4985-927f-f0d558bff8f0"/>
    <ds:schemaRef ds:uri="819ae873-75e1-413b-9d00-7af9258cf281"/>
  </ds:schemaRefs>
</ds:datastoreItem>
</file>

<file path=customXml/itemProps2.xml><?xml version="1.0" encoding="utf-8"?>
<ds:datastoreItem xmlns:ds="http://schemas.openxmlformats.org/officeDocument/2006/customXml" ds:itemID="{CF50E155-C844-4CB5-8662-C87AD630C965}">
  <ds:schemaRefs>
    <ds:schemaRef ds:uri="http://schemas.openxmlformats.org/officeDocument/2006/bibliography"/>
  </ds:schemaRefs>
</ds:datastoreItem>
</file>

<file path=customXml/itemProps3.xml><?xml version="1.0" encoding="utf-8"?>
<ds:datastoreItem xmlns:ds="http://schemas.openxmlformats.org/officeDocument/2006/customXml" ds:itemID="{B267A1A5-5353-49A4-9988-ECDD0D3BEDAB}">
  <ds:schemaRefs>
    <ds:schemaRef ds:uri="Microsoft.SharePoint.Taxonomy.ContentTypeSync"/>
  </ds:schemaRefs>
</ds:datastoreItem>
</file>

<file path=customXml/itemProps4.xml><?xml version="1.0" encoding="utf-8"?>
<ds:datastoreItem xmlns:ds="http://schemas.openxmlformats.org/officeDocument/2006/customXml" ds:itemID="{59F00FFD-8FC0-41C0-9981-FDA58E93A1F5}">
  <ds:schemaRefs>
    <ds:schemaRef ds:uri="http://schemas.microsoft.com/sharepoint/v3/contenttype/forms"/>
  </ds:schemaRefs>
</ds:datastoreItem>
</file>

<file path=customXml/itemProps5.xml><?xml version="1.0" encoding="utf-8"?>
<ds:datastoreItem xmlns:ds="http://schemas.openxmlformats.org/officeDocument/2006/customXml" ds:itemID="{3217DFAA-E441-4220-901C-1888A72D8F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9ae873-75e1-413b-9d00-7af9258cf281"/>
    <ds:schemaRef ds:uri="eb4559c4-8463-4985-927f-f0d558bff8f0"/>
    <ds:schemaRef ds:uri="13d80b15-5f07-43ab-b435-85767a7dac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4eb78b00-fe20-43c1-9144-a35b64c10272}" enabled="0" method="" siteId="{4eb78b00-fe20-43c1-9144-a35b64c10272}"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63</Pages>
  <Words>20037</Words>
  <Characters>114217</Characters>
  <Application>Microsoft Office Word</Application>
  <DocSecurity>0</DocSecurity>
  <Lines>951</Lines>
  <Paragraphs>267</Paragraphs>
  <ScaleCrop>false</ScaleCrop>
  <Company/>
  <LinksUpToDate>false</LinksUpToDate>
  <CharactersWithSpaces>133987</CharactersWithSpaces>
  <SharedDoc>false</SharedDoc>
  <HLinks>
    <vt:vector size="186" baseType="variant">
      <vt:variant>
        <vt:i4>1048636</vt:i4>
      </vt:variant>
      <vt:variant>
        <vt:i4>158</vt:i4>
      </vt:variant>
      <vt:variant>
        <vt:i4>0</vt:i4>
      </vt:variant>
      <vt:variant>
        <vt:i4>5</vt:i4>
      </vt:variant>
      <vt:variant>
        <vt:lpwstr/>
      </vt:variant>
      <vt:variant>
        <vt:lpwstr>_Toc240576906</vt:lpwstr>
      </vt:variant>
      <vt:variant>
        <vt:i4>1048636</vt:i4>
      </vt:variant>
      <vt:variant>
        <vt:i4>152</vt:i4>
      </vt:variant>
      <vt:variant>
        <vt:i4>0</vt:i4>
      </vt:variant>
      <vt:variant>
        <vt:i4>5</vt:i4>
      </vt:variant>
      <vt:variant>
        <vt:lpwstr/>
      </vt:variant>
      <vt:variant>
        <vt:lpwstr>_Toc240576905</vt:lpwstr>
      </vt:variant>
      <vt:variant>
        <vt:i4>1048636</vt:i4>
      </vt:variant>
      <vt:variant>
        <vt:i4>146</vt:i4>
      </vt:variant>
      <vt:variant>
        <vt:i4>0</vt:i4>
      </vt:variant>
      <vt:variant>
        <vt:i4>5</vt:i4>
      </vt:variant>
      <vt:variant>
        <vt:lpwstr/>
      </vt:variant>
      <vt:variant>
        <vt:lpwstr>_Toc240576904</vt:lpwstr>
      </vt:variant>
      <vt:variant>
        <vt:i4>1048636</vt:i4>
      </vt:variant>
      <vt:variant>
        <vt:i4>140</vt:i4>
      </vt:variant>
      <vt:variant>
        <vt:i4>0</vt:i4>
      </vt:variant>
      <vt:variant>
        <vt:i4>5</vt:i4>
      </vt:variant>
      <vt:variant>
        <vt:lpwstr/>
      </vt:variant>
      <vt:variant>
        <vt:lpwstr>_Toc240576903</vt:lpwstr>
      </vt:variant>
      <vt:variant>
        <vt:i4>1048636</vt:i4>
      </vt:variant>
      <vt:variant>
        <vt:i4>134</vt:i4>
      </vt:variant>
      <vt:variant>
        <vt:i4>0</vt:i4>
      </vt:variant>
      <vt:variant>
        <vt:i4>5</vt:i4>
      </vt:variant>
      <vt:variant>
        <vt:lpwstr/>
      </vt:variant>
      <vt:variant>
        <vt:lpwstr>_Toc240576902</vt:lpwstr>
      </vt:variant>
      <vt:variant>
        <vt:i4>1048636</vt:i4>
      </vt:variant>
      <vt:variant>
        <vt:i4>128</vt:i4>
      </vt:variant>
      <vt:variant>
        <vt:i4>0</vt:i4>
      </vt:variant>
      <vt:variant>
        <vt:i4>5</vt:i4>
      </vt:variant>
      <vt:variant>
        <vt:lpwstr/>
      </vt:variant>
      <vt:variant>
        <vt:lpwstr>_Toc240576901</vt:lpwstr>
      </vt:variant>
      <vt:variant>
        <vt:i4>1048636</vt:i4>
      </vt:variant>
      <vt:variant>
        <vt:i4>122</vt:i4>
      </vt:variant>
      <vt:variant>
        <vt:i4>0</vt:i4>
      </vt:variant>
      <vt:variant>
        <vt:i4>5</vt:i4>
      </vt:variant>
      <vt:variant>
        <vt:lpwstr/>
      </vt:variant>
      <vt:variant>
        <vt:lpwstr>_Toc240576900</vt:lpwstr>
      </vt:variant>
      <vt:variant>
        <vt:i4>1638461</vt:i4>
      </vt:variant>
      <vt:variant>
        <vt:i4>116</vt:i4>
      </vt:variant>
      <vt:variant>
        <vt:i4>0</vt:i4>
      </vt:variant>
      <vt:variant>
        <vt:i4>5</vt:i4>
      </vt:variant>
      <vt:variant>
        <vt:lpwstr/>
      </vt:variant>
      <vt:variant>
        <vt:lpwstr>_Toc240576899</vt:lpwstr>
      </vt:variant>
      <vt:variant>
        <vt:i4>1638461</vt:i4>
      </vt:variant>
      <vt:variant>
        <vt:i4>110</vt:i4>
      </vt:variant>
      <vt:variant>
        <vt:i4>0</vt:i4>
      </vt:variant>
      <vt:variant>
        <vt:i4>5</vt:i4>
      </vt:variant>
      <vt:variant>
        <vt:lpwstr/>
      </vt:variant>
      <vt:variant>
        <vt:lpwstr>_Toc240576898</vt:lpwstr>
      </vt:variant>
      <vt:variant>
        <vt:i4>1638461</vt:i4>
      </vt:variant>
      <vt:variant>
        <vt:i4>104</vt:i4>
      </vt:variant>
      <vt:variant>
        <vt:i4>0</vt:i4>
      </vt:variant>
      <vt:variant>
        <vt:i4>5</vt:i4>
      </vt:variant>
      <vt:variant>
        <vt:lpwstr/>
      </vt:variant>
      <vt:variant>
        <vt:lpwstr>_Toc240576897</vt:lpwstr>
      </vt:variant>
      <vt:variant>
        <vt:i4>1638461</vt:i4>
      </vt:variant>
      <vt:variant>
        <vt:i4>98</vt:i4>
      </vt:variant>
      <vt:variant>
        <vt:i4>0</vt:i4>
      </vt:variant>
      <vt:variant>
        <vt:i4>5</vt:i4>
      </vt:variant>
      <vt:variant>
        <vt:lpwstr/>
      </vt:variant>
      <vt:variant>
        <vt:lpwstr>_Toc240576896</vt:lpwstr>
      </vt:variant>
      <vt:variant>
        <vt:i4>1638461</vt:i4>
      </vt:variant>
      <vt:variant>
        <vt:i4>92</vt:i4>
      </vt:variant>
      <vt:variant>
        <vt:i4>0</vt:i4>
      </vt:variant>
      <vt:variant>
        <vt:i4>5</vt:i4>
      </vt:variant>
      <vt:variant>
        <vt:lpwstr/>
      </vt:variant>
      <vt:variant>
        <vt:lpwstr>_Toc240576895</vt:lpwstr>
      </vt:variant>
      <vt:variant>
        <vt:i4>1638461</vt:i4>
      </vt:variant>
      <vt:variant>
        <vt:i4>86</vt:i4>
      </vt:variant>
      <vt:variant>
        <vt:i4>0</vt:i4>
      </vt:variant>
      <vt:variant>
        <vt:i4>5</vt:i4>
      </vt:variant>
      <vt:variant>
        <vt:lpwstr/>
      </vt:variant>
      <vt:variant>
        <vt:lpwstr>_Toc240576894</vt:lpwstr>
      </vt:variant>
      <vt:variant>
        <vt:i4>1638461</vt:i4>
      </vt:variant>
      <vt:variant>
        <vt:i4>80</vt:i4>
      </vt:variant>
      <vt:variant>
        <vt:i4>0</vt:i4>
      </vt:variant>
      <vt:variant>
        <vt:i4>5</vt:i4>
      </vt:variant>
      <vt:variant>
        <vt:lpwstr/>
      </vt:variant>
      <vt:variant>
        <vt:lpwstr>_Toc240576893</vt:lpwstr>
      </vt:variant>
      <vt:variant>
        <vt:i4>1638461</vt:i4>
      </vt:variant>
      <vt:variant>
        <vt:i4>74</vt:i4>
      </vt:variant>
      <vt:variant>
        <vt:i4>0</vt:i4>
      </vt:variant>
      <vt:variant>
        <vt:i4>5</vt:i4>
      </vt:variant>
      <vt:variant>
        <vt:lpwstr/>
      </vt:variant>
      <vt:variant>
        <vt:lpwstr>_Toc240576892</vt:lpwstr>
      </vt:variant>
      <vt:variant>
        <vt:i4>1638461</vt:i4>
      </vt:variant>
      <vt:variant>
        <vt:i4>68</vt:i4>
      </vt:variant>
      <vt:variant>
        <vt:i4>0</vt:i4>
      </vt:variant>
      <vt:variant>
        <vt:i4>5</vt:i4>
      </vt:variant>
      <vt:variant>
        <vt:lpwstr/>
      </vt:variant>
      <vt:variant>
        <vt:lpwstr>_Toc240576891</vt:lpwstr>
      </vt:variant>
      <vt:variant>
        <vt:i4>1638461</vt:i4>
      </vt:variant>
      <vt:variant>
        <vt:i4>62</vt:i4>
      </vt:variant>
      <vt:variant>
        <vt:i4>0</vt:i4>
      </vt:variant>
      <vt:variant>
        <vt:i4>5</vt:i4>
      </vt:variant>
      <vt:variant>
        <vt:lpwstr/>
      </vt:variant>
      <vt:variant>
        <vt:lpwstr>_Toc240576890</vt:lpwstr>
      </vt:variant>
      <vt:variant>
        <vt:i4>1572925</vt:i4>
      </vt:variant>
      <vt:variant>
        <vt:i4>56</vt:i4>
      </vt:variant>
      <vt:variant>
        <vt:i4>0</vt:i4>
      </vt:variant>
      <vt:variant>
        <vt:i4>5</vt:i4>
      </vt:variant>
      <vt:variant>
        <vt:lpwstr/>
      </vt:variant>
      <vt:variant>
        <vt:lpwstr>_Toc240576889</vt:lpwstr>
      </vt:variant>
      <vt:variant>
        <vt:i4>1572925</vt:i4>
      </vt:variant>
      <vt:variant>
        <vt:i4>50</vt:i4>
      </vt:variant>
      <vt:variant>
        <vt:i4>0</vt:i4>
      </vt:variant>
      <vt:variant>
        <vt:i4>5</vt:i4>
      </vt:variant>
      <vt:variant>
        <vt:lpwstr/>
      </vt:variant>
      <vt:variant>
        <vt:lpwstr>_Toc240576888</vt:lpwstr>
      </vt:variant>
      <vt:variant>
        <vt:i4>1572925</vt:i4>
      </vt:variant>
      <vt:variant>
        <vt:i4>44</vt:i4>
      </vt:variant>
      <vt:variant>
        <vt:i4>0</vt:i4>
      </vt:variant>
      <vt:variant>
        <vt:i4>5</vt:i4>
      </vt:variant>
      <vt:variant>
        <vt:lpwstr/>
      </vt:variant>
      <vt:variant>
        <vt:lpwstr>_Toc240576887</vt:lpwstr>
      </vt:variant>
      <vt:variant>
        <vt:i4>1572925</vt:i4>
      </vt:variant>
      <vt:variant>
        <vt:i4>38</vt:i4>
      </vt:variant>
      <vt:variant>
        <vt:i4>0</vt:i4>
      </vt:variant>
      <vt:variant>
        <vt:i4>5</vt:i4>
      </vt:variant>
      <vt:variant>
        <vt:lpwstr/>
      </vt:variant>
      <vt:variant>
        <vt:lpwstr>_Toc240576886</vt:lpwstr>
      </vt:variant>
      <vt:variant>
        <vt:i4>1572925</vt:i4>
      </vt:variant>
      <vt:variant>
        <vt:i4>32</vt:i4>
      </vt:variant>
      <vt:variant>
        <vt:i4>0</vt:i4>
      </vt:variant>
      <vt:variant>
        <vt:i4>5</vt:i4>
      </vt:variant>
      <vt:variant>
        <vt:lpwstr/>
      </vt:variant>
      <vt:variant>
        <vt:lpwstr>_Toc240576885</vt:lpwstr>
      </vt:variant>
      <vt:variant>
        <vt:i4>1572925</vt:i4>
      </vt:variant>
      <vt:variant>
        <vt:i4>26</vt:i4>
      </vt:variant>
      <vt:variant>
        <vt:i4>0</vt:i4>
      </vt:variant>
      <vt:variant>
        <vt:i4>5</vt:i4>
      </vt:variant>
      <vt:variant>
        <vt:lpwstr/>
      </vt:variant>
      <vt:variant>
        <vt:lpwstr>_Toc240576884</vt:lpwstr>
      </vt:variant>
      <vt:variant>
        <vt:i4>1572925</vt:i4>
      </vt:variant>
      <vt:variant>
        <vt:i4>20</vt:i4>
      </vt:variant>
      <vt:variant>
        <vt:i4>0</vt:i4>
      </vt:variant>
      <vt:variant>
        <vt:i4>5</vt:i4>
      </vt:variant>
      <vt:variant>
        <vt:lpwstr/>
      </vt:variant>
      <vt:variant>
        <vt:lpwstr>_Toc240576883</vt:lpwstr>
      </vt:variant>
      <vt:variant>
        <vt:i4>1572925</vt:i4>
      </vt:variant>
      <vt:variant>
        <vt:i4>14</vt:i4>
      </vt:variant>
      <vt:variant>
        <vt:i4>0</vt:i4>
      </vt:variant>
      <vt:variant>
        <vt:i4>5</vt:i4>
      </vt:variant>
      <vt:variant>
        <vt:lpwstr/>
      </vt:variant>
      <vt:variant>
        <vt:lpwstr>_Toc240576882</vt:lpwstr>
      </vt:variant>
      <vt:variant>
        <vt:i4>1572925</vt:i4>
      </vt:variant>
      <vt:variant>
        <vt:i4>8</vt:i4>
      </vt:variant>
      <vt:variant>
        <vt:i4>0</vt:i4>
      </vt:variant>
      <vt:variant>
        <vt:i4>5</vt:i4>
      </vt:variant>
      <vt:variant>
        <vt:lpwstr/>
      </vt:variant>
      <vt:variant>
        <vt:lpwstr>_Toc240576881</vt:lpwstr>
      </vt:variant>
      <vt:variant>
        <vt:i4>1572925</vt:i4>
      </vt:variant>
      <vt:variant>
        <vt:i4>2</vt:i4>
      </vt:variant>
      <vt:variant>
        <vt:i4>0</vt:i4>
      </vt:variant>
      <vt:variant>
        <vt:i4>5</vt:i4>
      </vt:variant>
      <vt:variant>
        <vt:lpwstr/>
      </vt:variant>
      <vt:variant>
        <vt:lpwstr>_Toc240576880</vt:lpwstr>
      </vt:variant>
      <vt:variant>
        <vt:i4>6684705</vt:i4>
      </vt:variant>
      <vt:variant>
        <vt:i4>15</vt:i4>
      </vt:variant>
      <vt:variant>
        <vt:i4>0</vt:i4>
      </vt:variant>
      <vt:variant>
        <vt:i4>5</vt:i4>
      </vt:variant>
      <vt:variant>
        <vt:lpwstr>https://ember-energy.org/data/</vt:lpwstr>
      </vt:variant>
      <vt:variant>
        <vt:lpwstr/>
      </vt:variant>
      <vt:variant>
        <vt:i4>7798835</vt:i4>
      </vt:variant>
      <vt:variant>
        <vt:i4>6</vt:i4>
      </vt:variant>
      <vt:variant>
        <vt:i4>0</vt:i4>
      </vt:variant>
      <vt:variant>
        <vt:i4>5</vt:i4>
      </vt:variant>
      <vt:variant>
        <vt:lpwstr>https://unfccc.int/sites/default/files/resource/A6.4-STAN-METH-005.pdf</vt:lpwstr>
      </vt:variant>
      <vt:variant>
        <vt:lpwstr/>
      </vt:variant>
      <vt:variant>
        <vt:i4>3014697</vt:i4>
      </vt:variant>
      <vt:variant>
        <vt:i4>3</vt:i4>
      </vt:variant>
      <vt:variant>
        <vt:i4>0</vt:i4>
      </vt:variant>
      <vt:variant>
        <vt:i4>5</vt:i4>
      </vt:variant>
      <vt:variant>
        <vt:lpwstr>https://www.ipcc-nggip.iges.or.jp/public/2019rf/index.html</vt:lpwstr>
      </vt:variant>
      <vt:variant>
        <vt:lpwstr/>
      </vt:variant>
      <vt:variant>
        <vt:i4>8257592</vt:i4>
      </vt:variant>
      <vt:variant>
        <vt:i4>0</vt:i4>
      </vt:variant>
      <vt:variant>
        <vt:i4>0</vt:i4>
      </vt:variant>
      <vt:variant>
        <vt:i4>5</vt:i4>
      </vt:variant>
      <vt:variant>
        <vt:lpwstr>https://unfccc.int/sites/default/files/resource/A6.4-PROC-METH-001.pdf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A6.4-SBM023-A18</dc:title>
  <dc:subject/>
  <dc:creator>UNFCCC</dc:creator>
  <cp:keywords/>
  <dc:description/>
  <cp:lastModifiedBy>Jane Stickdorn</cp:lastModifiedBy>
  <cp:revision>2</cp:revision>
  <cp:lastPrinted>2026-10-13T13:28:00Z</cp:lastPrinted>
  <dcterms:created xsi:type="dcterms:W3CDTF">2026-10-14T13:46:00Z</dcterms:created>
  <dcterms:modified xsi:type="dcterms:W3CDTF">2026-10-14T13:46:00Z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0x0101008FB6730B0802B54A9F00C78B857E1443</vt:lpwstr>
  </property>
  <property fmtid="{D5CDD505-2E9C-101B-9397-08002B2CF9AE}" pid="3" name="MediaServiceImageTags">
    <vt:lpwstr/>
  </property>
  <property fmtid="{D5CDD505-2E9C-101B-9397-08002B2CF9AE}" pid="4" name="_ModernAudienceTargetUserField">
    <vt:lpwstr/>
  </property>
  <property fmtid="{D5CDD505-2E9C-101B-9397-08002B2CF9AE}" pid="5" name="Document">
    <vt:lpwstr>Call for Input</vt:lpwstr>
  </property>
  <property fmtid="{D5CDD505-2E9C-101B-9397-08002B2CF9AE}" pid="6" name="Officer(s)">
    <vt:lpwstr>203;#i:0#.f|membership|ecardosofilho@unfccc.int;#244;#i:0#.f|membership|yabe@unfccc.int</vt:lpwstr>
  </property>
  <property fmtid="{D5CDD505-2E9C-101B-9397-08002B2CF9AE}" pid="7" name="AA para nr.">
    <vt:lpwstr>11 a</vt:lpwstr>
  </property>
  <property fmtid="{D5CDD505-2E9C-101B-9397-08002B2CF9AE}" pid="8" name="Team Lead">
    <vt:lpwstr>170;#Dhirendra Kumar</vt:lpwstr>
  </property>
  <property fmtid="{D5CDD505-2E9C-101B-9397-08002B2CF9AE}" pid="9" name="Category">
    <vt:lpwstr>Working document</vt:lpwstr>
  </property>
  <property fmtid="{D5CDD505-2E9C-101B-9397-08002B2CF9AE}" pid="10" name="Expert(s)">
    <vt:lpwstr>31;#i:0#.f|membership|jinyaning_sino-carbon.cn#ext#@unfccc365.onmicrosoft.com;#25;#i:0#.f|membership|l.schneider_oeko.de#ext#@unfccc365.onmicrosoft.com;#28;#i:0#.f|membership|kenyam_mri.co.jp#ext#@unfccc365.onmicrosoft.com;#210;#i:0#.f|membership|enam_acebuyers.org#ext#@unfccc365.onmicrosoft.com</vt:lpwstr>
  </property>
  <property fmtid="{D5CDD505-2E9C-101B-9397-08002B2CF9AE}" pid="11" name="Peer Reviewer">
    <vt:lpwstr>35;#Maximo Saenz</vt:lpwstr>
  </property>
  <property fmtid="{D5CDD505-2E9C-101B-9397-08002B2CF9AE}" pid="12" name="Meeting">
    <vt:lpwstr>MEP 010</vt:lpwstr>
  </property>
  <property fmtid="{D5CDD505-2E9C-101B-9397-08002B2CF9AE}" pid="13" name="Lead Officer">
    <vt:lpwstr>203;#Eduardo Cardoso Filho</vt:lpwstr>
  </property>
  <property fmtid="{D5CDD505-2E9C-101B-9397-08002B2CF9AE}" pid="14" name="xd_Signature">
    <vt:bool>false</vt:bool>
  </property>
  <property fmtid="{D5CDD505-2E9C-101B-9397-08002B2CF9AE}" pid="15" name="xd_ProgID">
    <vt:lpwstr/>
  </property>
  <property fmtid="{D5CDD505-2E9C-101B-9397-08002B2CF9AE}" pid="16" name="Clearance by">
    <vt:lpwstr>62;#Nicolas Muller</vt:lpwstr>
  </property>
  <property fmtid="{D5CDD505-2E9C-101B-9397-08002B2CF9AE}" pid="17" name="ComplianceAssetId">
    <vt:lpwstr/>
  </property>
  <property fmtid="{D5CDD505-2E9C-101B-9397-08002B2CF9AE}" pid="18" name="TemplateUrl">
    <vt:lpwstr/>
  </property>
  <property fmtid="{D5CDD505-2E9C-101B-9397-08002B2CF9AE}" pid="19" name="Annex Nr.">
    <vt:lpwstr>1</vt:lpwstr>
  </property>
  <property fmtid="{D5CDD505-2E9C-101B-9397-08002B2CF9AE}" pid="20" name="Document Status">
    <vt:lpwstr>4/5 - Formatted</vt:lpwstr>
  </property>
  <property fmtid="{D5CDD505-2E9C-101B-9397-08002B2CF9AE}" pid="21" name="_ExtendedDescription">
    <vt:lpwstr/>
  </property>
  <property fmtid="{D5CDD505-2E9C-101B-9397-08002B2CF9AE}" pid="22" name="TriggerFlowInfo">
    <vt:lpwstr/>
  </property>
  <property fmtid="{D5CDD505-2E9C-101B-9397-08002B2CF9AE}" pid="23" name="Formatter">
    <vt:lpwstr>176;#Addah Wissen</vt:lpwstr>
  </property>
  <property fmtid="{D5CDD505-2E9C-101B-9397-08002B2CF9AE}" pid="24" name="Order">
    <vt:r8>5497500</vt:r8>
  </property>
  <property fmtid="{D5CDD505-2E9C-101B-9397-08002B2CF9AE}" pid="25" name="Status">
    <vt:bool>true</vt:bool>
  </property>
  <property fmtid="{D5CDD505-2E9C-101B-9397-08002B2CF9AE}" pid="26" name="Ready">
    <vt:bool>true</vt:bool>
  </property>
  <property fmtid="{D5CDD505-2E9C-101B-9397-08002B2CF9AE}" pid="27" name="docLang">
    <vt:lpwstr>en</vt:lpwstr>
  </property>
</Properties>
</file>